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9B7BF" w14:textId="6C15D87A" w:rsidR="00225A26" w:rsidRDefault="00CD15D7" w:rsidP="00AF5840">
      <w:pPr>
        <w:pStyle w:val="Titre7"/>
      </w:pPr>
      <w:bookmarkStart w:id="0" w:name="_Hlk200031534"/>
      <w:r w:rsidRPr="00F8007E">
        <w:rPr>
          <w:noProof/>
          <w:lang w:eastAsia="fr-FR"/>
        </w:rPr>
        <w:drawing>
          <wp:inline distT="0" distB="0" distL="0" distR="0" wp14:anchorId="516D8B69" wp14:editId="382C4A15">
            <wp:extent cx="2581275" cy="108969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ul_fr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4781" cy="1091174"/>
                    </a:xfrm>
                    <a:prstGeom prst="rect">
                      <a:avLst/>
                    </a:prstGeom>
                  </pic:spPr>
                </pic:pic>
              </a:graphicData>
            </a:graphic>
          </wp:inline>
        </w:drawing>
      </w:r>
      <w:bookmarkStart w:id="1" w:name="_Hlk200029047"/>
    </w:p>
    <w:p w14:paraId="3507AFF9" w14:textId="77777777" w:rsidR="00F40A70" w:rsidRDefault="00F40A70" w:rsidP="00F40A70"/>
    <w:p w14:paraId="4D02B2B7" w14:textId="77777777" w:rsidR="00F40A70" w:rsidRPr="00F40A70" w:rsidRDefault="00F40A70" w:rsidP="00F40A70"/>
    <w:p w14:paraId="769AE1F1" w14:textId="77777777" w:rsidR="00421171" w:rsidRPr="001B69CB" w:rsidRDefault="00421171"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i/>
          <w:iCs/>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bookmarkStart w:id="2" w:name="_Hlk200030366"/>
      <w:r w:rsidRPr="001B69CB">
        <w:rPr>
          <w:i/>
          <w:iCs/>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École d’histoire de la sorbonne – UFR 09</w:t>
      </w:r>
    </w:p>
    <w:bookmarkEnd w:id="2"/>
    <w:p w14:paraId="2EDAC64D" w14:textId="77777777" w:rsidR="00F274B6" w:rsidRPr="00F8007E" w:rsidRDefault="00F274B6"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aps/>
          <w:color w:val="CC6600"/>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19F6333E" w14:textId="6733579B" w:rsidR="00225A26" w:rsidRPr="00AF08AC"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L</w:t>
      </w:r>
      <w:r w:rsidR="00D52685"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3 HISTOIRE</w:t>
      </w:r>
    </w:p>
    <w:p w14:paraId="15189F01" w14:textId="38FD1750" w:rsidR="00225A26" w:rsidRPr="00AF08AC" w:rsidRDefault="001A64C4"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B71E42" w:themeColor="accent1"/>
          <w:sz w:val="44"/>
          <w:szCs w:val="44"/>
        </w:rPr>
      </w:pPr>
      <w:r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Brochure </w:t>
      </w:r>
      <w:r w:rsidR="00D76544"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202</w:t>
      </w:r>
      <w:r w:rsidR="005D7A85">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6</w:t>
      </w:r>
      <w:r w:rsidR="00D76544"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-202</w:t>
      </w:r>
      <w:r w:rsidR="005D7A85">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7</w:t>
      </w:r>
    </w:p>
    <w:p w14:paraId="6C9895CB" w14:textId="77777777" w:rsidR="00225A26"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44314467" w14:textId="77777777" w:rsidR="00F40A70" w:rsidRPr="00F8007E" w:rsidRDefault="00F40A70"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34B781EF"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6F57C6B0"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bookmarkStart w:id="3" w:name="_Hlk200030504"/>
      <w:r w:rsidRPr="00F8007E">
        <w:t>17, rue de la Sorbonne 75231 PARIS Cedex 05</w:t>
      </w:r>
    </w:p>
    <w:p w14:paraId="156E3A96" w14:textId="77777777" w:rsidR="00BE7CA4" w:rsidRPr="00F8007E" w:rsidRDefault="00BE7CA4"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Escalier C- 2</w:t>
      </w:r>
      <w:r w:rsidRPr="00F8007E">
        <w:rPr>
          <w:vertAlign w:val="superscript"/>
        </w:rPr>
        <w:t>ème</w:t>
      </w:r>
      <w:r w:rsidRPr="00F8007E">
        <w:t xml:space="preserve"> étage</w:t>
      </w:r>
    </w:p>
    <w:p w14:paraId="28A3F982" w14:textId="5591F52C" w:rsidR="00FC7823" w:rsidRPr="005D7A85" w:rsidRDefault="00FC7823"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5D7A85">
        <w:t>Direc</w:t>
      </w:r>
      <w:r w:rsidR="005D7A85" w:rsidRPr="005D7A85">
        <w:t>trice</w:t>
      </w:r>
      <w:r w:rsidRPr="005D7A85">
        <w:t xml:space="preserve"> : </w:t>
      </w:r>
      <w:r w:rsidR="005D7A85" w:rsidRPr="005D7A85">
        <w:t>Hélèn</w:t>
      </w:r>
      <w:r w:rsidR="005D7A85">
        <w:t>e Harter</w:t>
      </w:r>
      <w:r w:rsidR="0031126E" w:rsidRPr="005D7A85">
        <w:t xml:space="preserve"> (</w:t>
      </w:r>
      <w:hyperlink r:id="rId9" w:history="1">
        <w:r w:rsidR="00A611B5" w:rsidRPr="005D7A85">
          <w:rPr>
            <w:rStyle w:val="Lienhypertexte"/>
          </w:rPr>
          <w:t>dirufr09@univ-paris1.fr</w:t>
        </w:r>
      </w:hyperlink>
      <w:r w:rsidR="00A611B5" w:rsidRPr="005D7A85">
        <w:t xml:space="preserve"> </w:t>
      </w:r>
      <w:r w:rsidR="0031126E" w:rsidRPr="005D7A85">
        <w:t>)</w:t>
      </w:r>
    </w:p>
    <w:p w14:paraId="1DCA195D" w14:textId="265C060C" w:rsidR="00FC7823" w:rsidRPr="00F8007E" w:rsidRDefault="00FC7823"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Responsable administratif : Eddy Marie-Rose</w:t>
      </w:r>
      <w:r w:rsidR="0031126E" w:rsidRPr="00F8007E">
        <w:t xml:space="preserve"> (</w:t>
      </w:r>
      <w:hyperlink r:id="rId10" w:history="1">
        <w:r w:rsidR="0031126E" w:rsidRPr="00F8007E">
          <w:rPr>
            <w:rStyle w:val="Lienhypertexte"/>
          </w:rPr>
          <w:t>raufr09@univ-paris1.fr</w:t>
        </w:r>
      </w:hyperlink>
      <w:r w:rsidR="0031126E" w:rsidRPr="00F8007E">
        <w:t>)</w:t>
      </w:r>
    </w:p>
    <w:p w14:paraId="29F1CB94" w14:textId="2433976B" w:rsidR="0031126E" w:rsidRPr="00F8007E" w:rsidRDefault="0031126E"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 xml:space="preserve">Secrétariat de direction : </w:t>
      </w:r>
      <w:r w:rsidR="0025083C">
        <w:t>(</w:t>
      </w:r>
      <w:hyperlink r:id="rId11" w:history="1">
        <w:r w:rsidR="0025083C" w:rsidRPr="009B185F">
          <w:rPr>
            <w:rStyle w:val="Lienhypertexte"/>
          </w:rPr>
          <w:t>secretdirufr09@univ-paris1.fr</w:t>
        </w:r>
      </w:hyperlink>
      <w:r w:rsidR="0025083C">
        <w:t>)</w:t>
      </w:r>
    </w:p>
    <w:p w14:paraId="40CA4EA7" w14:textId="4C26BB37" w:rsidR="00225A26" w:rsidRPr="00F8007E" w:rsidRDefault="0031126E"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 xml:space="preserve">Scolarité L3/M1 :  </w:t>
      </w:r>
      <w:hyperlink r:id="rId12" w:history="1">
        <w:r w:rsidRPr="00F8007E">
          <w:rPr>
            <w:rStyle w:val="Lienhypertexte"/>
          </w:rPr>
          <w:t>scol3m1@univ-paris1.fr</w:t>
        </w:r>
      </w:hyperlink>
      <w:r w:rsidRPr="00F8007E">
        <w:t xml:space="preserve"> </w:t>
      </w:r>
      <w:r w:rsidRPr="00F8007E">
        <w:sym w:font="Wingdings 2" w:char="F027"/>
      </w:r>
      <w:r w:rsidRPr="00F8007E">
        <w:t xml:space="preserve"> 01.40.46.27.89  </w:t>
      </w:r>
    </w:p>
    <w:bookmarkEnd w:id="3"/>
    <w:p w14:paraId="7BEFA32F" w14:textId="77777777" w:rsidR="00421171" w:rsidRPr="00F8007E" w:rsidRDefault="00421171" w:rsidP="007952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bookmarkEnd w:id="1"/>
    <w:p w14:paraId="3354347E" w14:textId="77777777" w:rsidR="00421171" w:rsidRDefault="00421171"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54FDB919"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7DF1019B"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657D9E1D"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02A6C4D" w14:textId="77777777" w:rsidR="00AF5840" w:rsidRDefault="00AF5840"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EA2BA50" w14:textId="77777777" w:rsidR="00AF08AC" w:rsidRPr="00F8007E"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06E8756" w14:textId="2738A6A4" w:rsidR="00225A26" w:rsidRPr="0015260F" w:rsidRDefault="001526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8"/>
          <w:u w:val="single"/>
        </w:rPr>
      </w:pPr>
      <w:r>
        <w:rPr>
          <w:color w:val="C00000"/>
          <w:sz w:val="28"/>
          <w:u w:val="single"/>
        </w:rPr>
        <w:t>S</w:t>
      </w:r>
      <w:r w:rsidR="00225A26" w:rsidRPr="0015260F">
        <w:rPr>
          <w:color w:val="C00000"/>
          <w:sz w:val="28"/>
          <w:u w:val="single"/>
        </w:rPr>
        <w:t>emestre </w:t>
      </w:r>
      <w:r>
        <w:rPr>
          <w:color w:val="C00000"/>
          <w:sz w:val="28"/>
          <w:u w:val="single"/>
        </w:rPr>
        <w:t xml:space="preserve">1 </w:t>
      </w:r>
      <w:r w:rsidR="00225A26" w:rsidRPr="0015260F">
        <w:rPr>
          <w:color w:val="C00000"/>
          <w:sz w:val="28"/>
          <w:u w:val="single"/>
        </w:rPr>
        <w:t>:</w:t>
      </w:r>
    </w:p>
    <w:p w14:paraId="6B4AC59B"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2E8BC392"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xml:space="preserve">- </w:t>
      </w:r>
      <w:r w:rsidRPr="0015260F">
        <w:rPr>
          <w:color w:val="C00000"/>
          <w:sz w:val="22"/>
          <w:u w:val="single"/>
        </w:rPr>
        <w:t>1</w:t>
      </w:r>
      <w:r w:rsidR="001960ED" w:rsidRPr="0015260F">
        <w:rPr>
          <w:color w:val="C00000"/>
          <w:sz w:val="22"/>
          <w:u w:val="single"/>
        </w:rPr>
        <w:t>3</w:t>
      </w:r>
      <w:r w:rsidRPr="0015260F">
        <w:rPr>
          <w:color w:val="C00000"/>
          <w:sz w:val="22"/>
          <w:u w:val="single"/>
        </w:rPr>
        <w:t xml:space="preserve"> semaines de cours</w:t>
      </w:r>
      <w:r w:rsidRPr="0015260F">
        <w:rPr>
          <w:color w:val="C00000"/>
          <w:sz w:val="22"/>
        </w:rPr>
        <w:t> </w:t>
      </w:r>
      <w:r w:rsidRPr="00F8007E">
        <w:rPr>
          <w:sz w:val="22"/>
        </w:rPr>
        <w:t>:</w:t>
      </w:r>
    </w:p>
    <w:p w14:paraId="42DA800C" w14:textId="323B9B4F" w:rsidR="00225A26" w:rsidRPr="00F8007E" w:rsidRDefault="00FA6C91"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w:t>
      </w:r>
      <w:r w:rsidR="00225A26" w:rsidRPr="00F8007E">
        <w:rPr>
          <w:sz w:val="22"/>
        </w:rPr>
        <w:t xml:space="preserve">u </w:t>
      </w:r>
      <w:r w:rsidR="006A13FA" w:rsidRPr="00F8007E">
        <w:rPr>
          <w:sz w:val="22"/>
        </w:rPr>
        <w:t xml:space="preserve">lundi </w:t>
      </w:r>
      <w:r w:rsidR="001960ED" w:rsidRPr="00F8007E">
        <w:rPr>
          <w:sz w:val="22"/>
        </w:rPr>
        <w:t>1</w:t>
      </w:r>
      <w:r w:rsidR="00F26948">
        <w:rPr>
          <w:sz w:val="22"/>
        </w:rPr>
        <w:t>4</w:t>
      </w:r>
      <w:r w:rsidR="006A13FA" w:rsidRPr="00F8007E">
        <w:rPr>
          <w:sz w:val="22"/>
        </w:rPr>
        <w:t xml:space="preserve"> septembre au samedi 2</w:t>
      </w:r>
      <w:r w:rsidR="00F26948">
        <w:rPr>
          <w:sz w:val="22"/>
        </w:rPr>
        <w:t>4</w:t>
      </w:r>
      <w:r w:rsidR="001E4161" w:rsidRPr="00F8007E">
        <w:rPr>
          <w:sz w:val="22"/>
        </w:rPr>
        <w:t xml:space="preserve"> </w:t>
      </w:r>
      <w:r w:rsidR="00A10743" w:rsidRPr="00F8007E">
        <w:rPr>
          <w:sz w:val="22"/>
        </w:rPr>
        <w:t>octobre 20</w:t>
      </w:r>
      <w:r w:rsidRPr="00F8007E">
        <w:rPr>
          <w:sz w:val="22"/>
        </w:rPr>
        <w:t>2</w:t>
      </w:r>
      <w:r w:rsidR="00F26948">
        <w:rPr>
          <w:sz w:val="22"/>
        </w:rPr>
        <w:t>6</w:t>
      </w:r>
    </w:p>
    <w:p w14:paraId="536F1530" w14:textId="2992972E" w:rsidR="00225A26" w:rsidRPr="00F8007E" w:rsidRDefault="00FA6C91"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2A5411" w:rsidRPr="00F8007E">
        <w:rPr>
          <w:sz w:val="22"/>
        </w:rPr>
        <w:t xml:space="preserve">lundi </w:t>
      </w:r>
      <w:r w:rsidR="000730F4">
        <w:rPr>
          <w:sz w:val="22"/>
        </w:rPr>
        <w:t>2</w:t>
      </w:r>
      <w:r w:rsidRPr="00F8007E">
        <w:rPr>
          <w:sz w:val="22"/>
        </w:rPr>
        <w:t xml:space="preserve"> </w:t>
      </w:r>
      <w:r w:rsidR="00225A26" w:rsidRPr="00F8007E">
        <w:rPr>
          <w:sz w:val="22"/>
        </w:rPr>
        <w:t xml:space="preserve">novembre au </w:t>
      </w:r>
      <w:r w:rsidR="000F1232" w:rsidRPr="00F8007E">
        <w:rPr>
          <w:sz w:val="22"/>
        </w:rPr>
        <w:t xml:space="preserve">samedi </w:t>
      </w:r>
      <w:r w:rsidR="000730F4">
        <w:rPr>
          <w:sz w:val="22"/>
        </w:rPr>
        <w:t>19</w:t>
      </w:r>
      <w:r w:rsidR="000F1232" w:rsidRPr="00F8007E">
        <w:rPr>
          <w:sz w:val="22"/>
        </w:rPr>
        <w:t xml:space="preserve"> </w:t>
      </w:r>
      <w:r w:rsidR="00A10743" w:rsidRPr="00F8007E">
        <w:rPr>
          <w:sz w:val="22"/>
        </w:rPr>
        <w:t>décembre 20</w:t>
      </w:r>
      <w:r w:rsidRPr="00F8007E">
        <w:rPr>
          <w:sz w:val="22"/>
        </w:rPr>
        <w:t>2</w:t>
      </w:r>
      <w:r w:rsidR="000730F4">
        <w:rPr>
          <w:sz w:val="22"/>
        </w:rPr>
        <w:t>6</w:t>
      </w:r>
    </w:p>
    <w:p w14:paraId="678CC18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1DEA4CBD"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- 1</w:t>
      </w:r>
      <w:r w:rsidRPr="00F8007E">
        <w:rPr>
          <w:sz w:val="22"/>
          <w:vertAlign w:val="superscript"/>
        </w:rPr>
        <w:t>ère</w:t>
      </w:r>
      <w:r w:rsidRPr="00F8007E">
        <w:rPr>
          <w:sz w:val="22"/>
        </w:rPr>
        <w:t xml:space="preserve"> session d’examens du 1</w:t>
      </w:r>
      <w:r w:rsidRPr="00F8007E">
        <w:rPr>
          <w:sz w:val="22"/>
          <w:vertAlign w:val="superscript"/>
        </w:rPr>
        <w:t>er</w:t>
      </w:r>
      <w:r w:rsidRPr="00F8007E">
        <w:rPr>
          <w:sz w:val="22"/>
        </w:rPr>
        <w:t xml:space="preserve"> semestre, évaluation et orientation :</w:t>
      </w:r>
    </w:p>
    <w:p w14:paraId="408EB492" w14:textId="0D5774CF" w:rsidR="00225A26" w:rsidRPr="00F8007E" w:rsidRDefault="00A62EDB"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w:t>
      </w:r>
      <w:r w:rsidR="00063DF7" w:rsidRPr="00F8007E">
        <w:rPr>
          <w:sz w:val="22"/>
        </w:rPr>
        <w:t xml:space="preserve">u </w:t>
      </w:r>
      <w:r w:rsidR="00903184">
        <w:rPr>
          <w:sz w:val="22"/>
        </w:rPr>
        <w:t xml:space="preserve">mardi </w:t>
      </w:r>
      <w:r w:rsidR="000730F4">
        <w:rPr>
          <w:sz w:val="22"/>
        </w:rPr>
        <w:t>5</w:t>
      </w:r>
      <w:r w:rsidR="00CD6210" w:rsidRPr="00F8007E">
        <w:rPr>
          <w:sz w:val="22"/>
        </w:rPr>
        <w:t xml:space="preserve"> </w:t>
      </w:r>
      <w:r w:rsidR="00225A26" w:rsidRPr="00F8007E">
        <w:rPr>
          <w:sz w:val="22"/>
        </w:rPr>
        <w:t xml:space="preserve">janvier au </w:t>
      </w:r>
      <w:r w:rsidR="00903184">
        <w:rPr>
          <w:sz w:val="22"/>
        </w:rPr>
        <w:t xml:space="preserve">jeudi </w:t>
      </w:r>
      <w:r w:rsidR="000F1232" w:rsidRPr="00F8007E">
        <w:rPr>
          <w:sz w:val="22"/>
        </w:rPr>
        <w:t>2</w:t>
      </w:r>
      <w:r w:rsidR="000730F4">
        <w:rPr>
          <w:sz w:val="22"/>
        </w:rPr>
        <w:t>1</w:t>
      </w:r>
      <w:r w:rsidR="00063DF7" w:rsidRPr="00F8007E">
        <w:rPr>
          <w:sz w:val="22"/>
        </w:rPr>
        <w:t xml:space="preserve"> janvier 20</w:t>
      </w:r>
      <w:r w:rsidR="003B34BB" w:rsidRPr="00F8007E">
        <w:rPr>
          <w:sz w:val="22"/>
        </w:rPr>
        <w:t>2</w:t>
      </w:r>
      <w:r w:rsidR="000730F4">
        <w:rPr>
          <w:sz w:val="22"/>
        </w:rPr>
        <w:t>7</w:t>
      </w:r>
    </w:p>
    <w:p w14:paraId="3DB20A9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24C7274" w14:textId="60699E8B" w:rsidR="00225A26" w:rsidRPr="0015260F" w:rsidRDefault="001526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8"/>
          <w:u w:val="single"/>
        </w:rPr>
      </w:pPr>
      <w:r>
        <w:rPr>
          <w:color w:val="C00000"/>
          <w:sz w:val="28"/>
          <w:u w:val="single"/>
        </w:rPr>
        <w:t>S</w:t>
      </w:r>
      <w:r w:rsidR="00225A26" w:rsidRPr="0015260F">
        <w:rPr>
          <w:color w:val="C00000"/>
          <w:sz w:val="28"/>
          <w:u w:val="single"/>
        </w:rPr>
        <w:t>emestre </w:t>
      </w:r>
      <w:r>
        <w:rPr>
          <w:color w:val="C00000"/>
          <w:sz w:val="28"/>
          <w:u w:val="single"/>
        </w:rPr>
        <w:t xml:space="preserve">2 </w:t>
      </w:r>
      <w:r w:rsidR="00225A26" w:rsidRPr="0015260F">
        <w:rPr>
          <w:color w:val="C00000"/>
          <w:sz w:val="28"/>
          <w:u w:val="single"/>
        </w:rPr>
        <w:t>:</w:t>
      </w:r>
    </w:p>
    <w:p w14:paraId="79CFD029"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3471B732"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xml:space="preserve">- </w:t>
      </w:r>
      <w:r w:rsidRPr="0015260F">
        <w:rPr>
          <w:color w:val="C00000"/>
          <w:sz w:val="22"/>
          <w:u w:val="single"/>
        </w:rPr>
        <w:t>12 semaines de cours</w:t>
      </w:r>
      <w:r w:rsidRPr="0015260F">
        <w:rPr>
          <w:color w:val="C00000"/>
          <w:sz w:val="22"/>
        </w:rPr>
        <w:t> </w:t>
      </w:r>
      <w:r w:rsidRPr="00F8007E">
        <w:rPr>
          <w:sz w:val="22"/>
        </w:rPr>
        <w:t>:</w:t>
      </w:r>
    </w:p>
    <w:p w14:paraId="098DCE36" w14:textId="5E744C4E"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6C2896" w:rsidRPr="00F8007E">
        <w:rPr>
          <w:sz w:val="22"/>
        </w:rPr>
        <w:t xml:space="preserve">lundi </w:t>
      </w:r>
      <w:r w:rsidR="009F23AF" w:rsidRPr="00F8007E">
        <w:rPr>
          <w:sz w:val="22"/>
        </w:rPr>
        <w:t>2</w:t>
      </w:r>
      <w:r w:rsidR="007D2EDD">
        <w:rPr>
          <w:sz w:val="22"/>
        </w:rPr>
        <w:t>5</w:t>
      </w:r>
      <w:r w:rsidR="00225A26" w:rsidRPr="00F8007E">
        <w:rPr>
          <w:sz w:val="22"/>
        </w:rPr>
        <w:t xml:space="preserve"> janvier au </w:t>
      </w:r>
      <w:r w:rsidR="006C2896" w:rsidRPr="00F8007E">
        <w:rPr>
          <w:sz w:val="22"/>
        </w:rPr>
        <w:t xml:space="preserve">samedi </w:t>
      </w:r>
      <w:r w:rsidR="007D2EDD">
        <w:rPr>
          <w:sz w:val="22"/>
        </w:rPr>
        <w:t>13</w:t>
      </w:r>
      <w:r w:rsidR="00903184">
        <w:rPr>
          <w:sz w:val="22"/>
        </w:rPr>
        <w:t xml:space="preserve"> février 202</w:t>
      </w:r>
      <w:r w:rsidR="007D2EDD">
        <w:rPr>
          <w:sz w:val="22"/>
        </w:rPr>
        <w:t>7</w:t>
      </w:r>
    </w:p>
    <w:p w14:paraId="202CA750" w14:textId="1542BC7D" w:rsidR="00225A26"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lundi </w:t>
      </w:r>
      <w:r w:rsidR="007D2EDD">
        <w:rPr>
          <w:sz w:val="22"/>
        </w:rPr>
        <w:t>22 février</w:t>
      </w:r>
      <w:r w:rsidR="00121FA7" w:rsidRPr="00F8007E">
        <w:rPr>
          <w:sz w:val="22"/>
        </w:rPr>
        <w:t xml:space="preserve"> au </w:t>
      </w:r>
      <w:r w:rsidR="00A347B5" w:rsidRPr="00F8007E">
        <w:rPr>
          <w:sz w:val="22"/>
        </w:rPr>
        <w:t xml:space="preserve">samedi </w:t>
      </w:r>
      <w:r w:rsidR="0079290F">
        <w:rPr>
          <w:sz w:val="22"/>
        </w:rPr>
        <w:t>10</w:t>
      </w:r>
      <w:r w:rsidR="00404AA5" w:rsidRPr="00F8007E">
        <w:rPr>
          <w:sz w:val="22"/>
        </w:rPr>
        <w:t xml:space="preserve"> avril</w:t>
      </w:r>
      <w:r w:rsidR="00A347B5" w:rsidRPr="00F8007E">
        <w:rPr>
          <w:sz w:val="22"/>
        </w:rPr>
        <w:t xml:space="preserve"> 202</w:t>
      </w:r>
      <w:r w:rsidR="007D2EDD">
        <w:rPr>
          <w:sz w:val="22"/>
        </w:rPr>
        <w:t>7</w:t>
      </w:r>
    </w:p>
    <w:p w14:paraId="5A8F8E98" w14:textId="774A8BEA" w:rsidR="0079290F" w:rsidRPr="00F8007E" w:rsidRDefault="007929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Pr>
          <w:sz w:val="22"/>
        </w:rPr>
        <w:t>Du lundi 19 avril au vendredi 30 avril 2027</w:t>
      </w:r>
    </w:p>
    <w:p w14:paraId="6C1B7CA7"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58A15A4"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- 1</w:t>
      </w:r>
      <w:r w:rsidRPr="00F8007E">
        <w:rPr>
          <w:sz w:val="22"/>
          <w:vertAlign w:val="superscript"/>
        </w:rPr>
        <w:t>ère</w:t>
      </w:r>
      <w:r w:rsidRPr="00F8007E">
        <w:rPr>
          <w:sz w:val="22"/>
        </w:rPr>
        <w:t xml:space="preserve"> session d’examens du 2</w:t>
      </w:r>
      <w:r w:rsidRPr="00F8007E">
        <w:rPr>
          <w:sz w:val="22"/>
          <w:vertAlign w:val="superscript"/>
        </w:rPr>
        <w:t>ème</w:t>
      </w:r>
      <w:r w:rsidRPr="00F8007E">
        <w:rPr>
          <w:sz w:val="22"/>
        </w:rPr>
        <w:t xml:space="preserve"> semestre :</w:t>
      </w:r>
    </w:p>
    <w:p w14:paraId="4D6D21E6" w14:textId="445B83C0"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565055">
        <w:rPr>
          <w:sz w:val="22"/>
        </w:rPr>
        <w:t xml:space="preserve">mardi </w:t>
      </w:r>
      <w:r w:rsidR="00903184">
        <w:rPr>
          <w:sz w:val="22"/>
        </w:rPr>
        <w:t xml:space="preserve">4 </w:t>
      </w:r>
      <w:r w:rsidR="00404AA5" w:rsidRPr="00F8007E">
        <w:rPr>
          <w:sz w:val="22"/>
        </w:rPr>
        <w:t>mai</w:t>
      </w:r>
      <w:r w:rsidR="00225A26" w:rsidRPr="00F8007E">
        <w:rPr>
          <w:sz w:val="22"/>
        </w:rPr>
        <w:t xml:space="preserve"> au </w:t>
      </w:r>
      <w:r w:rsidR="00177A8B">
        <w:rPr>
          <w:sz w:val="22"/>
        </w:rPr>
        <w:t xml:space="preserve">mardi 25 </w:t>
      </w:r>
      <w:r w:rsidR="00A347B5" w:rsidRPr="00F8007E">
        <w:rPr>
          <w:sz w:val="22"/>
        </w:rPr>
        <w:t>mai 202</w:t>
      </w:r>
      <w:r w:rsidR="00177A8B">
        <w:rPr>
          <w:sz w:val="22"/>
        </w:rPr>
        <w:t>7</w:t>
      </w:r>
    </w:p>
    <w:p w14:paraId="6EBA4EF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C75495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3A8AFA7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- 2</w:t>
      </w:r>
      <w:r w:rsidRPr="00F8007E">
        <w:rPr>
          <w:sz w:val="22"/>
          <w:vertAlign w:val="superscript"/>
        </w:rPr>
        <w:t>ème</w:t>
      </w:r>
      <w:r w:rsidRPr="00F8007E">
        <w:rPr>
          <w:sz w:val="22"/>
        </w:rPr>
        <w:t xml:space="preserve"> session (rattrapages des 1</w:t>
      </w:r>
      <w:r w:rsidRPr="00F8007E">
        <w:rPr>
          <w:sz w:val="22"/>
          <w:vertAlign w:val="superscript"/>
        </w:rPr>
        <w:t>er</w:t>
      </w:r>
      <w:r w:rsidRPr="00F8007E">
        <w:rPr>
          <w:sz w:val="22"/>
        </w:rPr>
        <w:t xml:space="preserve"> et 2</w:t>
      </w:r>
      <w:r w:rsidRPr="00F8007E">
        <w:rPr>
          <w:sz w:val="22"/>
          <w:vertAlign w:val="superscript"/>
        </w:rPr>
        <w:t>ème</w:t>
      </w:r>
      <w:r w:rsidRPr="00F8007E">
        <w:rPr>
          <w:sz w:val="22"/>
        </w:rPr>
        <w:t xml:space="preserve"> semestres) :</w:t>
      </w:r>
    </w:p>
    <w:p w14:paraId="00B6ED04" w14:textId="552C0FFE"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79290F">
        <w:rPr>
          <w:sz w:val="22"/>
        </w:rPr>
        <w:t>mercredi 16</w:t>
      </w:r>
      <w:r w:rsidR="00903184">
        <w:rPr>
          <w:sz w:val="22"/>
        </w:rPr>
        <w:t xml:space="preserve"> </w:t>
      </w:r>
      <w:r w:rsidR="00404AA5" w:rsidRPr="00F8007E">
        <w:rPr>
          <w:sz w:val="22"/>
        </w:rPr>
        <w:t>juin</w:t>
      </w:r>
      <w:r w:rsidR="00225A26" w:rsidRPr="00F8007E">
        <w:rPr>
          <w:sz w:val="22"/>
        </w:rPr>
        <w:t xml:space="preserve"> au </w:t>
      </w:r>
      <w:r w:rsidR="00404AA5" w:rsidRPr="00F8007E">
        <w:rPr>
          <w:sz w:val="22"/>
        </w:rPr>
        <w:t xml:space="preserve">samedi </w:t>
      </w:r>
      <w:r w:rsidR="0079290F">
        <w:rPr>
          <w:sz w:val="22"/>
        </w:rPr>
        <w:t>3</w:t>
      </w:r>
      <w:r w:rsidR="00404AA5" w:rsidRPr="00F8007E">
        <w:rPr>
          <w:sz w:val="22"/>
        </w:rPr>
        <w:t xml:space="preserve"> juillet 202</w:t>
      </w:r>
      <w:r w:rsidR="0079290F">
        <w:rPr>
          <w:sz w:val="22"/>
        </w:rPr>
        <w:t>7</w:t>
      </w:r>
    </w:p>
    <w:p w14:paraId="04AF60C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571FD60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w:t>
      </w:r>
    </w:p>
    <w:p w14:paraId="7B63CBC7" w14:textId="4D9C0E10" w:rsidR="00225A26" w:rsidRPr="0015260F" w:rsidRDefault="00662BD9"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2"/>
          <w:u w:val="single"/>
        </w:rPr>
      </w:pPr>
      <w:r w:rsidRPr="0015260F">
        <w:rPr>
          <w:color w:val="C00000"/>
          <w:sz w:val="22"/>
          <w:u w:val="single"/>
        </w:rPr>
        <w:t xml:space="preserve">Vacances universitaires </w:t>
      </w:r>
      <w:r w:rsidR="00A347B5" w:rsidRPr="0015260F">
        <w:rPr>
          <w:color w:val="C00000"/>
          <w:sz w:val="22"/>
          <w:u w:val="single"/>
        </w:rPr>
        <w:t>20</w:t>
      </w:r>
      <w:r w:rsidR="00D40785" w:rsidRPr="0015260F">
        <w:rPr>
          <w:color w:val="C00000"/>
          <w:sz w:val="22"/>
          <w:u w:val="single"/>
        </w:rPr>
        <w:t>2</w:t>
      </w:r>
      <w:r w:rsidR="008E5012">
        <w:rPr>
          <w:color w:val="C00000"/>
          <w:sz w:val="22"/>
          <w:u w:val="single"/>
        </w:rPr>
        <w:t>6</w:t>
      </w:r>
      <w:r w:rsidR="00A347B5" w:rsidRPr="0015260F">
        <w:rPr>
          <w:color w:val="C00000"/>
          <w:sz w:val="22"/>
          <w:u w:val="single"/>
        </w:rPr>
        <w:t>-202</w:t>
      </w:r>
      <w:r w:rsidR="008E5012">
        <w:rPr>
          <w:color w:val="C00000"/>
          <w:sz w:val="22"/>
          <w:u w:val="single"/>
        </w:rPr>
        <w:t>7</w:t>
      </w:r>
    </w:p>
    <w:p w14:paraId="3E8D9970"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5944392C" w14:textId="16892BA6"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TOUSSAINT :</w:t>
      </w:r>
      <w:r w:rsidRPr="00F8007E">
        <w:rPr>
          <w:sz w:val="22"/>
        </w:rPr>
        <w:t xml:space="preserve"> du </w:t>
      </w:r>
      <w:r w:rsidR="00570003" w:rsidRPr="00F8007E">
        <w:rPr>
          <w:sz w:val="22"/>
        </w:rPr>
        <w:t xml:space="preserve">samedi </w:t>
      </w:r>
      <w:r w:rsidR="00D4286E" w:rsidRPr="00F8007E">
        <w:rPr>
          <w:sz w:val="22"/>
        </w:rPr>
        <w:t>2</w:t>
      </w:r>
      <w:r w:rsidR="008E5012">
        <w:rPr>
          <w:sz w:val="22"/>
        </w:rPr>
        <w:t>4</w:t>
      </w:r>
      <w:r w:rsidR="00306BAF" w:rsidRPr="00F8007E">
        <w:rPr>
          <w:sz w:val="22"/>
        </w:rPr>
        <w:t xml:space="preserve"> octobre 20</w:t>
      </w:r>
      <w:r w:rsidR="00D4286E" w:rsidRPr="00F8007E">
        <w:rPr>
          <w:sz w:val="22"/>
        </w:rPr>
        <w:t>2</w:t>
      </w:r>
      <w:r w:rsidR="008E5012">
        <w:rPr>
          <w:sz w:val="22"/>
        </w:rPr>
        <w:t>6</w:t>
      </w:r>
      <w:r w:rsidR="00597BBF" w:rsidRPr="00F8007E">
        <w:rPr>
          <w:sz w:val="22"/>
        </w:rPr>
        <w:t xml:space="preserve"> </w:t>
      </w:r>
      <w:r w:rsidRPr="00F8007E">
        <w:rPr>
          <w:sz w:val="22"/>
        </w:rPr>
        <w:t xml:space="preserve">au soir au </w:t>
      </w:r>
      <w:r w:rsidR="00DD378C" w:rsidRPr="00F8007E">
        <w:rPr>
          <w:sz w:val="22"/>
        </w:rPr>
        <w:t xml:space="preserve">lundi </w:t>
      </w:r>
      <w:r w:rsidR="008E5012">
        <w:rPr>
          <w:sz w:val="22"/>
        </w:rPr>
        <w:t>2</w:t>
      </w:r>
      <w:r w:rsidR="00D4286E" w:rsidRPr="00F8007E">
        <w:rPr>
          <w:sz w:val="22"/>
        </w:rPr>
        <w:t xml:space="preserve"> </w:t>
      </w:r>
      <w:r w:rsidR="00306BAF" w:rsidRPr="00F8007E">
        <w:rPr>
          <w:sz w:val="22"/>
        </w:rPr>
        <w:t>novembre 20</w:t>
      </w:r>
      <w:r w:rsidR="00D4286E" w:rsidRPr="00F8007E">
        <w:rPr>
          <w:sz w:val="22"/>
        </w:rPr>
        <w:t>2</w:t>
      </w:r>
      <w:r w:rsidR="008E5012">
        <w:rPr>
          <w:sz w:val="22"/>
        </w:rPr>
        <w:t>6</w:t>
      </w:r>
      <w:r w:rsidRPr="00F8007E">
        <w:rPr>
          <w:sz w:val="22"/>
        </w:rPr>
        <w:t xml:space="preserve"> au matin</w:t>
      </w:r>
    </w:p>
    <w:p w14:paraId="295244DF" w14:textId="4DBC8FC1"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NOËL :</w:t>
      </w:r>
      <w:r w:rsidRPr="00F8007E">
        <w:rPr>
          <w:sz w:val="22"/>
        </w:rPr>
        <w:t xml:space="preserve"> du </w:t>
      </w:r>
      <w:r w:rsidR="00795278" w:rsidRPr="00F8007E">
        <w:rPr>
          <w:sz w:val="22"/>
        </w:rPr>
        <w:t xml:space="preserve">samedi </w:t>
      </w:r>
      <w:r w:rsidR="008E5012">
        <w:rPr>
          <w:sz w:val="22"/>
        </w:rPr>
        <w:t>19</w:t>
      </w:r>
      <w:r w:rsidR="007520CA" w:rsidRPr="00F8007E">
        <w:rPr>
          <w:sz w:val="22"/>
        </w:rPr>
        <w:t xml:space="preserve"> d</w:t>
      </w:r>
      <w:r w:rsidR="00816ABE" w:rsidRPr="00F8007E">
        <w:rPr>
          <w:sz w:val="22"/>
        </w:rPr>
        <w:t>écembre 20</w:t>
      </w:r>
      <w:r w:rsidR="00024690" w:rsidRPr="00F8007E">
        <w:rPr>
          <w:sz w:val="22"/>
        </w:rPr>
        <w:t>2</w:t>
      </w:r>
      <w:r w:rsidR="008E5012">
        <w:rPr>
          <w:sz w:val="22"/>
        </w:rPr>
        <w:t>6</w:t>
      </w:r>
      <w:r w:rsidRPr="00F8007E">
        <w:rPr>
          <w:sz w:val="22"/>
        </w:rPr>
        <w:t xml:space="preserve"> au soir au </w:t>
      </w:r>
      <w:r w:rsidR="00795278" w:rsidRPr="00F8007E">
        <w:rPr>
          <w:sz w:val="22"/>
        </w:rPr>
        <w:t xml:space="preserve">lundi </w:t>
      </w:r>
      <w:r w:rsidR="008E5012">
        <w:rPr>
          <w:sz w:val="22"/>
        </w:rPr>
        <w:t>4</w:t>
      </w:r>
      <w:r w:rsidR="002632D9" w:rsidRPr="00F8007E">
        <w:rPr>
          <w:sz w:val="22"/>
        </w:rPr>
        <w:t xml:space="preserve"> janvier </w:t>
      </w:r>
      <w:r w:rsidR="00816ABE" w:rsidRPr="00F8007E">
        <w:rPr>
          <w:sz w:val="22"/>
        </w:rPr>
        <w:t>202</w:t>
      </w:r>
      <w:r w:rsidR="008E5012">
        <w:rPr>
          <w:sz w:val="22"/>
        </w:rPr>
        <w:t>7</w:t>
      </w:r>
      <w:r w:rsidRPr="00F8007E">
        <w:rPr>
          <w:sz w:val="22"/>
        </w:rPr>
        <w:t xml:space="preserve"> au matin</w:t>
      </w:r>
    </w:p>
    <w:p w14:paraId="5428EA77" w14:textId="7E738258"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HIVER :</w:t>
      </w:r>
      <w:r w:rsidRPr="00F8007E">
        <w:rPr>
          <w:sz w:val="22"/>
        </w:rPr>
        <w:t xml:space="preserve"> du </w:t>
      </w:r>
      <w:r w:rsidR="002632D9" w:rsidRPr="00F8007E">
        <w:rPr>
          <w:sz w:val="22"/>
        </w:rPr>
        <w:t xml:space="preserve">samedi </w:t>
      </w:r>
      <w:r w:rsidR="008E5012">
        <w:rPr>
          <w:sz w:val="22"/>
        </w:rPr>
        <w:t>13</w:t>
      </w:r>
      <w:r w:rsidR="00B67ABD" w:rsidRPr="00F8007E">
        <w:rPr>
          <w:sz w:val="22"/>
        </w:rPr>
        <w:t xml:space="preserve"> février 202</w:t>
      </w:r>
      <w:r w:rsidR="008E5012">
        <w:rPr>
          <w:sz w:val="22"/>
        </w:rPr>
        <w:t>7</w:t>
      </w:r>
      <w:r w:rsidRPr="00F8007E">
        <w:rPr>
          <w:sz w:val="22"/>
        </w:rPr>
        <w:t xml:space="preserve"> au soir au lundi </w:t>
      </w:r>
      <w:r w:rsidR="008E5012">
        <w:rPr>
          <w:sz w:val="22"/>
        </w:rPr>
        <w:t>22</w:t>
      </w:r>
      <w:r w:rsidR="004B779E" w:rsidRPr="00F8007E">
        <w:rPr>
          <w:sz w:val="22"/>
        </w:rPr>
        <w:t xml:space="preserve"> </w:t>
      </w:r>
      <w:r w:rsidR="00822FD6">
        <w:rPr>
          <w:sz w:val="22"/>
        </w:rPr>
        <w:t>février</w:t>
      </w:r>
      <w:r w:rsidR="00B67ABD" w:rsidRPr="00F8007E">
        <w:rPr>
          <w:sz w:val="22"/>
        </w:rPr>
        <w:t xml:space="preserve"> </w:t>
      </w:r>
      <w:r w:rsidR="004B779E" w:rsidRPr="00F8007E">
        <w:rPr>
          <w:sz w:val="22"/>
        </w:rPr>
        <w:t>202</w:t>
      </w:r>
      <w:r w:rsidR="008E5012">
        <w:rPr>
          <w:sz w:val="22"/>
        </w:rPr>
        <w:t>7</w:t>
      </w:r>
      <w:r w:rsidR="00903184">
        <w:rPr>
          <w:sz w:val="22"/>
        </w:rPr>
        <w:t xml:space="preserve"> </w:t>
      </w:r>
      <w:r w:rsidRPr="00F8007E">
        <w:rPr>
          <w:sz w:val="22"/>
        </w:rPr>
        <w:t>au matin</w:t>
      </w:r>
    </w:p>
    <w:p w14:paraId="40B7ADB3" w14:textId="609FD990"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PRINTEMPS :</w:t>
      </w:r>
      <w:r w:rsidRPr="00F8007E">
        <w:rPr>
          <w:sz w:val="22"/>
        </w:rPr>
        <w:t xml:space="preserve"> du samedi </w:t>
      </w:r>
      <w:r w:rsidR="008E5012">
        <w:rPr>
          <w:sz w:val="22"/>
        </w:rPr>
        <w:t>10</w:t>
      </w:r>
      <w:r w:rsidR="00956A73" w:rsidRPr="00F8007E">
        <w:rPr>
          <w:sz w:val="22"/>
        </w:rPr>
        <w:t xml:space="preserve"> </w:t>
      </w:r>
      <w:r w:rsidR="00B67ABD" w:rsidRPr="00F8007E">
        <w:rPr>
          <w:sz w:val="22"/>
        </w:rPr>
        <w:t>avril 202</w:t>
      </w:r>
      <w:r w:rsidR="008E5012">
        <w:rPr>
          <w:sz w:val="22"/>
        </w:rPr>
        <w:t>7</w:t>
      </w:r>
      <w:r w:rsidR="00903184">
        <w:rPr>
          <w:sz w:val="22"/>
        </w:rPr>
        <w:t xml:space="preserve"> </w:t>
      </w:r>
      <w:r w:rsidRPr="00F8007E">
        <w:rPr>
          <w:sz w:val="22"/>
        </w:rPr>
        <w:t xml:space="preserve">au soir au </w:t>
      </w:r>
      <w:r w:rsidR="00903184">
        <w:rPr>
          <w:sz w:val="22"/>
        </w:rPr>
        <w:t xml:space="preserve">lundi </w:t>
      </w:r>
      <w:r w:rsidR="008E5012">
        <w:rPr>
          <w:sz w:val="22"/>
        </w:rPr>
        <w:t>19 avril</w:t>
      </w:r>
      <w:r w:rsidR="00903184">
        <w:rPr>
          <w:sz w:val="22"/>
        </w:rPr>
        <w:t xml:space="preserve"> </w:t>
      </w:r>
      <w:r w:rsidR="008E5012">
        <w:rPr>
          <w:sz w:val="22"/>
        </w:rPr>
        <w:t xml:space="preserve">2027 </w:t>
      </w:r>
      <w:r w:rsidRPr="00F8007E">
        <w:rPr>
          <w:sz w:val="22"/>
        </w:rPr>
        <w:t>au matin</w:t>
      </w:r>
    </w:p>
    <w:p w14:paraId="618F7707" w14:textId="77777777" w:rsidR="00225A26" w:rsidRPr="00F8007E" w:rsidRDefault="00225A26" w:rsidP="005D4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sectPr w:rsidR="00225A26" w:rsidRPr="00F8007E" w:rsidSect="003158F5">
          <w:footerReference w:type="default" r:id="rId13"/>
          <w:pgSz w:w="16838" w:h="11906" w:orient="landscape"/>
          <w:pgMar w:top="709" w:right="1134" w:bottom="907" w:left="1134" w:header="708" w:footer="708" w:gutter="0"/>
          <w:cols w:space="708"/>
        </w:sectPr>
      </w:pPr>
    </w:p>
    <w:p w14:paraId="44D6DD5B" w14:textId="77777777" w:rsidR="00D76D4B" w:rsidRPr="00F8007E" w:rsidRDefault="00D76D4B" w:rsidP="00D76D4B">
      <w:r w:rsidRPr="00F8007E">
        <w:t>Inscription</w:t>
      </w:r>
    </w:p>
    <w:p w14:paraId="01F6D08B" w14:textId="77777777" w:rsidR="00D76D4B" w:rsidRPr="00F8007E" w:rsidRDefault="00D76D4B" w:rsidP="00D76D4B"/>
    <w:p w14:paraId="74AB07DC" w14:textId="77777777" w:rsidR="00D76D4B" w:rsidRPr="009924FD" w:rsidRDefault="00D76D4B" w:rsidP="00D76D4B">
      <w:pPr>
        <w:jc w:val="both"/>
        <w:rPr>
          <w:b w:val="0"/>
          <w:bCs/>
        </w:rPr>
      </w:pPr>
      <w:r w:rsidRPr="009924FD">
        <w:rPr>
          <w:b w:val="0"/>
          <w:bCs/>
        </w:rPr>
        <w:t>L’inscription administrative est annuelle.</w:t>
      </w:r>
    </w:p>
    <w:p w14:paraId="605978EF" w14:textId="77777777" w:rsidR="00D76D4B" w:rsidRPr="009924FD" w:rsidRDefault="00D76D4B" w:rsidP="00D76D4B">
      <w:pPr>
        <w:jc w:val="both"/>
        <w:rPr>
          <w:b w:val="0"/>
          <w:bCs/>
        </w:rPr>
      </w:pPr>
      <w:r w:rsidRPr="009924FD">
        <w:rPr>
          <w:b w:val="0"/>
          <w:bCs/>
        </w:rPr>
        <w:t>L’inscription pédagogique en Licence 3 est faite en début d’année universitaire pour le semestre 1 et à l’automne (ou en janvier) pour le semestre 2 avec possibilité de modifications au plus tard dans les deux semaines qui suivent le début du semestre d’enseignement</w:t>
      </w:r>
      <w:r w:rsidRPr="009924FD">
        <w:rPr>
          <w:b w:val="0"/>
          <w:bCs/>
          <w:color w:val="FF0000"/>
        </w:rPr>
        <w:t xml:space="preserve">. </w:t>
      </w:r>
      <w:r w:rsidRPr="009924FD">
        <w:rPr>
          <w:b w:val="0"/>
          <w:bCs/>
        </w:rPr>
        <w:t>Ces inscriptions sont effectuées en fonction du nombre de places disponibles dans les groupes de TD.</w:t>
      </w:r>
    </w:p>
    <w:p w14:paraId="63815CE3" w14:textId="77777777" w:rsidR="00D76D4B" w:rsidRPr="009924FD" w:rsidRDefault="00D76D4B" w:rsidP="00D76D4B">
      <w:pPr>
        <w:jc w:val="both"/>
        <w:rPr>
          <w:b w:val="0"/>
          <w:bCs/>
        </w:rPr>
      </w:pPr>
      <w:r w:rsidRPr="009924FD">
        <w:rPr>
          <w:b w:val="0"/>
          <w:bCs/>
        </w:rPr>
        <w:t>Tout</w:t>
      </w:r>
      <w:r>
        <w:rPr>
          <w:b w:val="0"/>
          <w:bCs/>
        </w:rPr>
        <w:t>-e</w:t>
      </w:r>
      <w:r w:rsidRPr="009924FD">
        <w:rPr>
          <w:b w:val="0"/>
          <w:bCs/>
        </w:rPr>
        <w:t xml:space="preserve"> étudiant</w:t>
      </w:r>
      <w:r>
        <w:rPr>
          <w:b w:val="0"/>
          <w:bCs/>
        </w:rPr>
        <w:t>-e</w:t>
      </w:r>
      <w:r w:rsidRPr="009924FD">
        <w:rPr>
          <w:b w:val="0"/>
          <w:bCs/>
        </w:rPr>
        <w:t xml:space="preserve"> répondant aux conditions prévues par la charte des étudiant</w:t>
      </w:r>
      <w:r>
        <w:rPr>
          <w:b w:val="0"/>
          <w:bCs/>
        </w:rPr>
        <w:t>-e-</w:t>
      </w:r>
      <w:r w:rsidRPr="009924FD">
        <w:rPr>
          <w:b w:val="0"/>
          <w:bCs/>
        </w:rPr>
        <w:t xml:space="preserve">s salariés peut bénéficier des dispositions prévues à ladite charte (voir le site https://www.pantheonsorbonne.fr, rubrique </w:t>
      </w:r>
      <w:r>
        <w:rPr>
          <w:b w:val="0"/>
          <w:bCs/>
        </w:rPr>
        <w:t>« </w:t>
      </w:r>
      <w:r w:rsidRPr="009924FD">
        <w:rPr>
          <w:b w:val="0"/>
          <w:bCs/>
        </w:rPr>
        <w:t>Vie étudiante</w:t>
      </w:r>
      <w:r>
        <w:rPr>
          <w:b w:val="0"/>
          <w:bCs/>
        </w:rPr>
        <w:t> »</w:t>
      </w:r>
      <w:r w:rsidRPr="009924FD">
        <w:rPr>
          <w:b w:val="0"/>
          <w:bCs/>
        </w:rPr>
        <w:t>)</w:t>
      </w:r>
    </w:p>
    <w:p w14:paraId="74D5582A" w14:textId="77777777" w:rsidR="00D76D4B" w:rsidRPr="00F8007E" w:rsidRDefault="00D76D4B" w:rsidP="00D76D4B">
      <w:pPr>
        <w:jc w:val="both"/>
      </w:pPr>
    </w:p>
    <w:p w14:paraId="37A42C15" w14:textId="77777777" w:rsidR="00D76D4B" w:rsidRPr="00F8007E" w:rsidRDefault="00D76D4B" w:rsidP="00D76D4B">
      <w:pPr>
        <w:jc w:val="both"/>
      </w:pPr>
      <w:r w:rsidRPr="00F8007E">
        <w:t>Progression</w:t>
      </w:r>
    </w:p>
    <w:p w14:paraId="303BFFF7" w14:textId="77777777" w:rsidR="00D76D4B" w:rsidRPr="00F8007E" w:rsidRDefault="00D76D4B" w:rsidP="00D76D4B">
      <w:pPr>
        <w:jc w:val="both"/>
      </w:pPr>
    </w:p>
    <w:p w14:paraId="08D77482"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auquel ne manque qu’un semestre peut s’inscrire dans l’année suivante.</w:t>
      </w:r>
    </w:p>
    <w:p w14:paraId="4C9D6788" w14:textId="77777777" w:rsidR="00D76D4B" w:rsidRPr="009924FD" w:rsidRDefault="00D76D4B" w:rsidP="00D76D4B">
      <w:pPr>
        <w:jc w:val="both"/>
        <w:rPr>
          <w:b w:val="0"/>
          <w:bCs/>
        </w:rPr>
      </w:pPr>
      <w:r w:rsidRPr="009924FD">
        <w:rPr>
          <w:b w:val="0"/>
          <w:bCs/>
        </w:rPr>
        <w:t>Dans ces conditions, un</w:t>
      </w:r>
      <w:r>
        <w:rPr>
          <w:b w:val="0"/>
          <w:bCs/>
        </w:rPr>
        <w:t>-e</w:t>
      </w:r>
      <w:r w:rsidRPr="009924FD">
        <w:rPr>
          <w:b w:val="0"/>
          <w:bCs/>
        </w:rPr>
        <w:t xml:space="preserve"> étudiant</w:t>
      </w:r>
      <w:r>
        <w:rPr>
          <w:b w:val="0"/>
          <w:bCs/>
        </w:rPr>
        <w:t>-e</w:t>
      </w:r>
      <w:r w:rsidRPr="009924FD">
        <w:rPr>
          <w:b w:val="0"/>
          <w:bCs/>
        </w:rPr>
        <w:t xml:space="preserve"> peut s’inscrire simultanément dans deux années d’études consécutives de la même formation. Toutefois, un</w:t>
      </w:r>
      <w:r>
        <w:rPr>
          <w:b w:val="0"/>
          <w:bCs/>
        </w:rPr>
        <w:t>-e</w:t>
      </w:r>
      <w:r w:rsidRPr="009924FD">
        <w:rPr>
          <w:b w:val="0"/>
          <w:bCs/>
        </w:rPr>
        <w:t xml:space="preserve"> étudiant</w:t>
      </w:r>
      <w:r>
        <w:rPr>
          <w:b w:val="0"/>
          <w:bCs/>
        </w:rPr>
        <w:t>-e</w:t>
      </w:r>
      <w:r w:rsidRPr="009924FD">
        <w:rPr>
          <w:b w:val="0"/>
          <w:bCs/>
        </w:rPr>
        <w:t xml:space="preserve"> ne peut s’inscrire en L3 s’il n’a pas validé les semestres 1 et 2 de L1.</w:t>
      </w:r>
    </w:p>
    <w:p w14:paraId="4D99B11C" w14:textId="77777777" w:rsidR="00D76D4B" w:rsidRPr="009924FD" w:rsidRDefault="00D76D4B" w:rsidP="00D76D4B">
      <w:pPr>
        <w:jc w:val="both"/>
        <w:rPr>
          <w:b w:val="0"/>
          <w:bCs/>
        </w:rPr>
      </w:pPr>
      <w:r w:rsidRPr="009924FD">
        <w:rPr>
          <w:b w:val="0"/>
          <w:bCs/>
        </w:rPr>
        <w:t>De même un</w:t>
      </w:r>
      <w:r>
        <w:rPr>
          <w:b w:val="0"/>
          <w:bCs/>
        </w:rPr>
        <w:t>-e</w:t>
      </w:r>
      <w:r w:rsidRPr="009924FD">
        <w:rPr>
          <w:b w:val="0"/>
          <w:bCs/>
        </w:rPr>
        <w:t xml:space="preserve"> étudiant</w:t>
      </w:r>
      <w:r>
        <w:rPr>
          <w:b w:val="0"/>
          <w:bCs/>
        </w:rPr>
        <w:t>-e</w:t>
      </w:r>
      <w:r w:rsidRPr="009924FD">
        <w:rPr>
          <w:b w:val="0"/>
          <w:bCs/>
        </w:rPr>
        <w:t xml:space="preserve"> ne peut s’inscrire en M1 sans avoir obtenu la </w:t>
      </w:r>
      <w:r w:rsidRPr="009924FD">
        <w:rPr>
          <w:b w:val="0"/>
          <w:bCs/>
          <w:u w:val="single"/>
        </w:rPr>
        <w:t>totalité</w:t>
      </w:r>
      <w:r w:rsidRPr="009924FD">
        <w:rPr>
          <w:b w:val="0"/>
          <w:bCs/>
        </w:rPr>
        <w:t xml:space="preserve"> de la Licence (6 semestres et 180 ECTS). Il n’y a donc pas d’inscription en AJAC L3/M1. Aucune dérogation à ce principe ne peut être accordée.</w:t>
      </w:r>
    </w:p>
    <w:p w14:paraId="1C2C5DCF" w14:textId="77777777" w:rsidR="00D76D4B" w:rsidRPr="00F8007E" w:rsidRDefault="00D76D4B" w:rsidP="00D76D4B">
      <w:pPr>
        <w:jc w:val="both"/>
      </w:pPr>
    </w:p>
    <w:p w14:paraId="6D17917B" w14:textId="77777777" w:rsidR="00D76D4B" w:rsidRDefault="00D76D4B" w:rsidP="00D76D4B">
      <w:pPr>
        <w:jc w:val="both"/>
      </w:pPr>
    </w:p>
    <w:p w14:paraId="3C35203B" w14:textId="77777777" w:rsidR="00D76D4B" w:rsidRDefault="00D76D4B" w:rsidP="00D76D4B">
      <w:pPr>
        <w:jc w:val="both"/>
      </w:pPr>
    </w:p>
    <w:p w14:paraId="5D225DB6" w14:textId="77777777" w:rsidR="00D76D4B" w:rsidRPr="00F8007E" w:rsidRDefault="00D76D4B" w:rsidP="00D76D4B">
      <w:pPr>
        <w:jc w:val="both"/>
      </w:pPr>
    </w:p>
    <w:p w14:paraId="0A71E6A3" w14:textId="77777777" w:rsidR="00D76D4B" w:rsidRPr="00F8007E" w:rsidRDefault="00D76D4B" w:rsidP="00D76D4B">
      <w:pPr>
        <w:jc w:val="both"/>
      </w:pPr>
    </w:p>
    <w:p w14:paraId="4EA9B4AF" w14:textId="77777777" w:rsidR="00D76D4B" w:rsidRPr="00F8007E" w:rsidRDefault="00D76D4B" w:rsidP="00D76D4B">
      <w:pPr>
        <w:jc w:val="both"/>
      </w:pPr>
      <w:r w:rsidRPr="00F8007E">
        <w:t>L3 générale d’Histoire</w:t>
      </w:r>
    </w:p>
    <w:p w14:paraId="5F8583A0" w14:textId="77777777" w:rsidR="00D76D4B" w:rsidRPr="009924FD" w:rsidRDefault="00D76D4B" w:rsidP="00D76D4B">
      <w:pPr>
        <w:jc w:val="both"/>
        <w:rPr>
          <w:b w:val="0"/>
          <w:bCs/>
        </w:rPr>
      </w:pPr>
      <w:r w:rsidRPr="009924FD">
        <w:rPr>
          <w:b w:val="0"/>
          <w:bCs/>
        </w:rPr>
        <w:t>L’année de Licence 3 (L3) est une année d’approfondissement. L’étudiant</w:t>
      </w:r>
      <w:r>
        <w:rPr>
          <w:b w:val="0"/>
          <w:bCs/>
        </w:rPr>
        <w:t>-e</w:t>
      </w:r>
      <w:r w:rsidRPr="009924FD">
        <w:rPr>
          <w:b w:val="0"/>
          <w:bCs/>
        </w:rPr>
        <w:t xml:space="preserve"> doit, pour chacune des quatre périodes constituant la discipline (Histoire Ancienne, Histoire Médiévale, Histoire Moderne, Histoire Contemporaine), s’attacher à étudier et à connaître une des questions proposées à sa curiosité (ex : Histoire de l’Empire romain, Histoire du bas Moyen-âge, Histoire de l’Europe moderne, Histoire de la Russie contemporaine, etc.)</w:t>
      </w:r>
    </w:p>
    <w:p w14:paraId="20177A1A" w14:textId="77777777" w:rsidR="00D76D4B" w:rsidRPr="009924FD" w:rsidRDefault="00D76D4B" w:rsidP="00D76D4B">
      <w:pPr>
        <w:jc w:val="both"/>
        <w:rPr>
          <w:b w:val="0"/>
          <w:bCs/>
        </w:rPr>
      </w:pPr>
      <w:r w:rsidRPr="009924FD">
        <w:rPr>
          <w:b w:val="0"/>
          <w:bCs/>
        </w:rPr>
        <w:t>Chacune de ces questions est traitée sous forme de cours</w:t>
      </w:r>
      <w:r>
        <w:rPr>
          <w:b w:val="0"/>
          <w:bCs/>
        </w:rPr>
        <w:t xml:space="preserve"> magistral</w:t>
      </w:r>
      <w:r w:rsidRPr="009924FD">
        <w:rPr>
          <w:b w:val="0"/>
          <w:bCs/>
        </w:rPr>
        <w:t xml:space="preserve"> (1 heure par semaine) et de travaux dirigés (un bloc de 2 heures par semaine). </w:t>
      </w:r>
    </w:p>
    <w:p w14:paraId="3FB3FD47" w14:textId="77777777" w:rsidR="00D76D4B" w:rsidRPr="009924FD" w:rsidRDefault="00D76D4B" w:rsidP="00D76D4B">
      <w:pPr>
        <w:jc w:val="both"/>
        <w:rPr>
          <w:b w:val="0"/>
          <w:bCs/>
        </w:rPr>
      </w:pPr>
      <w:r w:rsidRPr="009924FD">
        <w:rPr>
          <w:b w:val="0"/>
          <w:bCs/>
        </w:rPr>
        <w:t>Les enseignements sont regroupés en Unités d’enseignement (UE).</w:t>
      </w:r>
    </w:p>
    <w:p w14:paraId="770871B8" w14:textId="5C5E8869" w:rsidR="00D76D4B" w:rsidRPr="009924FD" w:rsidRDefault="00D76D4B" w:rsidP="00D76D4B">
      <w:pPr>
        <w:jc w:val="both"/>
        <w:rPr>
          <w:b w:val="0"/>
          <w:bCs/>
        </w:rPr>
      </w:pPr>
      <w:r w:rsidRPr="009924FD">
        <w:rPr>
          <w:b w:val="0"/>
          <w:bCs/>
        </w:rPr>
        <w:t>L’UE1 dite « UE</w:t>
      </w:r>
      <w:r>
        <w:rPr>
          <w:b w:val="0"/>
          <w:bCs/>
        </w:rPr>
        <w:t xml:space="preserve"> </w:t>
      </w:r>
      <w:r w:rsidRPr="009924FD">
        <w:rPr>
          <w:b w:val="0"/>
          <w:bCs/>
        </w:rPr>
        <w:t>1 fondamentale </w:t>
      </w:r>
      <w:r>
        <w:rPr>
          <w:b w:val="0"/>
          <w:bCs/>
        </w:rPr>
        <w:t>Histoire</w:t>
      </w:r>
      <w:r w:rsidRPr="009924FD">
        <w:rPr>
          <w:b w:val="0"/>
          <w:bCs/>
        </w:rPr>
        <w:t xml:space="preserve"> » est composée de </w:t>
      </w:r>
      <w:r>
        <w:rPr>
          <w:b w:val="0"/>
          <w:bCs/>
        </w:rPr>
        <w:t>quatre</w:t>
      </w:r>
      <w:r w:rsidRPr="009924FD">
        <w:rPr>
          <w:b w:val="0"/>
          <w:bCs/>
        </w:rPr>
        <w:t xml:space="preserve"> Eléments pédagogiques (ELP) ou matières, soit une matière par période historique.</w:t>
      </w:r>
    </w:p>
    <w:p w14:paraId="19FF9363" w14:textId="77777777" w:rsidR="00D76D4B" w:rsidRPr="009924FD" w:rsidRDefault="00D76D4B" w:rsidP="00D76D4B">
      <w:pPr>
        <w:jc w:val="both"/>
        <w:rPr>
          <w:b w:val="0"/>
          <w:bCs/>
        </w:rPr>
      </w:pPr>
      <w:r w:rsidRPr="009924FD">
        <w:rPr>
          <w:b w:val="0"/>
          <w:bCs/>
        </w:rPr>
        <w:t>Une deuxième Unité d'enseignement dite « UE</w:t>
      </w:r>
      <w:r>
        <w:rPr>
          <w:b w:val="0"/>
          <w:bCs/>
        </w:rPr>
        <w:t xml:space="preserve"> </w:t>
      </w:r>
      <w:r w:rsidRPr="009924FD">
        <w:rPr>
          <w:b w:val="0"/>
          <w:bCs/>
        </w:rPr>
        <w:t xml:space="preserve">2 complémentaire » est constituée de l’apprentissage de </w:t>
      </w:r>
      <w:r>
        <w:rPr>
          <w:b w:val="0"/>
          <w:bCs/>
        </w:rPr>
        <w:t>deux E</w:t>
      </w:r>
      <w:r w:rsidRPr="009924FD">
        <w:rPr>
          <w:b w:val="0"/>
          <w:bCs/>
        </w:rPr>
        <w:t xml:space="preserve">LP à choisir parmi les ELP proposés </w:t>
      </w:r>
      <w:r>
        <w:rPr>
          <w:b w:val="0"/>
          <w:bCs/>
        </w:rPr>
        <w:t>dans les domaines suivants :</w:t>
      </w:r>
      <w:r w:rsidRPr="009924FD">
        <w:rPr>
          <w:b w:val="0"/>
          <w:bCs/>
        </w:rPr>
        <w:t xml:space="preserve"> « </w:t>
      </w:r>
      <w:r w:rsidRPr="00C20207">
        <w:rPr>
          <w:b w:val="0"/>
          <w:bCs/>
          <w:i/>
          <w:iCs/>
        </w:rPr>
        <w:t>Sources, méthodes, recherche</w:t>
      </w:r>
      <w:r>
        <w:rPr>
          <w:b w:val="0"/>
          <w:bCs/>
        </w:rPr>
        <w:t> »,</w:t>
      </w:r>
      <w:r w:rsidRPr="009924FD">
        <w:rPr>
          <w:b w:val="0"/>
          <w:bCs/>
        </w:rPr>
        <w:t xml:space="preserve"> « </w:t>
      </w:r>
      <w:r w:rsidRPr="00C20207">
        <w:rPr>
          <w:b w:val="0"/>
          <w:bCs/>
          <w:i/>
          <w:iCs/>
        </w:rPr>
        <w:t>Ouverture interdisciplinaire</w:t>
      </w:r>
      <w:r w:rsidRPr="009924FD">
        <w:rPr>
          <w:b w:val="0"/>
          <w:bCs/>
        </w:rPr>
        <w:t> », « </w:t>
      </w:r>
      <w:r w:rsidRPr="00C20207">
        <w:rPr>
          <w:b w:val="0"/>
          <w:bCs/>
          <w:i/>
          <w:iCs/>
        </w:rPr>
        <w:t>Préprofessionnalisation</w:t>
      </w:r>
      <w:r w:rsidRPr="009924FD">
        <w:rPr>
          <w:b w:val="0"/>
          <w:bCs/>
        </w:rPr>
        <w:t> », « </w:t>
      </w:r>
      <w:r w:rsidRPr="00C20207">
        <w:rPr>
          <w:b w:val="0"/>
          <w:bCs/>
          <w:i/>
          <w:iCs/>
        </w:rPr>
        <w:t>International</w:t>
      </w:r>
      <w:r w:rsidRPr="009924FD">
        <w:rPr>
          <w:b w:val="0"/>
          <w:bCs/>
        </w:rPr>
        <w:t xml:space="preserve"> ». Il est possible de choisir les deux ELP dans le même domaine. </w:t>
      </w:r>
    </w:p>
    <w:p w14:paraId="7CC5F409" w14:textId="77777777" w:rsidR="00D76D4B" w:rsidRPr="009924FD" w:rsidRDefault="00D76D4B" w:rsidP="00D76D4B">
      <w:pPr>
        <w:jc w:val="both"/>
        <w:rPr>
          <w:b w:val="0"/>
          <w:bCs/>
        </w:rPr>
      </w:pPr>
      <w:r w:rsidRPr="009924FD">
        <w:rPr>
          <w:b w:val="0"/>
          <w:bCs/>
        </w:rPr>
        <w:t xml:space="preserve">Le choix des matières complémentaires est libre </w:t>
      </w:r>
      <w:r>
        <w:rPr>
          <w:b w:val="0"/>
          <w:bCs/>
        </w:rPr>
        <w:t xml:space="preserve">(sauf une exception ci-dessous) </w:t>
      </w:r>
      <w:r w:rsidRPr="009924FD">
        <w:rPr>
          <w:b w:val="0"/>
          <w:bCs/>
        </w:rPr>
        <w:t>et est guidé par l’orientation que l’étudiant</w:t>
      </w:r>
      <w:r>
        <w:rPr>
          <w:b w:val="0"/>
          <w:bCs/>
        </w:rPr>
        <w:t>-e</w:t>
      </w:r>
      <w:r w:rsidRPr="009924FD">
        <w:rPr>
          <w:b w:val="0"/>
          <w:bCs/>
        </w:rPr>
        <w:t xml:space="preserve"> souhaite donner à sa future vie professionnelle (concours administratifs, recherche, enseignement, culture et médias, etc.)</w:t>
      </w:r>
    </w:p>
    <w:p w14:paraId="512FEA84" w14:textId="77777777" w:rsidR="00D76D4B" w:rsidRPr="001D4A19" w:rsidRDefault="00D76D4B" w:rsidP="00D76D4B">
      <w:pPr>
        <w:jc w:val="both"/>
      </w:pPr>
      <w:r w:rsidRPr="009924FD">
        <w:rPr>
          <w:b w:val="0"/>
          <w:u w:val="single"/>
        </w:rPr>
        <w:t>Exception</w:t>
      </w:r>
      <w:r w:rsidRPr="001D4A19">
        <w:t> </w:t>
      </w:r>
      <w:r w:rsidRPr="009924FD">
        <w:rPr>
          <w:b w:val="0"/>
          <w:bCs/>
        </w:rPr>
        <w:t>:</w:t>
      </w:r>
      <w:r>
        <w:rPr>
          <w:b w:val="0"/>
          <w:bCs/>
        </w:rPr>
        <w:t xml:space="preserve"> </w:t>
      </w:r>
      <w:r w:rsidRPr="009924FD">
        <w:rPr>
          <w:b w:val="0"/>
          <w:bCs/>
        </w:rPr>
        <w:t xml:space="preserve">si on choisit l’ELP « Histoire moderne (sources et méthodes) » il est </w:t>
      </w:r>
      <w:r w:rsidRPr="009924FD">
        <w:rPr>
          <w:b w:val="0"/>
          <w:bCs/>
          <w:u w:val="single"/>
        </w:rPr>
        <w:t>obligatoire</w:t>
      </w:r>
      <w:r w:rsidRPr="009924FD">
        <w:rPr>
          <w:b w:val="0"/>
          <w:bCs/>
        </w:rPr>
        <w:t xml:space="preserve"> d’y associer l’ELP « Paléographie et institutions modernes »).</w:t>
      </w:r>
    </w:p>
    <w:p w14:paraId="36449D80" w14:textId="77777777" w:rsidR="00D76D4B" w:rsidRPr="009924FD" w:rsidRDefault="00D76D4B" w:rsidP="00D76D4B">
      <w:pPr>
        <w:jc w:val="both"/>
        <w:rPr>
          <w:b w:val="0"/>
          <w:bCs/>
        </w:rPr>
      </w:pPr>
      <w:r w:rsidRPr="009924FD">
        <w:rPr>
          <w:b w:val="0"/>
          <w:bCs/>
        </w:rPr>
        <w:t xml:space="preserve">Certains ELP </w:t>
      </w:r>
      <w:r>
        <w:rPr>
          <w:b w:val="0"/>
          <w:bCs/>
        </w:rPr>
        <w:t xml:space="preserve">complémentaires </w:t>
      </w:r>
      <w:r w:rsidRPr="009924FD">
        <w:rPr>
          <w:b w:val="0"/>
          <w:bCs/>
        </w:rPr>
        <w:t xml:space="preserve">sont enseignés dans d’autres UFR (Géographie, </w:t>
      </w:r>
      <w:r>
        <w:rPr>
          <w:b w:val="0"/>
          <w:bCs/>
        </w:rPr>
        <w:t>Droit,</w:t>
      </w:r>
      <w:r w:rsidRPr="009924FD">
        <w:rPr>
          <w:b w:val="0"/>
          <w:bCs/>
        </w:rPr>
        <w:t xml:space="preserve"> Département des langues, </w:t>
      </w:r>
      <w:r>
        <w:rPr>
          <w:b w:val="0"/>
          <w:bCs/>
        </w:rPr>
        <w:t xml:space="preserve">Droit, </w:t>
      </w:r>
      <w:r w:rsidRPr="009924FD">
        <w:rPr>
          <w:b w:val="0"/>
          <w:bCs/>
        </w:rPr>
        <w:t>etc.)</w:t>
      </w:r>
    </w:p>
    <w:p w14:paraId="015AFF49" w14:textId="77777777" w:rsidR="00D76D4B" w:rsidRPr="0051562D" w:rsidRDefault="00D76D4B" w:rsidP="00D76D4B">
      <w:pPr>
        <w:jc w:val="both"/>
        <w:rPr>
          <w:b w:val="0"/>
          <w:bCs/>
        </w:rPr>
      </w:pPr>
      <w:r w:rsidRPr="009924FD">
        <w:rPr>
          <w:b w:val="0"/>
          <w:bCs/>
        </w:rPr>
        <w:t>Une formation de langue obligatoire constitue une troisième UE dite « UE</w:t>
      </w:r>
      <w:r>
        <w:rPr>
          <w:b w:val="0"/>
          <w:bCs/>
        </w:rPr>
        <w:t xml:space="preserve"> </w:t>
      </w:r>
      <w:r w:rsidRPr="009924FD">
        <w:rPr>
          <w:b w:val="0"/>
          <w:bCs/>
        </w:rPr>
        <w:t>3 Langue » dans le prolongement des enseignements dispensés en L1 et L2.</w:t>
      </w:r>
    </w:p>
    <w:p w14:paraId="1B004773" w14:textId="77777777" w:rsidR="00D76D4B" w:rsidRPr="00F8007E" w:rsidRDefault="00D76D4B" w:rsidP="00D76D4B"/>
    <w:p w14:paraId="74C1B588" w14:textId="77777777" w:rsidR="00D76D4B" w:rsidRPr="00F8007E" w:rsidRDefault="00D76D4B" w:rsidP="00D76D4B">
      <w:pPr>
        <w:jc w:val="both"/>
      </w:pPr>
      <w:r w:rsidRPr="00F8007E">
        <w:t>L3 doubles parcours Histoire</w:t>
      </w:r>
    </w:p>
    <w:p w14:paraId="465E14EF" w14:textId="77777777" w:rsidR="00D76D4B" w:rsidRPr="009924FD" w:rsidRDefault="00D76D4B" w:rsidP="00D76D4B">
      <w:pPr>
        <w:jc w:val="both"/>
        <w:rPr>
          <w:b w:val="0"/>
          <w:bCs/>
        </w:rPr>
      </w:pPr>
      <w:r w:rsidRPr="009924FD">
        <w:rPr>
          <w:b w:val="0"/>
          <w:bCs/>
        </w:rPr>
        <w:t>L’Ecole d’histoire de la Sorbonne propose 8 doubles-licences en L3 en 20</w:t>
      </w:r>
      <w:r>
        <w:rPr>
          <w:b w:val="0"/>
          <w:bCs/>
        </w:rPr>
        <w:t>26</w:t>
      </w:r>
      <w:r w:rsidRPr="009924FD">
        <w:rPr>
          <w:b w:val="0"/>
          <w:bCs/>
        </w:rPr>
        <w:t>-202</w:t>
      </w:r>
      <w:r>
        <w:rPr>
          <w:b w:val="0"/>
          <w:bCs/>
        </w:rPr>
        <w:t>7</w:t>
      </w:r>
      <w:r w:rsidRPr="009924FD">
        <w:rPr>
          <w:b w:val="0"/>
          <w:bCs/>
        </w:rPr>
        <w:t> :</w:t>
      </w:r>
    </w:p>
    <w:p w14:paraId="2255F40F" w14:textId="77777777" w:rsidR="00D76D4B" w:rsidRPr="009924FD" w:rsidRDefault="00D76D4B" w:rsidP="00D76D4B">
      <w:pPr>
        <w:pStyle w:val="Paragraphedeliste"/>
        <w:numPr>
          <w:ilvl w:val="0"/>
          <w:numId w:val="1"/>
        </w:numPr>
        <w:jc w:val="both"/>
        <w:rPr>
          <w:b w:val="0"/>
          <w:bCs/>
        </w:rPr>
      </w:pPr>
      <w:r w:rsidRPr="009924FD">
        <w:rPr>
          <w:b w:val="0"/>
          <w:bCs/>
        </w:rPr>
        <w:t xml:space="preserve">Histoire-Géographie, </w:t>
      </w:r>
    </w:p>
    <w:p w14:paraId="5680B81E" w14:textId="77777777" w:rsidR="00D76D4B" w:rsidRPr="009924FD" w:rsidRDefault="00D76D4B" w:rsidP="00D76D4B">
      <w:pPr>
        <w:pStyle w:val="Paragraphedeliste"/>
        <w:numPr>
          <w:ilvl w:val="0"/>
          <w:numId w:val="1"/>
        </w:numPr>
        <w:jc w:val="both"/>
        <w:rPr>
          <w:b w:val="0"/>
          <w:bCs/>
        </w:rPr>
      </w:pPr>
      <w:r w:rsidRPr="009924FD">
        <w:rPr>
          <w:b w:val="0"/>
          <w:bCs/>
        </w:rPr>
        <w:t>Histoire-Science politique,</w:t>
      </w:r>
    </w:p>
    <w:p w14:paraId="23243A7B" w14:textId="77777777" w:rsidR="00D76D4B" w:rsidRPr="009924FD" w:rsidRDefault="00D76D4B" w:rsidP="00D76D4B">
      <w:pPr>
        <w:pStyle w:val="Paragraphedeliste"/>
        <w:numPr>
          <w:ilvl w:val="0"/>
          <w:numId w:val="1"/>
        </w:numPr>
        <w:jc w:val="both"/>
        <w:rPr>
          <w:b w:val="0"/>
          <w:bCs/>
        </w:rPr>
      </w:pPr>
      <w:r w:rsidRPr="009924FD">
        <w:rPr>
          <w:b w:val="0"/>
          <w:bCs/>
        </w:rPr>
        <w:t>Histoire-Histoire de l’Art et Archéologie,</w:t>
      </w:r>
    </w:p>
    <w:p w14:paraId="3FE44385" w14:textId="77777777" w:rsidR="00D76D4B" w:rsidRPr="009924FD" w:rsidRDefault="00D76D4B" w:rsidP="00D76D4B">
      <w:pPr>
        <w:pStyle w:val="Paragraphedeliste"/>
        <w:numPr>
          <w:ilvl w:val="0"/>
          <w:numId w:val="1"/>
        </w:numPr>
        <w:jc w:val="both"/>
        <w:rPr>
          <w:b w:val="0"/>
          <w:bCs/>
        </w:rPr>
      </w:pPr>
      <w:r w:rsidRPr="009924FD">
        <w:rPr>
          <w:b w:val="0"/>
          <w:bCs/>
        </w:rPr>
        <w:t>Histoire-Hébreu et études juives (avec Paris 3 Sorbonne Nouvelle),</w:t>
      </w:r>
    </w:p>
    <w:p w14:paraId="32FF200E" w14:textId="77777777" w:rsidR="00D76D4B" w:rsidRPr="009924FD" w:rsidRDefault="00D76D4B" w:rsidP="00D76D4B">
      <w:pPr>
        <w:pStyle w:val="Paragraphedeliste"/>
        <w:numPr>
          <w:ilvl w:val="0"/>
          <w:numId w:val="1"/>
        </w:numPr>
        <w:jc w:val="both"/>
        <w:rPr>
          <w:b w:val="0"/>
          <w:bCs/>
        </w:rPr>
      </w:pPr>
      <w:r w:rsidRPr="009924FD">
        <w:rPr>
          <w:b w:val="0"/>
          <w:bCs/>
        </w:rPr>
        <w:t>Histoire-Droit,</w:t>
      </w:r>
    </w:p>
    <w:p w14:paraId="007D91A8" w14:textId="77777777" w:rsidR="00D76D4B" w:rsidRPr="009924FD" w:rsidRDefault="00D76D4B" w:rsidP="00D76D4B">
      <w:pPr>
        <w:pStyle w:val="Paragraphedeliste"/>
        <w:numPr>
          <w:ilvl w:val="0"/>
          <w:numId w:val="1"/>
        </w:numPr>
        <w:jc w:val="both"/>
        <w:rPr>
          <w:b w:val="0"/>
          <w:bCs/>
        </w:rPr>
      </w:pPr>
      <w:r w:rsidRPr="009924FD">
        <w:rPr>
          <w:b w:val="0"/>
          <w:bCs/>
        </w:rPr>
        <w:t>Histoire-Economie</w:t>
      </w:r>
    </w:p>
    <w:p w14:paraId="6C4981F7" w14:textId="77777777" w:rsidR="00D76D4B" w:rsidRPr="009924FD" w:rsidRDefault="00D76D4B" w:rsidP="00D76D4B">
      <w:pPr>
        <w:pStyle w:val="Paragraphedeliste"/>
        <w:numPr>
          <w:ilvl w:val="0"/>
          <w:numId w:val="1"/>
        </w:numPr>
        <w:jc w:val="both"/>
        <w:rPr>
          <w:b w:val="0"/>
          <w:bCs/>
        </w:rPr>
      </w:pPr>
      <w:r w:rsidRPr="009924FD">
        <w:rPr>
          <w:b w:val="0"/>
          <w:bCs/>
        </w:rPr>
        <w:t>Histoire-Philosophie</w:t>
      </w:r>
    </w:p>
    <w:p w14:paraId="5B0BD9D0" w14:textId="77777777" w:rsidR="00D76D4B" w:rsidRPr="009924FD" w:rsidRDefault="00D76D4B" w:rsidP="00D76D4B">
      <w:pPr>
        <w:pStyle w:val="Paragraphedeliste"/>
        <w:numPr>
          <w:ilvl w:val="0"/>
          <w:numId w:val="1"/>
        </w:numPr>
        <w:jc w:val="both"/>
        <w:rPr>
          <w:b w:val="0"/>
          <w:bCs/>
        </w:rPr>
      </w:pPr>
      <w:r w:rsidRPr="009924FD">
        <w:rPr>
          <w:b w:val="0"/>
          <w:bCs/>
        </w:rPr>
        <w:t>Histoire-Allemand Etudes germaniques (avec Paris 3 Sorbonne Nouvelle)</w:t>
      </w:r>
    </w:p>
    <w:p w14:paraId="70AFFA51" w14:textId="77777777" w:rsidR="00D76D4B" w:rsidRPr="009924FD" w:rsidRDefault="00D76D4B" w:rsidP="00D76D4B">
      <w:pPr>
        <w:jc w:val="both"/>
        <w:rPr>
          <w:b w:val="0"/>
          <w:bCs/>
        </w:rPr>
      </w:pPr>
      <w:r w:rsidRPr="009924FD">
        <w:rPr>
          <w:b w:val="0"/>
          <w:bCs/>
        </w:rPr>
        <w:t>En cas de validation de l’année</w:t>
      </w:r>
      <w:r>
        <w:rPr>
          <w:b w:val="0"/>
          <w:bCs/>
        </w:rPr>
        <w:t>,</w:t>
      </w:r>
      <w:r w:rsidRPr="009924FD">
        <w:rPr>
          <w:b w:val="0"/>
          <w:bCs/>
        </w:rPr>
        <w:t xml:space="preserve"> sont délivrées </w:t>
      </w:r>
      <w:r>
        <w:rPr>
          <w:b w:val="0"/>
          <w:bCs/>
        </w:rPr>
        <w:t xml:space="preserve">deux licences 3 : </w:t>
      </w:r>
      <w:r w:rsidRPr="009924FD">
        <w:rPr>
          <w:b w:val="0"/>
          <w:bCs/>
        </w:rPr>
        <w:t>une L3 d’histoire et une L3 dans l’autre spécialité.</w:t>
      </w:r>
    </w:p>
    <w:p w14:paraId="2A22FC00" w14:textId="77777777" w:rsidR="00D76D4B" w:rsidRPr="009924FD" w:rsidRDefault="00D76D4B" w:rsidP="00D76D4B">
      <w:pPr>
        <w:jc w:val="both"/>
        <w:rPr>
          <w:b w:val="0"/>
          <w:bCs/>
        </w:rPr>
      </w:pPr>
      <w:r w:rsidRPr="009924FD">
        <w:rPr>
          <w:b w:val="0"/>
          <w:bCs/>
        </w:rPr>
        <w:t xml:space="preserve">Chaque parcours de double-licence fait l’objet d’une maquette particulière établie en accord avec l’UFR partenaire de la formation. </w:t>
      </w:r>
    </w:p>
    <w:p w14:paraId="1B2A482C" w14:textId="77777777" w:rsidR="00D76D4B" w:rsidRPr="009924FD" w:rsidRDefault="00D76D4B" w:rsidP="00D76D4B">
      <w:pPr>
        <w:jc w:val="both"/>
        <w:rPr>
          <w:b w:val="0"/>
          <w:bCs/>
        </w:rPr>
      </w:pPr>
      <w:r w:rsidRPr="009924FD">
        <w:rPr>
          <w:b w:val="0"/>
          <w:bCs/>
        </w:rPr>
        <w:t>L’Ecole d’histoire de la Sorbonne considère que l’obligation d</w:t>
      </w:r>
      <w:r>
        <w:rPr>
          <w:b w:val="0"/>
          <w:bCs/>
        </w:rPr>
        <w:t xml:space="preserve">’étudier </w:t>
      </w:r>
      <w:r w:rsidRPr="009924FD">
        <w:rPr>
          <w:b w:val="0"/>
          <w:bCs/>
        </w:rPr>
        <w:t xml:space="preserve">les quatre périodes historiques </w:t>
      </w:r>
      <w:r>
        <w:rPr>
          <w:b w:val="0"/>
          <w:bCs/>
        </w:rPr>
        <w:t xml:space="preserve">au cours de l’année de L3 </w:t>
      </w:r>
      <w:r w:rsidRPr="009924FD">
        <w:rPr>
          <w:b w:val="0"/>
          <w:bCs/>
        </w:rPr>
        <w:t>est impérative y compris pour les doubles-licences, sauf exceptions (cf maquettes</w:t>
      </w:r>
      <w:r>
        <w:rPr>
          <w:b w:val="0"/>
          <w:bCs/>
        </w:rPr>
        <w:t xml:space="preserve"> des doubles-licences</w:t>
      </w:r>
      <w:r w:rsidRPr="009924FD">
        <w:rPr>
          <w:b w:val="0"/>
          <w:bCs/>
        </w:rPr>
        <w:t>).</w:t>
      </w:r>
    </w:p>
    <w:p w14:paraId="401F6DFE" w14:textId="77777777" w:rsidR="00D76D4B" w:rsidRPr="00F8007E" w:rsidRDefault="00D76D4B" w:rsidP="00D76D4B">
      <w:pPr>
        <w:jc w:val="both"/>
      </w:pPr>
    </w:p>
    <w:p w14:paraId="10CB70FC" w14:textId="77777777" w:rsidR="00D76D4B" w:rsidRPr="00F8007E" w:rsidRDefault="00D76D4B" w:rsidP="00D76D4B">
      <w:pPr>
        <w:jc w:val="both"/>
      </w:pPr>
      <w:r w:rsidRPr="00F8007E">
        <w:t>Modalités du contrôle des connaissances</w:t>
      </w:r>
    </w:p>
    <w:p w14:paraId="67BA2080" w14:textId="77777777" w:rsidR="00D76D4B" w:rsidRPr="00F8007E" w:rsidRDefault="00D76D4B" w:rsidP="00D76D4B">
      <w:pPr>
        <w:jc w:val="both"/>
      </w:pPr>
      <w:r w:rsidRPr="004339F1">
        <w:rPr>
          <w:b w:val="0"/>
          <w:bCs/>
          <w:u w:val="single"/>
        </w:rPr>
        <w:t>Attention</w:t>
      </w:r>
      <w:r w:rsidRPr="009924FD">
        <w:rPr>
          <w:b w:val="0"/>
          <w:bCs/>
        </w:rPr>
        <w:t> : ces modalités s’appliquent uniquement aux matières dont l’enseignement est assuré par l’Ecole d’histoire de la Sorbonne. Pour les matières dispensées par les autres composantes de l’université Paris 1 Panthéon-Sorbonne, un partenaire extérieur (Paris 3 Sorbonne Nouvelle, etc) et par le Département des langues, il faut se renseigner auprès du secrétariat concerné.</w:t>
      </w:r>
    </w:p>
    <w:p w14:paraId="6A7DCE1A" w14:textId="77777777" w:rsidR="00D76D4B" w:rsidRPr="009924FD" w:rsidRDefault="00D76D4B" w:rsidP="00D76D4B">
      <w:pPr>
        <w:jc w:val="both"/>
        <w:rPr>
          <w:b w:val="0"/>
          <w:bCs/>
        </w:rPr>
      </w:pPr>
      <w:r w:rsidRPr="009924FD">
        <w:rPr>
          <w:b w:val="0"/>
          <w:bCs/>
        </w:rPr>
        <w:t>L’appréciation des connaissances et des aptitudes dans les UE constitutives d’un semestre résulte à la fois :</w:t>
      </w:r>
    </w:p>
    <w:p w14:paraId="7758A218" w14:textId="77777777" w:rsidR="00D76D4B" w:rsidRPr="009924FD" w:rsidRDefault="00D76D4B" w:rsidP="00D76D4B">
      <w:pPr>
        <w:pStyle w:val="Paragraphedeliste"/>
        <w:numPr>
          <w:ilvl w:val="0"/>
          <w:numId w:val="1"/>
        </w:numPr>
        <w:jc w:val="both"/>
        <w:rPr>
          <w:b w:val="0"/>
          <w:bCs/>
        </w:rPr>
      </w:pPr>
      <w:r w:rsidRPr="009924FD">
        <w:rPr>
          <w:b w:val="0"/>
          <w:bCs/>
        </w:rPr>
        <w:t xml:space="preserve">d’un </w:t>
      </w:r>
      <w:r>
        <w:rPr>
          <w:b w:val="0"/>
          <w:bCs/>
        </w:rPr>
        <w:t>c</w:t>
      </w:r>
      <w:r w:rsidRPr="009924FD">
        <w:rPr>
          <w:b w:val="0"/>
          <w:bCs/>
        </w:rPr>
        <w:t>ontrôle continu défini au sein de chaque équipe pédagogique et effectué selon des modalités similaires pour tous les groupes de Travaux Dirigés d’un même enseignement et communiquées aux étudiant</w:t>
      </w:r>
      <w:r>
        <w:rPr>
          <w:b w:val="0"/>
          <w:bCs/>
        </w:rPr>
        <w:t>-e-</w:t>
      </w:r>
      <w:r w:rsidRPr="009924FD">
        <w:rPr>
          <w:b w:val="0"/>
          <w:bCs/>
        </w:rPr>
        <w:t xml:space="preserve">s en début de semestre. </w:t>
      </w:r>
      <w:r>
        <w:rPr>
          <w:b w:val="0"/>
          <w:bCs/>
        </w:rPr>
        <w:t>P</w:t>
      </w:r>
      <w:r w:rsidRPr="009924FD">
        <w:rPr>
          <w:b w:val="0"/>
          <w:bCs/>
        </w:rPr>
        <w:t>our les étudiant</w:t>
      </w:r>
      <w:r>
        <w:rPr>
          <w:b w:val="0"/>
          <w:bCs/>
        </w:rPr>
        <w:t>-e-</w:t>
      </w:r>
      <w:r w:rsidRPr="009924FD">
        <w:rPr>
          <w:b w:val="0"/>
          <w:bCs/>
        </w:rPr>
        <w:t>s inscrits en Examen terminal</w:t>
      </w:r>
      <w:r>
        <w:rPr>
          <w:b w:val="0"/>
          <w:bCs/>
        </w:rPr>
        <w:t>, l</w:t>
      </w:r>
      <w:r w:rsidRPr="009924FD">
        <w:rPr>
          <w:b w:val="0"/>
          <w:bCs/>
        </w:rPr>
        <w:t xml:space="preserve">e contrôle continu est remplacé par une épreuve orale effectuée </w:t>
      </w:r>
      <w:r>
        <w:rPr>
          <w:b w:val="0"/>
          <w:bCs/>
        </w:rPr>
        <w:t>après le</w:t>
      </w:r>
      <w:r w:rsidRPr="009924FD">
        <w:rPr>
          <w:b w:val="0"/>
          <w:bCs/>
        </w:rPr>
        <w:t xml:space="preserve"> Partiel.</w:t>
      </w:r>
    </w:p>
    <w:p w14:paraId="1E4F6D14" w14:textId="77777777" w:rsidR="00D76D4B" w:rsidRPr="009924FD" w:rsidRDefault="00D76D4B" w:rsidP="00D76D4B">
      <w:pPr>
        <w:pStyle w:val="Paragraphedeliste"/>
        <w:jc w:val="both"/>
        <w:rPr>
          <w:b w:val="0"/>
          <w:bCs/>
        </w:rPr>
      </w:pPr>
    </w:p>
    <w:p w14:paraId="68186391" w14:textId="77777777" w:rsidR="00D76D4B" w:rsidRPr="009924FD" w:rsidRDefault="00D76D4B" w:rsidP="00D76D4B">
      <w:pPr>
        <w:pStyle w:val="Paragraphedeliste"/>
        <w:numPr>
          <w:ilvl w:val="0"/>
          <w:numId w:val="2"/>
        </w:numPr>
        <w:jc w:val="both"/>
        <w:rPr>
          <w:b w:val="0"/>
          <w:bCs/>
        </w:rPr>
      </w:pPr>
      <w:r w:rsidRPr="009924FD">
        <w:rPr>
          <w:b w:val="0"/>
          <w:bCs/>
        </w:rPr>
        <w:t>d’épreuves écrites anonymes (Partiels) communes à l’ensemble des étudiant</w:t>
      </w:r>
      <w:r>
        <w:rPr>
          <w:b w:val="0"/>
          <w:bCs/>
        </w:rPr>
        <w:t>-e-</w:t>
      </w:r>
      <w:r w:rsidRPr="009924FD">
        <w:rPr>
          <w:b w:val="0"/>
          <w:bCs/>
        </w:rPr>
        <w:t>s (contrôle continu et examen terminal).</w:t>
      </w:r>
    </w:p>
    <w:p w14:paraId="0AB0A093" w14:textId="77777777" w:rsidR="00D76D4B" w:rsidRPr="009924FD" w:rsidRDefault="00D76D4B" w:rsidP="00D76D4B">
      <w:pPr>
        <w:jc w:val="both"/>
        <w:rPr>
          <w:b w:val="0"/>
          <w:bCs/>
        </w:rPr>
      </w:pPr>
      <w:r w:rsidRPr="009924FD">
        <w:rPr>
          <w:b w:val="0"/>
          <w:bCs/>
        </w:rPr>
        <w:t>Le choix de l’inscription en examen terminal reste à la discrétion de l’étudiant</w:t>
      </w:r>
      <w:r>
        <w:rPr>
          <w:b w:val="0"/>
          <w:bCs/>
        </w:rPr>
        <w:t>-e</w:t>
      </w:r>
      <w:r w:rsidRPr="009924FD">
        <w:rPr>
          <w:b w:val="0"/>
          <w:bCs/>
        </w:rPr>
        <w:t>. Toutefois, l’inscription en examen terminal n’est possible que pour les matières fondamentales de l’UE</w:t>
      </w:r>
      <w:r>
        <w:rPr>
          <w:b w:val="0"/>
          <w:bCs/>
        </w:rPr>
        <w:t xml:space="preserve"> </w:t>
      </w:r>
      <w:r w:rsidRPr="009924FD">
        <w:rPr>
          <w:b w:val="0"/>
          <w:bCs/>
        </w:rPr>
        <w:t>1 (</w:t>
      </w:r>
      <w:r>
        <w:rPr>
          <w:b w:val="0"/>
          <w:bCs/>
        </w:rPr>
        <w:t>quatre</w:t>
      </w:r>
      <w:r w:rsidRPr="009924FD">
        <w:rPr>
          <w:b w:val="0"/>
          <w:bCs/>
        </w:rPr>
        <w:t xml:space="preserve"> périodes historiques). Compte-tenu du format particulier des matières complémentaires</w:t>
      </w:r>
      <w:r>
        <w:rPr>
          <w:b w:val="0"/>
          <w:bCs/>
        </w:rPr>
        <w:t>,</w:t>
      </w:r>
      <w:r w:rsidRPr="009924FD">
        <w:rPr>
          <w:b w:val="0"/>
          <w:bCs/>
        </w:rPr>
        <w:t xml:space="preserve"> dispensées sous la forme d’un CMTD (soit un bloc de 2 heure</w:t>
      </w:r>
      <w:r>
        <w:rPr>
          <w:b w:val="0"/>
          <w:bCs/>
        </w:rPr>
        <w:t>s</w:t>
      </w:r>
      <w:r w:rsidRPr="009924FD">
        <w:rPr>
          <w:b w:val="0"/>
          <w:bCs/>
        </w:rPr>
        <w:t>, cours magistral-travaux dirigés), il n’est pas possible de s’y inscrire en examen terminal.</w:t>
      </w:r>
    </w:p>
    <w:p w14:paraId="350CD449" w14:textId="77777777" w:rsidR="00D76D4B" w:rsidRPr="009924FD" w:rsidRDefault="00D76D4B" w:rsidP="00D76D4B">
      <w:pPr>
        <w:jc w:val="both"/>
        <w:rPr>
          <w:b w:val="0"/>
          <w:bCs/>
        </w:rPr>
      </w:pPr>
      <w:r w:rsidRPr="009924FD">
        <w:rPr>
          <w:b w:val="0"/>
          <w:bCs/>
        </w:rPr>
        <w:t>L’étudiant</w:t>
      </w:r>
      <w:r>
        <w:rPr>
          <w:b w:val="0"/>
          <w:bCs/>
        </w:rPr>
        <w:t>-e</w:t>
      </w:r>
      <w:r w:rsidRPr="009924FD">
        <w:rPr>
          <w:b w:val="0"/>
          <w:bCs/>
        </w:rPr>
        <w:t xml:space="preserve"> inscrit en examen terminal dans une matière de l’UE</w:t>
      </w:r>
      <w:r>
        <w:rPr>
          <w:b w:val="0"/>
          <w:bCs/>
        </w:rPr>
        <w:t xml:space="preserve"> </w:t>
      </w:r>
      <w:r w:rsidRPr="009924FD">
        <w:rPr>
          <w:b w:val="0"/>
          <w:bCs/>
        </w:rPr>
        <w:t xml:space="preserve">1 ne peut pas assister aux séances de Travaux dirigés en auditeur libre. Il peut uniquement assister au </w:t>
      </w:r>
      <w:r>
        <w:rPr>
          <w:b w:val="0"/>
          <w:bCs/>
        </w:rPr>
        <w:t>c</w:t>
      </w:r>
      <w:r w:rsidRPr="009924FD">
        <w:rPr>
          <w:b w:val="0"/>
          <w:bCs/>
        </w:rPr>
        <w:t>ours magistral.</w:t>
      </w:r>
    </w:p>
    <w:p w14:paraId="4838C6CA" w14:textId="77777777" w:rsidR="00D76D4B" w:rsidRPr="009924FD" w:rsidRDefault="00D76D4B" w:rsidP="00D76D4B">
      <w:pPr>
        <w:jc w:val="both"/>
        <w:rPr>
          <w:b w:val="0"/>
          <w:bCs/>
        </w:rPr>
      </w:pPr>
      <w:r w:rsidRPr="009924FD">
        <w:rPr>
          <w:b w:val="0"/>
          <w:bCs/>
        </w:rPr>
        <w:t>En Licence 3, les étudiant</w:t>
      </w:r>
      <w:r>
        <w:rPr>
          <w:b w:val="0"/>
          <w:bCs/>
        </w:rPr>
        <w:t>-e-</w:t>
      </w:r>
      <w:r w:rsidRPr="009924FD">
        <w:rPr>
          <w:b w:val="0"/>
          <w:bCs/>
        </w:rPr>
        <w:t xml:space="preserve">s </w:t>
      </w:r>
      <w:r>
        <w:rPr>
          <w:b w:val="0"/>
          <w:bCs/>
        </w:rPr>
        <w:t xml:space="preserve">inscrits en examen terminal </w:t>
      </w:r>
      <w:r w:rsidRPr="009924FD">
        <w:rPr>
          <w:b w:val="0"/>
          <w:bCs/>
        </w:rPr>
        <w:t>doivent passer</w:t>
      </w:r>
      <w:r>
        <w:rPr>
          <w:b w:val="0"/>
          <w:bCs/>
        </w:rPr>
        <w:t>,</w:t>
      </w:r>
      <w:r w:rsidRPr="009924FD">
        <w:rPr>
          <w:b w:val="0"/>
          <w:bCs/>
        </w:rPr>
        <w:t xml:space="preserve"> pour chacune des matières concernées</w:t>
      </w:r>
      <w:r>
        <w:rPr>
          <w:b w:val="0"/>
          <w:bCs/>
        </w:rPr>
        <w:t>,</w:t>
      </w:r>
      <w:r w:rsidRPr="009924FD">
        <w:rPr>
          <w:b w:val="0"/>
          <w:bCs/>
        </w:rPr>
        <w:t xml:space="preserve"> un examen écrit (Partiel) et un examen oral</w:t>
      </w:r>
      <w:r>
        <w:rPr>
          <w:b w:val="0"/>
          <w:bCs/>
        </w:rPr>
        <w:t xml:space="preserve"> (Oral) après le partiel</w:t>
      </w:r>
      <w:r w:rsidRPr="009924FD">
        <w:rPr>
          <w:b w:val="0"/>
          <w:bCs/>
        </w:rPr>
        <w:t>.</w:t>
      </w:r>
    </w:p>
    <w:p w14:paraId="452F1E28" w14:textId="77777777" w:rsidR="00D76D4B" w:rsidRPr="009924FD" w:rsidRDefault="00D76D4B" w:rsidP="00D76D4B">
      <w:pPr>
        <w:jc w:val="both"/>
        <w:rPr>
          <w:b w:val="0"/>
          <w:bCs/>
        </w:rPr>
      </w:pPr>
      <w:r w:rsidRPr="009924FD">
        <w:rPr>
          <w:b w:val="0"/>
          <w:bCs/>
        </w:rPr>
        <w:t>Pour les étudiant</w:t>
      </w:r>
      <w:r>
        <w:rPr>
          <w:b w:val="0"/>
          <w:bCs/>
        </w:rPr>
        <w:t>-e-</w:t>
      </w:r>
      <w:r w:rsidRPr="009924FD">
        <w:rPr>
          <w:b w:val="0"/>
          <w:bCs/>
        </w:rPr>
        <w:t>s inscrits en contrôle continue, l’assiduité aux Travaux dirigés est obligatoire. Il ne peut être toléré plus de 3 (trois) absences motivées par TD et par semestre.</w:t>
      </w:r>
    </w:p>
    <w:p w14:paraId="3BA4B827" w14:textId="77777777" w:rsidR="00D76D4B" w:rsidRPr="009924FD" w:rsidRDefault="00D76D4B" w:rsidP="00D76D4B">
      <w:pPr>
        <w:jc w:val="both"/>
        <w:rPr>
          <w:b w:val="0"/>
          <w:bCs/>
        </w:rPr>
      </w:pPr>
      <w:r w:rsidRPr="009924FD">
        <w:rPr>
          <w:b w:val="0"/>
          <w:bCs/>
        </w:rPr>
        <w:t xml:space="preserve">La limitation ci-dessus n’est pas applicable en cas de maladie de longue durée, de grossesse ou de handicap. </w:t>
      </w:r>
    </w:p>
    <w:p w14:paraId="39397EEB" w14:textId="77777777" w:rsidR="00D76D4B" w:rsidRPr="009924FD" w:rsidRDefault="00D76D4B" w:rsidP="00D76D4B">
      <w:pPr>
        <w:jc w:val="both"/>
        <w:rPr>
          <w:b w:val="0"/>
          <w:bCs/>
        </w:rPr>
      </w:pPr>
      <w:r w:rsidRPr="009924FD">
        <w:rPr>
          <w:b w:val="0"/>
          <w:bCs/>
        </w:rPr>
        <w:t xml:space="preserve">Les épreuves écrites organisées dans le cadre des Travaux dirigés lors de la dernière séance du semestre (cas des matières </w:t>
      </w:r>
      <w:r>
        <w:rPr>
          <w:b w:val="0"/>
          <w:bCs/>
        </w:rPr>
        <w:t xml:space="preserve">sous la forme de </w:t>
      </w:r>
      <w:r w:rsidRPr="009924FD">
        <w:rPr>
          <w:b w:val="0"/>
          <w:bCs/>
        </w:rPr>
        <w:t>CMTD assurées par l’Ecole d’histoire dans le cadre de l’UE</w:t>
      </w:r>
      <w:r>
        <w:rPr>
          <w:b w:val="0"/>
          <w:bCs/>
        </w:rPr>
        <w:t xml:space="preserve"> </w:t>
      </w:r>
      <w:r w:rsidRPr="009924FD">
        <w:rPr>
          <w:b w:val="0"/>
          <w:bCs/>
        </w:rPr>
        <w:t>complémentaire) bénéficient des mêmes conditions de correction et d’anonymat que les Partiels.</w:t>
      </w:r>
    </w:p>
    <w:p w14:paraId="6DC6D389" w14:textId="77777777" w:rsidR="00D76D4B" w:rsidRPr="009924FD" w:rsidRDefault="00D76D4B" w:rsidP="00D76D4B">
      <w:pPr>
        <w:jc w:val="both"/>
        <w:rPr>
          <w:b w:val="0"/>
          <w:bCs/>
        </w:rPr>
      </w:pPr>
      <w:r w:rsidRPr="009924FD">
        <w:rPr>
          <w:b w:val="0"/>
          <w:bCs/>
        </w:rPr>
        <w:t>En Licence 3, lors de la session de la « seconde chance » (c’est-à-dire la session de rattrapage), les examens d’histoire sont organisés sous la forme d’épreuves orales. Chaque matière à repasser fait l’objet d’un oral</w:t>
      </w:r>
      <w:r>
        <w:rPr>
          <w:b w:val="0"/>
          <w:bCs/>
        </w:rPr>
        <w:t>,</w:t>
      </w:r>
      <w:r w:rsidRPr="009924FD">
        <w:rPr>
          <w:b w:val="0"/>
          <w:bCs/>
        </w:rPr>
        <w:t xml:space="preserve"> pour chaque semestre à rattraper.</w:t>
      </w:r>
    </w:p>
    <w:p w14:paraId="7FAE2A9F" w14:textId="77777777" w:rsidR="00D76D4B" w:rsidRPr="00F8007E" w:rsidRDefault="00D76D4B" w:rsidP="00D76D4B">
      <w:pPr>
        <w:jc w:val="both"/>
      </w:pPr>
    </w:p>
    <w:p w14:paraId="57A61FB4" w14:textId="77777777" w:rsidR="00D76D4B" w:rsidRPr="00F8007E" w:rsidRDefault="00D76D4B" w:rsidP="00D76D4B">
      <w:pPr>
        <w:jc w:val="both"/>
      </w:pPr>
      <w:r>
        <w:t xml:space="preserve">Première </w:t>
      </w:r>
      <w:r w:rsidRPr="00F8007E">
        <w:t>session :</w:t>
      </w:r>
    </w:p>
    <w:p w14:paraId="1B1B25AB" w14:textId="77777777" w:rsidR="00D76D4B" w:rsidRPr="009924FD" w:rsidRDefault="00D76D4B" w:rsidP="00D76D4B">
      <w:pPr>
        <w:jc w:val="both"/>
        <w:rPr>
          <w:b w:val="0"/>
          <w:bCs/>
        </w:rPr>
      </w:pPr>
      <w:r w:rsidRPr="009924FD">
        <w:rPr>
          <w:b w:val="0"/>
          <w:bCs/>
        </w:rPr>
        <w:t xml:space="preserve">Dans le cadre du </w:t>
      </w:r>
      <w:r>
        <w:t>C</w:t>
      </w:r>
      <w:r w:rsidRPr="006407AA">
        <w:t>ontrôle continu</w:t>
      </w:r>
      <w:r w:rsidRPr="009924FD">
        <w:rPr>
          <w:b w:val="0"/>
          <w:bCs/>
        </w:rPr>
        <w:t>, à la fin du semestre chaque matière donne lieu à deux notes valant chacune pour 50% de la note finale :</w:t>
      </w:r>
    </w:p>
    <w:p w14:paraId="7B80CC76" w14:textId="77777777" w:rsidR="00D76D4B" w:rsidRPr="009924FD" w:rsidRDefault="00D76D4B" w:rsidP="00D76D4B">
      <w:pPr>
        <w:pStyle w:val="Paragraphedeliste"/>
        <w:numPr>
          <w:ilvl w:val="0"/>
          <w:numId w:val="2"/>
        </w:numPr>
        <w:jc w:val="both"/>
        <w:rPr>
          <w:b w:val="0"/>
          <w:bCs/>
        </w:rPr>
      </w:pPr>
      <w:r w:rsidRPr="009924FD">
        <w:rPr>
          <w:b w:val="0"/>
          <w:bCs/>
        </w:rPr>
        <w:t xml:space="preserve">une note issue d’un exercice écrit (commentaire de texte ou dissertation), dit </w:t>
      </w:r>
      <w:r w:rsidRPr="009924FD">
        <w:rPr>
          <w:b w:val="0"/>
          <w:bCs/>
          <w:i/>
        </w:rPr>
        <w:t>Partiel</w:t>
      </w:r>
      <w:r w:rsidRPr="009924FD">
        <w:rPr>
          <w:b w:val="0"/>
          <w:bCs/>
        </w:rPr>
        <w:t xml:space="preserve"> portant sur le programme du cours magistral, sur un sujet non communiqué à l’avance, effectué en un temps limité et sous surveillance</w:t>
      </w:r>
      <w:r>
        <w:rPr>
          <w:b w:val="0"/>
          <w:bCs/>
        </w:rPr>
        <w:t xml:space="preserve"> </w:t>
      </w:r>
      <w:r w:rsidRPr="009924FD">
        <w:rPr>
          <w:b w:val="0"/>
          <w:bCs/>
        </w:rPr>
        <w:t>;</w:t>
      </w:r>
    </w:p>
    <w:p w14:paraId="1730C5AD" w14:textId="77777777" w:rsidR="00D76D4B" w:rsidRPr="009924FD" w:rsidRDefault="00D76D4B" w:rsidP="00D76D4B">
      <w:pPr>
        <w:pStyle w:val="Paragraphedeliste"/>
        <w:jc w:val="both"/>
        <w:rPr>
          <w:b w:val="0"/>
          <w:bCs/>
        </w:rPr>
      </w:pPr>
    </w:p>
    <w:p w14:paraId="451C4C99" w14:textId="77777777" w:rsidR="00D76D4B" w:rsidRPr="009924FD" w:rsidRDefault="00D76D4B" w:rsidP="00D76D4B">
      <w:pPr>
        <w:pStyle w:val="Paragraphedeliste"/>
        <w:numPr>
          <w:ilvl w:val="0"/>
          <w:numId w:val="2"/>
        </w:numPr>
        <w:jc w:val="both"/>
        <w:rPr>
          <w:b w:val="0"/>
          <w:bCs/>
        </w:rPr>
      </w:pPr>
      <w:r w:rsidRPr="009924FD">
        <w:rPr>
          <w:b w:val="0"/>
          <w:bCs/>
        </w:rPr>
        <w:t xml:space="preserve">une note attribuée à la suite d’un ou plusieurs exercices, oraux et/ou écrits (exposés, dossiers, fiches de lecture, </w:t>
      </w:r>
      <w:r>
        <w:rPr>
          <w:b w:val="0"/>
          <w:bCs/>
        </w:rPr>
        <w:t xml:space="preserve">devoirs sur table, </w:t>
      </w:r>
      <w:r w:rsidRPr="009924FD">
        <w:rPr>
          <w:b w:val="0"/>
          <w:bCs/>
        </w:rPr>
        <w:t xml:space="preserve">etc.) </w:t>
      </w:r>
      <w:r>
        <w:rPr>
          <w:b w:val="0"/>
          <w:bCs/>
        </w:rPr>
        <w:t xml:space="preserve">effectués </w:t>
      </w:r>
      <w:r w:rsidRPr="009924FD">
        <w:rPr>
          <w:b w:val="0"/>
          <w:bCs/>
        </w:rPr>
        <w:t>dans le cadre des séances de TD.</w:t>
      </w:r>
    </w:p>
    <w:p w14:paraId="69B35FBF" w14:textId="77777777" w:rsidR="00D76D4B" w:rsidRPr="00F8007E" w:rsidRDefault="00D76D4B" w:rsidP="00D76D4B">
      <w:pPr>
        <w:jc w:val="both"/>
      </w:pPr>
    </w:p>
    <w:p w14:paraId="216D1E3F" w14:textId="77777777" w:rsidR="00D76D4B" w:rsidRPr="009924FD" w:rsidRDefault="00D76D4B" w:rsidP="00D76D4B">
      <w:pPr>
        <w:jc w:val="both"/>
        <w:rPr>
          <w:b w:val="0"/>
          <w:bCs/>
        </w:rPr>
      </w:pPr>
      <w:r w:rsidRPr="009924FD">
        <w:rPr>
          <w:b w:val="0"/>
          <w:bCs/>
        </w:rPr>
        <w:t xml:space="preserve">Dans le cadre de </w:t>
      </w:r>
      <w:r w:rsidRPr="006407AA">
        <w:t>l’Examen terminal</w:t>
      </w:r>
      <w:r w:rsidRPr="009924FD">
        <w:rPr>
          <w:b w:val="0"/>
          <w:bCs/>
        </w:rPr>
        <w:t xml:space="preserve"> réservé aux étudiant</w:t>
      </w:r>
      <w:r>
        <w:rPr>
          <w:b w:val="0"/>
          <w:bCs/>
        </w:rPr>
        <w:t>-e-</w:t>
      </w:r>
      <w:r w:rsidRPr="009924FD">
        <w:rPr>
          <w:b w:val="0"/>
          <w:bCs/>
        </w:rPr>
        <w:t>s dispensés du contrôle continu, à la fin du semestre chaque matière donne lieu à deux notes valant chacune pour 50% de la note finale :</w:t>
      </w:r>
    </w:p>
    <w:p w14:paraId="722E1407" w14:textId="77777777" w:rsidR="00D76D4B" w:rsidRPr="009924FD" w:rsidRDefault="00D76D4B" w:rsidP="00D76D4B">
      <w:pPr>
        <w:pStyle w:val="Paragraphedeliste"/>
        <w:numPr>
          <w:ilvl w:val="0"/>
          <w:numId w:val="3"/>
        </w:numPr>
        <w:jc w:val="both"/>
        <w:rPr>
          <w:b w:val="0"/>
          <w:bCs/>
        </w:rPr>
      </w:pPr>
      <w:r w:rsidRPr="009924FD">
        <w:rPr>
          <w:b w:val="0"/>
          <w:bCs/>
        </w:rPr>
        <w:t xml:space="preserve">une note issue d’un exercice écrit (commentaire de texte ou dissertation), dit </w:t>
      </w:r>
      <w:r w:rsidRPr="009924FD">
        <w:rPr>
          <w:b w:val="0"/>
          <w:bCs/>
          <w:i/>
        </w:rPr>
        <w:t>Partiel</w:t>
      </w:r>
      <w:r w:rsidRPr="009924FD">
        <w:rPr>
          <w:b w:val="0"/>
          <w:bCs/>
        </w:rPr>
        <w:t xml:space="preserve"> portant sur le programme du cours</w:t>
      </w:r>
      <w:r>
        <w:rPr>
          <w:b w:val="0"/>
          <w:bCs/>
        </w:rPr>
        <w:t xml:space="preserve"> magistral</w:t>
      </w:r>
      <w:r w:rsidRPr="009924FD">
        <w:rPr>
          <w:b w:val="0"/>
          <w:bCs/>
        </w:rPr>
        <w:t>, sur un sujet non communiqué à l’avance, effectué en un temps limité et sous surveillance ;</w:t>
      </w:r>
    </w:p>
    <w:p w14:paraId="6CC332C6" w14:textId="77777777" w:rsidR="00D76D4B" w:rsidRPr="009924FD" w:rsidRDefault="00D76D4B" w:rsidP="00D76D4B">
      <w:pPr>
        <w:pStyle w:val="Paragraphedeliste"/>
        <w:jc w:val="both"/>
        <w:rPr>
          <w:b w:val="0"/>
          <w:bCs/>
        </w:rPr>
      </w:pPr>
    </w:p>
    <w:p w14:paraId="177FB4DE" w14:textId="77777777" w:rsidR="00D76D4B" w:rsidRPr="009924FD" w:rsidRDefault="00D76D4B" w:rsidP="00D76D4B">
      <w:pPr>
        <w:pStyle w:val="Paragraphedeliste"/>
        <w:numPr>
          <w:ilvl w:val="0"/>
          <w:numId w:val="3"/>
        </w:numPr>
        <w:jc w:val="both"/>
        <w:rPr>
          <w:b w:val="0"/>
          <w:bCs/>
        </w:rPr>
      </w:pPr>
      <w:r w:rsidRPr="009924FD">
        <w:rPr>
          <w:b w:val="0"/>
          <w:bCs/>
        </w:rPr>
        <w:t>une note attribuée à la suite d’une interrogation orale réalisée après l’écrit.</w:t>
      </w:r>
    </w:p>
    <w:p w14:paraId="194A6186" w14:textId="77777777" w:rsidR="00D76D4B" w:rsidRPr="009924FD" w:rsidRDefault="00D76D4B" w:rsidP="00D76D4B">
      <w:pPr>
        <w:jc w:val="both"/>
        <w:rPr>
          <w:b w:val="0"/>
          <w:bCs/>
        </w:rPr>
      </w:pPr>
      <w:r w:rsidRPr="009924FD">
        <w:rPr>
          <w:b w:val="0"/>
          <w:bCs/>
        </w:rPr>
        <w:t>Sera déclaré « Reçu » à l’Elément pédagogique (ou matière), l’étudiant</w:t>
      </w:r>
      <w:r>
        <w:rPr>
          <w:b w:val="0"/>
          <w:bCs/>
        </w:rPr>
        <w:t xml:space="preserve">-e </w:t>
      </w:r>
      <w:r w:rsidRPr="009924FD">
        <w:rPr>
          <w:b w:val="0"/>
          <w:bCs/>
        </w:rPr>
        <w:t>qui aura obtenu la moyenne, calculée sur ces deux notes, sans coefficient.</w:t>
      </w:r>
    </w:p>
    <w:p w14:paraId="558BFFFC" w14:textId="77777777" w:rsidR="00D76D4B" w:rsidRPr="009924FD" w:rsidRDefault="00D76D4B" w:rsidP="00D76D4B">
      <w:pPr>
        <w:jc w:val="both"/>
        <w:rPr>
          <w:b w:val="0"/>
          <w:bCs/>
        </w:rPr>
      </w:pPr>
      <w:r w:rsidRPr="009924FD">
        <w:rPr>
          <w:b w:val="0"/>
          <w:bCs/>
        </w:rPr>
        <w:t>Sera déclaré « Reçu » à une Unité d’enseignement constituée de plusieurs Eléments pédagogiques (ou matières), l’étudiant</w:t>
      </w:r>
      <w:r>
        <w:rPr>
          <w:b w:val="0"/>
          <w:bCs/>
        </w:rPr>
        <w:t>-e</w:t>
      </w:r>
      <w:r w:rsidRPr="009924FD">
        <w:rPr>
          <w:b w:val="0"/>
          <w:bCs/>
        </w:rPr>
        <w:t xml:space="preserve"> qui aura la moyenne</w:t>
      </w:r>
      <w:r w:rsidRPr="00F8007E">
        <w:t xml:space="preserve"> </w:t>
      </w:r>
      <w:r w:rsidRPr="009924FD">
        <w:rPr>
          <w:b w:val="0"/>
          <w:bCs/>
        </w:rPr>
        <w:t xml:space="preserve">calculée sur l’ensemble des résultats des Eléments pédagogiques constitutifs de l’UE et qui aura été assidu à chacun de ces éléments. En effet, en cas de défaillance (DEF) à l’une des matières </w:t>
      </w:r>
      <w:r>
        <w:rPr>
          <w:b w:val="0"/>
          <w:bCs/>
        </w:rPr>
        <w:t xml:space="preserve">constituant </w:t>
      </w:r>
      <w:r w:rsidRPr="009924FD">
        <w:rPr>
          <w:b w:val="0"/>
          <w:bCs/>
        </w:rPr>
        <w:t>une UE, l’étudiant</w:t>
      </w:r>
      <w:r>
        <w:rPr>
          <w:b w:val="0"/>
          <w:bCs/>
        </w:rPr>
        <w:t>-e</w:t>
      </w:r>
      <w:r w:rsidRPr="009924FD">
        <w:rPr>
          <w:b w:val="0"/>
          <w:bCs/>
        </w:rPr>
        <w:t xml:space="preserve"> est déclaré défaillant à l’UE et donc au semestre concerné car la DEF ne prend pas la valeur zéro (0/20) et empêche le calcul de la moyenne. Une DEF ne peut donc être remplacée par un 0/20.</w:t>
      </w:r>
    </w:p>
    <w:p w14:paraId="76E84A20" w14:textId="77777777" w:rsidR="00D76D4B" w:rsidRPr="00F8007E" w:rsidRDefault="00D76D4B" w:rsidP="00D76D4B">
      <w:pPr>
        <w:jc w:val="both"/>
      </w:pPr>
    </w:p>
    <w:p w14:paraId="487096D3" w14:textId="77777777" w:rsidR="00D76D4B" w:rsidRPr="00F8007E" w:rsidRDefault="00D76D4B" w:rsidP="00D76D4B">
      <w:pPr>
        <w:jc w:val="both"/>
      </w:pPr>
      <w:r w:rsidRPr="00F8007E">
        <w:t>Session de la seconde chance :</w:t>
      </w:r>
    </w:p>
    <w:p w14:paraId="2256F765" w14:textId="77777777" w:rsidR="00D76D4B" w:rsidRPr="009924FD" w:rsidRDefault="00D76D4B" w:rsidP="00D76D4B">
      <w:pPr>
        <w:jc w:val="both"/>
        <w:rPr>
          <w:b w:val="0"/>
          <w:bCs/>
        </w:rPr>
      </w:pPr>
      <w:r w:rsidRPr="009924FD">
        <w:rPr>
          <w:b w:val="0"/>
          <w:bCs/>
        </w:rPr>
        <w:t>La deuxième session dite de la seconde chance (ou encore « session de rattrapage ») est ouverte à tout</w:t>
      </w:r>
      <w:r>
        <w:rPr>
          <w:b w:val="0"/>
          <w:bCs/>
        </w:rPr>
        <w:t>-e</w:t>
      </w:r>
      <w:r w:rsidRPr="009924FD">
        <w:rPr>
          <w:b w:val="0"/>
          <w:bCs/>
        </w:rPr>
        <w:t xml:space="preserve"> étudiant</w:t>
      </w:r>
      <w:r>
        <w:rPr>
          <w:b w:val="0"/>
          <w:bCs/>
        </w:rPr>
        <w:t>-e</w:t>
      </w:r>
      <w:r w:rsidRPr="009924FD">
        <w:rPr>
          <w:b w:val="0"/>
          <w:bCs/>
        </w:rPr>
        <w:t xml:space="preserve"> ayant été inscrit régulièrement dans l’Élément pédagogique concerné. </w:t>
      </w:r>
    </w:p>
    <w:p w14:paraId="7D5D8FE4"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qui n’a validé aucun des </w:t>
      </w:r>
      <w:r>
        <w:rPr>
          <w:b w:val="0"/>
          <w:bCs/>
        </w:rPr>
        <w:t>deux</w:t>
      </w:r>
      <w:r w:rsidRPr="009924FD">
        <w:rPr>
          <w:b w:val="0"/>
          <w:bCs/>
        </w:rPr>
        <w:t xml:space="preserve"> semestres d’un même ELP doit passer </w:t>
      </w:r>
      <w:r>
        <w:rPr>
          <w:b w:val="0"/>
          <w:bCs/>
        </w:rPr>
        <w:t xml:space="preserve">deux </w:t>
      </w:r>
      <w:r w:rsidRPr="009924FD">
        <w:rPr>
          <w:b w:val="0"/>
          <w:bCs/>
        </w:rPr>
        <w:t xml:space="preserve">épreuves orales lors de la session de rattrapage soit un oral par semestre non validé. </w:t>
      </w:r>
    </w:p>
    <w:p w14:paraId="0966127F"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qui n’a validé qu’un seul des </w:t>
      </w:r>
      <w:r>
        <w:rPr>
          <w:b w:val="0"/>
          <w:bCs/>
        </w:rPr>
        <w:t>deux</w:t>
      </w:r>
      <w:r w:rsidRPr="009924FD">
        <w:rPr>
          <w:b w:val="0"/>
          <w:bCs/>
        </w:rPr>
        <w:t xml:space="preserve"> semestres d’un même ELP doit passer un oral portant sur le programme du semestre non validé. </w:t>
      </w:r>
    </w:p>
    <w:p w14:paraId="2BE03E92" w14:textId="77777777" w:rsidR="00D76D4B" w:rsidRPr="009924FD" w:rsidRDefault="00D76D4B" w:rsidP="00D76D4B">
      <w:pPr>
        <w:jc w:val="both"/>
        <w:rPr>
          <w:b w:val="0"/>
          <w:bCs/>
        </w:rPr>
      </w:pPr>
      <w:r w:rsidRPr="009924FD">
        <w:rPr>
          <w:b w:val="0"/>
          <w:bCs/>
        </w:rPr>
        <w:t>La note attribuée à une matière à la deuxième session se substitue à celle attribuée lors de la première session si elle lui est supérieure ; si elle lui est inférieure, l’étudiant</w:t>
      </w:r>
      <w:r>
        <w:rPr>
          <w:b w:val="0"/>
          <w:bCs/>
        </w:rPr>
        <w:t>-e</w:t>
      </w:r>
      <w:r w:rsidRPr="009924FD">
        <w:rPr>
          <w:b w:val="0"/>
          <w:bCs/>
        </w:rPr>
        <w:t xml:space="preserve"> conserve le bénéfice de la note obtenue à la première session</w:t>
      </w:r>
      <w:r>
        <w:rPr>
          <w:b w:val="0"/>
          <w:bCs/>
        </w:rPr>
        <w:t xml:space="preserve">, autrement dit, </w:t>
      </w:r>
      <w:r w:rsidRPr="009924FD">
        <w:rPr>
          <w:b w:val="0"/>
          <w:bCs/>
        </w:rPr>
        <w:t>l’étudiant</w:t>
      </w:r>
      <w:r>
        <w:rPr>
          <w:b w:val="0"/>
          <w:bCs/>
        </w:rPr>
        <w:t>-e</w:t>
      </w:r>
      <w:r w:rsidRPr="009924FD">
        <w:rPr>
          <w:b w:val="0"/>
          <w:bCs/>
        </w:rPr>
        <w:t xml:space="preserve"> conserve la meilleure des </w:t>
      </w:r>
      <w:r>
        <w:rPr>
          <w:b w:val="0"/>
          <w:bCs/>
        </w:rPr>
        <w:t>deux</w:t>
      </w:r>
      <w:r w:rsidRPr="009924FD">
        <w:rPr>
          <w:b w:val="0"/>
          <w:bCs/>
        </w:rPr>
        <w:t xml:space="preserve"> notes.</w:t>
      </w:r>
    </w:p>
    <w:p w14:paraId="54CD35DD" w14:textId="77777777" w:rsidR="00D76D4B" w:rsidRPr="00F8007E" w:rsidRDefault="00D76D4B" w:rsidP="00D76D4B">
      <w:pPr>
        <w:jc w:val="both"/>
      </w:pPr>
    </w:p>
    <w:p w14:paraId="5F983C6B" w14:textId="77777777" w:rsidR="00D76D4B" w:rsidRPr="00F8007E" w:rsidRDefault="00D76D4B" w:rsidP="00D76D4B">
      <w:pPr>
        <w:jc w:val="both"/>
      </w:pPr>
      <w:r w:rsidRPr="00F8007E">
        <w:t>Capitalisation et compensation :</w:t>
      </w:r>
    </w:p>
    <w:p w14:paraId="6E52CC9B" w14:textId="77777777" w:rsidR="00D76D4B" w:rsidRPr="009924FD" w:rsidRDefault="00D76D4B" w:rsidP="00D76D4B">
      <w:pPr>
        <w:jc w:val="both"/>
        <w:rPr>
          <w:b w:val="0"/>
          <w:bCs/>
        </w:rPr>
      </w:pPr>
      <w:r w:rsidRPr="009924FD">
        <w:rPr>
          <w:b w:val="0"/>
          <w:bCs/>
        </w:rPr>
        <w:t>Les crédits, unités d’enseignement et diplôme peuvent être acquis par réussite à l’examen ou par compensation.</w:t>
      </w:r>
    </w:p>
    <w:p w14:paraId="79803A2F" w14:textId="77777777" w:rsidR="00D76D4B" w:rsidRPr="009924FD" w:rsidRDefault="00D76D4B" w:rsidP="00D76D4B">
      <w:pPr>
        <w:jc w:val="both"/>
        <w:rPr>
          <w:b w:val="0"/>
          <w:bCs/>
        </w:rPr>
      </w:pPr>
      <w:r w:rsidRPr="009924FD">
        <w:rPr>
          <w:b w:val="0"/>
          <w:bCs/>
        </w:rPr>
        <w:t>Unités d’enseignement : les unités d’enseignement sont définitivement acquises et capitalisables dès lors que l’étudiant</w:t>
      </w:r>
      <w:r>
        <w:rPr>
          <w:b w:val="0"/>
          <w:bCs/>
        </w:rPr>
        <w:t>-e</w:t>
      </w:r>
      <w:r w:rsidRPr="009924FD">
        <w:rPr>
          <w:b w:val="0"/>
          <w:bCs/>
        </w:rPr>
        <w:t xml:space="preserve"> y a obtenu la moyenne (10/20). Une unité d’enseignement ne peut être obtenue si l’étudiant</w:t>
      </w:r>
      <w:r>
        <w:rPr>
          <w:b w:val="0"/>
          <w:bCs/>
        </w:rPr>
        <w:t xml:space="preserve">-e </w:t>
      </w:r>
      <w:r w:rsidRPr="009924FD">
        <w:rPr>
          <w:b w:val="0"/>
          <w:bCs/>
        </w:rPr>
        <w:t>ne se présente pas à une épreuve : dans ce cas une DEF (défaillance) est saisie</w:t>
      </w:r>
      <w:r w:rsidRPr="003B1355">
        <w:t xml:space="preserve"> </w:t>
      </w:r>
      <w:r w:rsidRPr="009924FD">
        <w:rPr>
          <w:b w:val="0"/>
          <w:bCs/>
        </w:rPr>
        <w:t>dans ses résultats, la moyenne ne se calcule pas et il est automatiquement déclaré « ajourné ».</w:t>
      </w:r>
    </w:p>
    <w:p w14:paraId="47452239" w14:textId="77777777" w:rsidR="00D76D4B" w:rsidRPr="009924FD" w:rsidRDefault="00D76D4B" w:rsidP="00D76D4B">
      <w:pPr>
        <w:jc w:val="both"/>
        <w:rPr>
          <w:b w:val="0"/>
          <w:bCs/>
        </w:rPr>
      </w:pPr>
      <w:r w:rsidRPr="009924FD">
        <w:rPr>
          <w:b w:val="0"/>
          <w:bCs/>
        </w:rPr>
        <w:t>Sont capitalisables (</w:t>
      </w:r>
      <w:r>
        <w:rPr>
          <w:b w:val="0"/>
          <w:bCs/>
        </w:rPr>
        <w:t xml:space="preserve">c’est-à-dire </w:t>
      </w:r>
      <w:r w:rsidRPr="009924FD">
        <w:rPr>
          <w:b w:val="0"/>
          <w:bCs/>
        </w:rPr>
        <w:t>conservés par l’étudiant</w:t>
      </w:r>
      <w:r>
        <w:rPr>
          <w:b w:val="0"/>
          <w:bCs/>
        </w:rPr>
        <w:t>-e</w:t>
      </w:r>
      <w:r w:rsidRPr="009924FD">
        <w:rPr>
          <w:b w:val="0"/>
          <w:bCs/>
        </w:rPr>
        <w:t>) les éléments pédagogiques (matières) constitutifs d’une unité d’enseignement non validée pour lesquels l’étudiant</w:t>
      </w:r>
      <w:r>
        <w:rPr>
          <w:b w:val="0"/>
          <w:bCs/>
        </w:rPr>
        <w:t xml:space="preserve">-e </w:t>
      </w:r>
      <w:r w:rsidRPr="009924FD">
        <w:rPr>
          <w:b w:val="0"/>
          <w:bCs/>
        </w:rPr>
        <w:t>a obtenu la moyenne (10/20).</w:t>
      </w:r>
    </w:p>
    <w:p w14:paraId="423EB601" w14:textId="77777777" w:rsidR="00D76D4B" w:rsidRPr="009924FD" w:rsidRDefault="00D76D4B" w:rsidP="00D76D4B">
      <w:pPr>
        <w:jc w:val="both"/>
        <w:rPr>
          <w:b w:val="0"/>
          <w:bCs/>
        </w:rPr>
      </w:pPr>
      <w:r w:rsidRPr="009924FD">
        <w:rPr>
          <w:b w:val="0"/>
          <w:bCs/>
        </w:rPr>
        <w:t>Semestre : le semestre d’enseignement est validé si l’étudiant</w:t>
      </w:r>
      <w:r>
        <w:rPr>
          <w:b w:val="0"/>
          <w:bCs/>
        </w:rPr>
        <w:t>-e</w:t>
      </w:r>
      <w:r w:rsidRPr="009924FD">
        <w:rPr>
          <w:b w:val="0"/>
          <w:bCs/>
        </w:rPr>
        <w:t xml:space="preserve"> y a obtenu la moyenne.</w:t>
      </w:r>
    </w:p>
    <w:p w14:paraId="7AD92145" w14:textId="77777777" w:rsidR="00D76D4B" w:rsidRPr="009924FD" w:rsidRDefault="00D76D4B" w:rsidP="00D76D4B">
      <w:pPr>
        <w:jc w:val="both"/>
        <w:rPr>
          <w:b w:val="0"/>
          <w:bCs/>
        </w:rPr>
      </w:pPr>
      <w:r w:rsidRPr="009924FD">
        <w:rPr>
          <w:b w:val="0"/>
          <w:bCs/>
        </w:rPr>
        <w:t>Compensation annuelle : elle est de droit pour les étudiant</w:t>
      </w:r>
      <w:r>
        <w:rPr>
          <w:b w:val="0"/>
          <w:bCs/>
        </w:rPr>
        <w:t>-e-</w:t>
      </w:r>
      <w:r w:rsidRPr="009924FD">
        <w:rPr>
          <w:b w:val="0"/>
          <w:bCs/>
        </w:rPr>
        <w:t>s ayant obtenu la moyenne arithmétique pour les deux semestres de l’année. Les étudiant</w:t>
      </w:r>
      <w:r>
        <w:rPr>
          <w:b w:val="0"/>
          <w:bCs/>
        </w:rPr>
        <w:t>-e-</w:t>
      </w:r>
      <w:r w:rsidRPr="009924FD">
        <w:rPr>
          <w:b w:val="0"/>
          <w:bCs/>
        </w:rPr>
        <w:t>s défaillants ne peuvent bénéficier de cette disposition.</w:t>
      </w:r>
    </w:p>
    <w:p w14:paraId="76DE5D42" w14:textId="77777777" w:rsidR="00D76D4B" w:rsidRPr="009924FD" w:rsidRDefault="00D76D4B" w:rsidP="00D76D4B">
      <w:pPr>
        <w:jc w:val="both"/>
        <w:rPr>
          <w:b w:val="0"/>
          <w:bCs/>
        </w:rPr>
      </w:pPr>
      <w:r w:rsidRPr="009924FD">
        <w:rPr>
          <w:b w:val="0"/>
          <w:bCs/>
        </w:rPr>
        <w:t>Pour le calcul de la moyenne, il est tenu compte du coefficient attribué à chaque matière à l’intérieur de l’UE et à chaque UE.</w:t>
      </w:r>
    </w:p>
    <w:p w14:paraId="4BAC9D4B" w14:textId="77777777" w:rsidR="00D76D4B" w:rsidRPr="009924FD" w:rsidRDefault="00D76D4B" w:rsidP="00D76D4B">
      <w:pPr>
        <w:jc w:val="both"/>
        <w:rPr>
          <w:b w:val="0"/>
          <w:bCs/>
        </w:rPr>
      </w:pPr>
      <w:r w:rsidRPr="009924FD">
        <w:rPr>
          <w:b w:val="0"/>
          <w:bCs/>
        </w:rPr>
        <w:t>La compensation ne peut avoir lieu que si toutes les épreuves ont été effectivement passées.</w:t>
      </w:r>
    </w:p>
    <w:p w14:paraId="381B2AE0" w14:textId="77777777" w:rsidR="00D76D4B" w:rsidRPr="009924FD" w:rsidRDefault="00D76D4B" w:rsidP="00D76D4B">
      <w:pPr>
        <w:jc w:val="both"/>
        <w:rPr>
          <w:b w:val="0"/>
          <w:bCs/>
        </w:rPr>
      </w:pPr>
      <w:r w:rsidRPr="009924FD">
        <w:rPr>
          <w:b w:val="0"/>
          <w:bCs/>
        </w:rPr>
        <w:t>Tout succès à un ELP (matière) par obtention de la moyenne est capitalisé (conservé) et peut être validé ultérieurement en cas d’échec provisoire à la Licence ou de réorientation. La note calculée donnera lieu à report dans toute opération de délibération postérieure à la session d’obtention, impliquant cet enseignement.</w:t>
      </w:r>
    </w:p>
    <w:p w14:paraId="0548AB0C" w14:textId="77777777" w:rsidR="00D76D4B" w:rsidRPr="009924FD" w:rsidRDefault="00D76D4B" w:rsidP="00D76D4B">
      <w:pPr>
        <w:jc w:val="both"/>
        <w:rPr>
          <w:b w:val="0"/>
          <w:bCs/>
        </w:rPr>
      </w:pPr>
      <w:r w:rsidRPr="009924FD">
        <w:rPr>
          <w:b w:val="0"/>
          <w:bCs/>
        </w:rPr>
        <w:t>À l’issue de la première session, un</w:t>
      </w:r>
      <w:r>
        <w:rPr>
          <w:b w:val="0"/>
          <w:bCs/>
        </w:rPr>
        <w:t>-e</w:t>
      </w:r>
      <w:r w:rsidRPr="009924FD">
        <w:rPr>
          <w:b w:val="0"/>
          <w:bCs/>
        </w:rPr>
        <w:t xml:space="preserve"> étudiant</w:t>
      </w:r>
      <w:r>
        <w:rPr>
          <w:b w:val="0"/>
          <w:bCs/>
        </w:rPr>
        <w:t>-e</w:t>
      </w:r>
      <w:r w:rsidRPr="009924FD">
        <w:rPr>
          <w:b w:val="0"/>
          <w:bCs/>
        </w:rPr>
        <w:t xml:space="preserve"> qui n’aurait pas été reçu (note inférieure à 10/20) à l’une des Unité d’enseignement (UE) peut être dispensé du rattrapage et voir son année validée s’il obtient la moyenne générale calculée sur les résultats obtenus à l’ensemble des UE des Semestres 1 et 2, à condition toutefois qu’il ait obtenu des notes à tous les ELP (un</w:t>
      </w:r>
      <w:r>
        <w:rPr>
          <w:b w:val="0"/>
          <w:bCs/>
        </w:rPr>
        <w:t>-e</w:t>
      </w:r>
      <w:r w:rsidRPr="009924FD">
        <w:rPr>
          <w:b w:val="0"/>
          <w:bCs/>
        </w:rPr>
        <w:t xml:space="preserve"> étudiant</w:t>
      </w:r>
      <w:r>
        <w:rPr>
          <w:b w:val="0"/>
          <w:bCs/>
        </w:rPr>
        <w:t>-e</w:t>
      </w:r>
      <w:r w:rsidRPr="009924FD">
        <w:rPr>
          <w:b w:val="0"/>
          <w:bCs/>
        </w:rPr>
        <w:t xml:space="preserve"> déclaré défaillant à au moins un ELP - une matière - ne pourra pas valider l’année).</w:t>
      </w:r>
    </w:p>
    <w:p w14:paraId="4FD68C67" w14:textId="77777777" w:rsidR="00D76D4B" w:rsidRPr="009924FD" w:rsidRDefault="00D76D4B" w:rsidP="00D76D4B">
      <w:pPr>
        <w:jc w:val="both"/>
        <w:rPr>
          <w:b w:val="0"/>
          <w:bCs/>
        </w:rPr>
      </w:pPr>
      <w:r w:rsidRPr="009924FD">
        <w:rPr>
          <w:b w:val="0"/>
          <w:bCs/>
        </w:rPr>
        <w:t>La règle de la compensation s’applique, dans les mêmes conditions, à l’issue de la deuxième session aux étudiant</w:t>
      </w:r>
      <w:r>
        <w:rPr>
          <w:b w:val="0"/>
          <w:bCs/>
        </w:rPr>
        <w:t>-e-</w:t>
      </w:r>
      <w:r w:rsidRPr="009924FD">
        <w:rPr>
          <w:b w:val="0"/>
          <w:bCs/>
        </w:rPr>
        <w:t>s qui auront satisfait à l’obligation de résultats pour chaque ELP (matière).</w:t>
      </w:r>
    </w:p>
    <w:p w14:paraId="74D5293A" w14:textId="77777777" w:rsidR="00D76D4B" w:rsidRPr="009924FD" w:rsidRDefault="00D76D4B" w:rsidP="00D76D4B">
      <w:pPr>
        <w:jc w:val="both"/>
        <w:rPr>
          <w:b w:val="0"/>
          <w:bCs/>
        </w:rPr>
      </w:pPr>
      <w:r w:rsidRPr="00006CA9">
        <w:rPr>
          <w:b w:val="0"/>
          <w:bCs/>
          <w:u w:val="single"/>
        </w:rPr>
        <w:t>NB</w:t>
      </w:r>
      <w:r w:rsidRPr="009924FD">
        <w:rPr>
          <w:b w:val="0"/>
          <w:bCs/>
        </w:rPr>
        <w:t xml:space="preserve"> : La règle de la compensation est, dans le cadre des doubles-licences, soumise à un jeu de coefficients qui peut aboutir à ce qu'un</w:t>
      </w:r>
      <w:r>
        <w:rPr>
          <w:b w:val="0"/>
          <w:bCs/>
        </w:rPr>
        <w:t>-e</w:t>
      </w:r>
      <w:r w:rsidRPr="009924FD">
        <w:rPr>
          <w:b w:val="0"/>
          <w:bCs/>
        </w:rPr>
        <w:t xml:space="preserve"> étudiant</w:t>
      </w:r>
      <w:r>
        <w:rPr>
          <w:b w:val="0"/>
          <w:bCs/>
        </w:rPr>
        <w:t>-e</w:t>
      </w:r>
      <w:r w:rsidRPr="009924FD">
        <w:rPr>
          <w:b w:val="0"/>
          <w:bCs/>
        </w:rPr>
        <w:t xml:space="preserve"> qui a obtenu des résultats insuffisants dans une des matières ne soit crédité que d'une licence sur les deux qu'il préparait.</w:t>
      </w:r>
    </w:p>
    <w:p w14:paraId="309B7FCC" w14:textId="77777777" w:rsidR="00D76D4B" w:rsidRPr="00F8007E" w:rsidRDefault="00D76D4B" w:rsidP="00D76D4B">
      <w:pPr>
        <w:jc w:val="both"/>
        <w:sectPr w:rsidR="00D76D4B" w:rsidRPr="00F8007E" w:rsidSect="00D76D4B">
          <w:pgSz w:w="16840" w:h="11907" w:orient="landscape"/>
          <w:pgMar w:top="567" w:right="964" w:bottom="567" w:left="567" w:header="720" w:footer="567" w:gutter="0"/>
          <w:cols w:num="2" w:space="709"/>
          <w:docGrid w:linePitch="326"/>
        </w:sectPr>
      </w:pPr>
    </w:p>
    <w:p w14:paraId="588273F9" w14:textId="77777777" w:rsidR="00D76D4B" w:rsidRPr="004339F1" w:rsidRDefault="00D76D4B" w:rsidP="00D76D4B">
      <w:pPr>
        <w:jc w:val="both"/>
        <w:rPr>
          <w:b w:val="0"/>
          <w:bCs/>
        </w:rPr>
      </w:pPr>
      <w:r w:rsidRPr="004339F1">
        <w:rPr>
          <w:b w:val="0"/>
          <w:bCs/>
        </w:rPr>
        <w:t>Que faire au sortir de la licence d’histoire ?</w:t>
      </w:r>
    </w:p>
    <w:p w14:paraId="1FA80082" w14:textId="77777777" w:rsidR="00D76D4B" w:rsidRPr="004339F1" w:rsidRDefault="00D76D4B" w:rsidP="00D76D4B">
      <w:pPr>
        <w:jc w:val="both"/>
      </w:pPr>
      <w:r w:rsidRPr="004339F1">
        <w:t xml:space="preserve">Formations de master proposées </w:t>
      </w:r>
      <w:r>
        <w:t>dans le cadre du contrat quinquennal</w:t>
      </w:r>
      <w:r w:rsidRPr="004339F1">
        <w:t xml:space="preserve"> 2025-2030 par l’Ecole d’histoire de la Sorbonne</w:t>
      </w:r>
    </w:p>
    <w:p w14:paraId="0B284808" w14:textId="77777777" w:rsidR="00D76D4B" w:rsidRPr="009924FD" w:rsidRDefault="00D76D4B" w:rsidP="00D76D4B">
      <w:pPr>
        <w:jc w:val="both"/>
        <w:rPr>
          <w:b w:val="0"/>
          <w:bCs/>
        </w:rPr>
      </w:pPr>
      <w:r w:rsidRPr="009924FD">
        <w:rPr>
          <w:b w:val="0"/>
          <w:bCs/>
        </w:rPr>
        <w:t>MR : master recherche / MP : master professionnel / MI : master indifférencié (un M1 commun et un parcours recherche et un parcours professionnel proposés au choix en M2)</w:t>
      </w:r>
    </w:p>
    <w:p w14:paraId="2360155A" w14:textId="77777777" w:rsidR="00D76D4B" w:rsidRPr="00CA38E7" w:rsidRDefault="00D76D4B" w:rsidP="00D76D4B">
      <w:pPr>
        <w:jc w:val="both"/>
      </w:pPr>
      <w:r w:rsidRPr="00CA38E7">
        <w:t>1 – Masters de la mention « Histoire »</w:t>
      </w:r>
    </w:p>
    <w:p w14:paraId="381FEB3F" w14:textId="77777777" w:rsidR="00D76D4B" w:rsidRPr="009924FD" w:rsidRDefault="00D76D4B" w:rsidP="00D76D4B">
      <w:pPr>
        <w:jc w:val="both"/>
        <w:rPr>
          <w:b w:val="0"/>
          <w:bCs/>
        </w:rPr>
      </w:pPr>
      <w:r w:rsidRPr="009924FD">
        <w:rPr>
          <w:b w:val="0"/>
          <w:bCs/>
        </w:rPr>
        <w:t>- Histoire et anthropologie de l’Antiquité (M1R/M2R)</w:t>
      </w:r>
    </w:p>
    <w:p w14:paraId="3B90A9A7" w14:textId="77777777" w:rsidR="00D76D4B" w:rsidRPr="009924FD" w:rsidRDefault="00D76D4B" w:rsidP="00D76D4B">
      <w:pPr>
        <w:jc w:val="both"/>
        <w:rPr>
          <w:b w:val="0"/>
          <w:bCs/>
        </w:rPr>
      </w:pPr>
      <w:r w:rsidRPr="009924FD">
        <w:rPr>
          <w:b w:val="0"/>
          <w:bCs/>
        </w:rPr>
        <w:t>- Histoire et anthropologie des sociétés médiévales occidentales (M1R/M2R)</w:t>
      </w:r>
    </w:p>
    <w:p w14:paraId="37C9365F" w14:textId="77777777" w:rsidR="00D76D4B" w:rsidRPr="009924FD" w:rsidRDefault="00D76D4B" w:rsidP="00D76D4B">
      <w:pPr>
        <w:jc w:val="both"/>
        <w:rPr>
          <w:b w:val="0"/>
          <w:bCs/>
        </w:rPr>
      </w:pPr>
      <w:r w:rsidRPr="009924FD">
        <w:rPr>
          <w:b w:val="0"/>
          <w:bCs/>
        </w:rPr>
        <w:t>- Histoire des mondes modernes (M1R/M2R)</w:t>
      </w:r>
    </w:p>
    <w:p w14:paraId="3D37B806" w14:textId="77777777" w:rsidR="00D76D4B" w:rsidRPr="009924FD" w:rsidRDefault="00D76D4B" w:rsidP="00D76D4B">
      <w:pPr>
        <w:jc w:val="both"/>
        <w:rPr>
          <w:b w:val="0"/>
          <w:bCs/>
        </w:rPr>
      </w:pPr>
      <w:r w:rsidRPr="009924FD">
        <w:rPr>
          <w:b w:val="0"/>
          <w:bCs/>
        </w:rPr>
        <w:t>- Histoire de l’Afrique, du Maghreb et du Moyen-Orient (M1R/M2R)</w:t>
      </w:r>
    </w:p>
    <w:p w14:paraId="1D9B8C08" w14:textId="77777777" w:rsidR="00D76D4B" w:rsidRPr="009924FD" w:rsidRDefault="00D76D4B" w:rsidP="00D76D4B">
      <w:pPr>
        <w:jc w:val="both"/>
        <w:rPr>
          <w:b w:val="0"/>
          <w:bCs/>
        </w:rPr>
      </w:pPr>
      <w:r w:rsidRPr="009924FD">
        <w:rPr>
          <w:b w:val="0"/>
          <w:bCs/>
        </w:rPr>
        <w:t xml:space="preserve">- Histoire du monde méditerranéen médiéval ; Byzance, Islam, Occident latin (M1R/M2R) </w:t>
      </w:r>
    </w:p>
    <w:p w14:paraId="7357DE2D" w14:textId="77777777" w:rsidR="00D76D4B" w:rsidRPr="009924FD" w:rsidRDefault="00D76D4B" w:rsidP="00D76D4B">
      <w:pPr>
        <w:jc w:val="both"/>
        <w:rPr>
          <w:b w:val="0"/>
          <w:bCs/>
        </w:rPr>
      </w:pPr>
      <w:r w:rsidRPr="009924FD">
        <w:rPr>
          <w:b w:val="0"/>
          <w:bCs/>
        </w:rPr>
        <w:t>- Histoire des sciences, Histoire de techniques (M1R/M2R)</w:t>
      </w:r>
    </w:p>
    <w:p w14:paraId="0CF36B4C" w14:textId="77777777" w:rsidR="00D76D4B" w:rsidRPr="009924FD" w:rsidRDefault="00D76D4B" w:rsidP="00D76D4B">
      <w:pPr>
        <w:jc w:val="both"/>
        <w:rPr>
          <w:b w:val="0"/>
          <w:bCs/>
        </w:rPr>
      </w:pPr>
      <w:r w:rsidRPr="009924FD">
        <w:rPr>
          <w:b w:val="0"/>
          <w:bCs/>
        </w:rPr>
        <w:t>- Histoire des économies : institutions, sociétés et cultures (M1R/M2R)</w:t>
      </w:r>
    </w:p>
    <w:p w14:paraId="7167FB54" w14:textId="77777777" w:rsidR="00D76D4B" w:rsidRPr="009924FD" w:rsidRDefault="00D76D4B" w:rsidP="00D76D4B">
      <w:pPr>
        <w:jc w:val="both"/>
        <w:rPr>
          <w:b w:val="0"/>
          <w:bCs/>
        </w:rPr>
      </w:pPr>
      <w:r w:rsidRPr="009924FD">
        <w:rPr>
          <w:b w:val="0"/>
          <w:bCs/>
        </w:rPr>
        <w:t>- Histoire des sociétés contemporaines (19è-21è siècles) (M1R/M2R)</w:t>
      </w:r>
    </w:p>
    <w:p w14:paraId="3D21B29D" w14:textId="77777777" w:rsidR="00D76D4B" w:rsidRPr="009924FD" w:rsidRDefault="00D76D4B" w:rsidP="00D76D4B">
      <w:pPr>
        <w:jc w:val="both"/>
        <w:rPr>
          <w:b w:val="0"/>
          <w:bCs/>
        </w:rPr>
      </w:pPr>
      <w:r w:rsidRPr="009924FD">
        <w:rPr>
          <w:b w:val="0"/>
          <w:bCs/>
        </w:rPr>
        <w:t>- Histoire des mondes contemporains et des relations internationales (M1R/M2R)</w:t>
      </w:r>
    </w:p>
    <w:p w14:paraId="50CDF67E" w14:textId="77777777" w:rsidR="00D76D4B" w:rsidRPr="009924FD" w:rsidRDefault="00D76D4B" w:rsidP="00D76D4B">
      <w:pPr>
        <w:jc w:val="both"/>
        <w:rPr>
          <w:b w:val="0"/>
          <w:bCs/>
        </w:rPr>
      </w:pPr>
      <w:r w:rsidRPr="009924FD">
        <w:rPr>
          <w:b w:val="0"/>
          <w:bCs/>
        </w:rPr>
        <w:t>- Histoire et audiovisuel (M1R/M2R)</w:t>
      </w:r>
    </w:p>
    <w:p w14:paraId="0876283A" w14:textId="77777777" w:rsidR="00D76D4B" w:rsidRPr="009924FD" w:rsidRDefault="00D76D4B" w:rsidP="00D76D4B">
      <w:pPr>
        <w:jc w:val="both"/>
        <w:rPr>
          <w:b w:val="0"/>
          <w:bCs/>
        </w:rPr>
      </w:pPr>
      <w:r w:rsidRPr="009924FD">
        <w:rPr>
          <w:b w:val="0"/>
          <w:bCs/>
        </w:rPr>
        <w:t>- Coopération internationale Afrique Moyen-Orient/CIAMO (M2P)</w:t>
      </w:r>
    </w:p>
    <w:p w14:paraId="37F1F47D" w14:textId="77777777" w:rsidR="00D76D4B" w:rsidRPr="009924FD" w:rsidRDefault="00D76D4B" w:rsidP="00D76D4B">
      <w:pPr>
        <w:jc w:val="both"/>
        <w:rPr>
          <w:b w:val="0"/>
          <w:bCs/>
        </w:rPr>
      </w:pPr>
      <w:r w:rsidRPr="009924FD">
        <w:rPr>
          <w:b w:val="0"/>
          <w:bCs/>
        </w:rPr>
        <w:t>- Métiers et Expertise des conflits armés (M2I)</w:t>
      </w:r>
    </w:p>
    <w:p w14:paraId="583D3AD2" w14:textId="77777777" w:rsidR="00D76D4B" w:rsidRDefault="00D76D4B" w:rsidP="00D76D4B">
      <w:pPr>
        <w:jc w:val="both"/>
        <w:rPr>
          <w:b w:val="0"/>
          <w:bCs/>
        </w:rPr>
      </w:pPr>
      <w:r w:rsidRPr="009924FD">
        <w:rPr>
          <w:b w:val="0"/>
          <w:bCs/>
        </w:rPr>
        <w:t xml:space="preserve">Cas particulier du </w:t>
      </w:r>
      <w:r w:rsidRPr="00006CA9">
        <w:rPr>
          <w:b w:val="0"/>
          <w:bCs/>
          <w:u w:val="single"/>
        </w:rPr>
        <w:t>Cursus franco-allemand</w:t>
      </w:r>
      <w:r w:rsidRPr="009924FD">
        <w:rPr>
          <w:b w:val="0"/>
          <w:bCs/>
        </w:rPr>
        <w:t xml:space="preserve"> : un master recherche de la mention Histoire </w:t>
      </w:r>
      <w:r>
        <w:rPr>
          <w:b w:val="0"/>
          <w:bCs/>
        </w:rPr>
        <w:t xml:space="preserve">peut être </w:t>
      </w:r>
      <w:r w:rsidRPr="009924FD">
        <w:rPr>
          <w:b w:val="0"/>
          <w:bCs/>
        </w:rPr>
        <w:t>effectué en partenariat avec l’université Louis-et-Maximilien de Munich (mobilité à Munich)</w:t>
      </w:r>
    </w:p>
    <w:p w14:paraId="01D8D024" w14:textId="77777777" w:rsidR="00532FBF" w:rsidRPr="009924FD" w:rsidRDefault="00532FBF" w:rsidP="00D76D4B">
      <w:pPr>
        <w:jc w:val="both"/>
        <w:rPr>
          <w:b w:val="0"/>
          <w:bCs/>
        </w:rPr>
      </w:pPr>
    </w:p>
    <w:p w14:paraId="40067B35" w14:textId="77777777" w:rsidR="00D76D4B" w:rsidRPr="00CA38E7" w:rsidRDefault="00D76D4B" w:rsidP="00D76D4B">
      <w:pPr>
        <w:jc w:val="both"/>
      </w:pPr>
      <w:r w:rsidRPr="00CA38E7">
        <w:t>2 – Masters de la mention « Humanités numériques »</w:t>
      </w:r>
    </w:p>
    <w:p w14:paraId="53B16FD4" w14:textId="77777777" w:rsidR="00D76D4B" w:rsidRPr="009924FD" w:rsidRDefault="00D76D4B" w:rsidP="00D76D4B">
      <w:pPr>
        <w:jc w:val="both"/>
        <w:rPr>
          <w:b w:val="0"/>
          <w:bCs/>
        </w:rPr>
      </w:pPr>
      <w:r w:rsidRPr="009924FD">
        <w:rPr>
          <w:b w:val="0"/>
          <w:bCs/>
        </w:rPr>
        <w:t>- Communication, technologies de la connaissance et management de l’information/CTM (M1P/M2P)</w:t>
      </w:r>
    </w:p>
    <w:p w14:paraId="591BEE1B" w14:textId="77777777" w:rsidR="00D76D4B" w:rsidRPr="009924FD" w:rsidRDefault="00D76D4B" w:rsidP="00D76D4B">
      <w:pPr>
        <w:jc w:val="both"/>
        <w:rPr>
          <w:b w:val="0"/>
          <w:bCs/>
        </w:rPr>
      </w:pPr>
      <w:r w:rsidRPr="009924FD">
        <w:rPr>
          <w:b w:val="0"/>
          <w:bCs/>
        </w:rPr>
        <w:t>- Métiers informatiques et maîtrise d’ouvrage/MIMO (M2P en apprentissage)</w:t>
      </w:r>
    </w:p>
    <w:p w14:paraId="1F8A76B3" w14:textId="77777777" w:rsidR="00D76D4B" w:rsidRPr="009924FD" w:rsidRDefault="00D76D4B" w:rsidP="00D76D4B">
      <w:pPr>
        <w:jc w:val="both"/>
        <w:rPr>
          <w:b w:val="0"/>
          <w:bCs/>
        </w:rPr>
      </w:pPr>
      <w:r w:rsidRPr="009924FD">
        <w:rPr>
          <w:b w:val="0"/>
          <w:bCs/>
        </w:rPr>
        <w:t>- Science des données, Histoire et culture (M1R/M2R)</w:t>
      </w:r>
    </w:p>
    <w:p w14:paraId="1DF8724B" w14:textId="77777777" w:rsidR="00D76D4B" w:rsidRDefault="00D76D4B" w:rsidP="00D76D4B">
      <w:pPr>
        <w:jc w:val="both"/>
        <w:rPr>
          <w:b w:val="0"/>
          <w:bCs/>
        </w:rPr>
      </w:pPr>
      <w:r w:rsidRPr="00CA38E7">
        <w:t>3 – Masters de la mention « Patrimoine et musées »</w:t>
      </w:r>
      <w:r w:rsidRPr="009924FD">
        <w:rPr>
          <w:b w:val="0"/>
          <w:bCs/>
        </w:rPr>
        <w:t xml:space="preserve"> </w:t>
      </w:r>
    </w:p>
    <w:p w14:paraId="5F4562BD" w14:textId="77777777" w:rsidR="00D76D4B" w:rsidRPr="009924FD" w:rsidRDefault="00D76D4B" w:rsidP="00D76D4B">
      <w:pPr>
        <w:jc w:val="both"/>
        <w:rPr>
          <w:b w:val="0"/>
          <w:bCs/>
        </w:rPr>
      </w:pPr>
      <w:r w:rsidRPr="009924FD">
        <w:rPr>
          <w:b w:val="0"/>
          <w:bCs/>
        </w:rPr>
        <w:t>- Gestion du patrimoine culturel (M1R/M2P)</w:t>
      </w:r>
    </w:p>
    <w:p w14:paraId="03E9CF0C" w14:textId="77777777" w:rsidR="00D76D4B" w:rsidRPr="009924FD" w:rsidRDefault="00D76D4B" w:rsidP="00D76D4B">
      <w:pPr>
        <w:jc w:val="both"/>
        <w:rPr>
          <w:b w:val="0"/>
          <w:bCs/>
        </w:rPr>
      </w:pPr>
      <w:r w:rsidRPr="009924FD">
        <w:rPr>
          <w:b w:val="0"/>
          <w:bCs/>
        </w:rPr>
        <w:t>- Préparation au concours des conservateurs du patrimoine/INP spécialité « </w:t>
      </w:r>
      <w:r w:rsidRPr="009924FD">
        <w:rPr>
          <w:b w:val="0"/>
          <w:bCs/>
          <w:i/>
        </w:rPr>
        <w:t>Archives »</w:t>
      </w:r>
      <w:r w:rsidRPr="009924FD">
        <w:rPr>
          <w:b w:val="0"/>
          <w:bCs/>
        </w:rPr>
        <w:t xml:space="preserve"> (M1R/M2P)</w:t>
      </w:r>
    </w:p>
    <w:p w14:paraId="3BB89F6E" w14:textId="77777777" w:rsidR="00D76D4B" w:rsidRPr="009924FD" w:rsidRDefault="00D76D4B" w:rsidP="00D76D4B">
      <w:pPr>
        <w:jc w:val="both"/>
        <w:rPr>
          <w:b w:val="0"/>
          <w:bCs/>
        </w:rPr>
      </w:pPr>
      <w:r w:rsidRPr="009924FD">
        <w:rPr>
          <w:b w:val="0"/>
          <w:bCs/>
        </w:rPr>
        <w:t xml:space="preserve">4 – </w:t>
      </w:r>
      <w:r w:rsidRPr="001C06D3">
        <w:t>Masters de la mention « Relations internationales »</w:t>
      </w:r>
      <w:r w:rsidRPr="009924FD">
        <w:rPr>
          <w:b w:val="0"/>
          <w:bCs/>
        </w:rPr>
        <w:t xml:space="preserve"> </w:t>
      </w:r>
    </w:p>
    <w:p w14:paraId="34C90EE9" w14:textId="77777777" w:rsidR="00D76D4B" w:rsidRPr="009924FD" w:rsidRDefault="00D76D4B" w:rsidP="00D76D4B">
      <w:pPr>
        <w:jc w:val="both"/>
        <w:rPr>
          <w:b w:val="0"/>
          <w:bCs/>
        </w:rPr>
      </w:pPr>
      <w:r w:rsidRPr="009924FD">
        <w:rPr>
          <w:b w:val="0"/>
          <w:bCs/>
        </w:rPr>
        <w:t>- Relations internationales et action à l’étranger (M1R/M2 en formation initiale et en apprentissage)</w:t>
      </w:r>
    </w:p>
    <w:p w14:paraId="204DD338" w14:textId="77777777" w:rsidR="00D76D4B" w:rsidRPr="009924FD" w:rsidRDefault="00D76D4B" w:rsidP="00D76D4B">
      <w:pPr>
        <w:jc w:val="both"/>
        <w:rPr>
          <w:b w:val="0"/>
          <w:bCs/>
        </w:rPr>
      </w:pPr>
      <w:r w:rsidRPr="009924FD">
        <w:rPr>
          <w:b w:val="0"/>
          <w:bCs/>
        </w:rPr>
        <w:t>- Administration publique et affaires internationales (M2 en formation continue avec l’Institut National du Service Public ex-ENA)</w:t>
      </w:r>
    </w:p>
    <w:p w14:paraId="64ACC543" w14:textId="77777777" w:rsidR="00D76D4B" w:rsidRPr="009924FD" w:rsidRDefault="00D76D4B" w:rsidP="00D76D4B">
      <w:pPr>
        <w:jc w:val="both"/>
        <w:rPr>
          <w:b w:val="0"/>
          <w:bCs/>
        </w:rPr>
      </w:pPr>
      <w:r w:rsidRPr="009924FD">
        <w:rPr>
          <w:b w:val="0"/>
          <w:bCs/>
        </w:rPr>
        <w:t>- Magistère des relations internationales</w:t>
      </w:r>
    </w:p>
    <w:p w14:paraId="531884D7" w14:textId="77777777" w:rsidR="00D76D4B" w:rsidRPr="001C06D3" w:rsidRDefault="00D76D4B" w:rsidP="00D76D4B">
      <w:pPr>
        <w:jc w:val="both"/>
      </w:pPr>
      <w:r w:rsidRPr="001C06D3">
        <w:t>5 – Masters de la mention « Techniques, Patrimoine, Territoires de l’Industrie »</w:t>
      </w:r>
      <w:r>
        <w:t xml:space="preserve"> (TPTI)</w:t>
      </w:r>
    </w:p>
    <w:p w14:paraId="6EACFC5A" w14:textId="77777777" w:rsidR="00D76D4B" w:rsidRPr="009924FD" w:rsidRDefault="00D76D4B" w:rsidP="00D76D4B">
      <w:pPr>
        <w:jc w:val="both"/>
        <w:rPr>
          <w:b w:val="0"/>
          <w:bCs/>
        </w:rPr>
      </w:pPr>
      <w:r w:rsidRPr="009924FD">
        <w:rPr>
          <w:b w:val="0"/>
          <w:bCs/>
        </w:rPr>
        <w:t>- Patrimoine culturel et technique (M1R/M2P)</w:t>
      </w:r>
    </w:p>
    <w:p w14:paraId="7D59F723" w14:textId="77777777" w:rsidR="00D76D4B" w:rsidRPr="009924FD" w:rsidRDefault="00D76D4B" w:rsidP="00D76D4B">
      <w:pPr>
        <w:jc w:val="both"/>
        <w:rPr>
          <w:b w:val="0"/>
          <w:bCs/>
        </w:rPr>
      </w:pPr>
      <w:r w:rsidRPr="009924FD">
        <w:rPr>
          <w:b w:val="0"/>
          <w:bCs/>
        </w:rPr>
        <w:t xml:space="preserve">- TPTI </w:t>
      </w:r>
      <w:r w:rsidRPr="009924FD">
        <w:rPr>
          <w:b w:val="0"/>
          <w:bCs/>
          <w:i/>
        </w:rPr>
        <w:t>Erasmus Mundus</w:t>
      </w:r>
      <w:r w:rsidRPr="009924FD">
        <w:rPr>
          <w:b w:val="0"/>
          <w:bCs/>
        </w:rPr>
        <w:t>, (M1R/M2R) en partenariat international avec les universités d’Evora (Portugal) et de Padoue (Italie)</w:t>
      </w:r>
    </w:p>
    <w:p w14:paraId="7F6AF006" w14:textId="77777777" w:rsidR="00D76D4B" w:rsidRPr="001C06D3" w:rsidRDefault="00D76D4B" w:rsidP="00D76D4B">
      <w:pPr>
        <w:jc w:val="both"/>
      </w:pPr>
      <w:r w:rsidRPr="001C06D3">
        <w:t xml:space="preserve">6 – </w:t>
      </w:r>
      <w:r>
        <w:t>Formations</w:t>
      </w:r>
      <w:r w:rsidRPr="001C06D3">
        <w:t xml:space="preserve"> de la mention « Métiers de l’enseignement »</w:t>
      </w:r>
    </w:p>
    <w:p w14:paraId="44870F30" w14:textId="77777777" w:rsidR="00D76D4B" w:rsidRDefault="00D76D4B" w:rsidP="00D76D4B">
      <w:pPr>
        <w:jc w:val="both"/>
        <w:rPr>
          <w:b w:val="0"/>
          <w:bCs/>
        </w:rPr>
      </w:pPr>
      <w:r>
        <w:rPr>
          <w:b w:val="0"/>
          <w:bCs/>
        </w:rPr>
        <w:t xml:space="preserve">- Module Prépa concours, niveau bac + 3, non diplômant (pas d’ECTS, ni de diplôme) : préparation au concours du CAPES externe d’histoire-géographie </w:t>
      </w:r>
      <w:r w:rsidRPr="009924FD">
        <w:rPr>
          <w:b w:val="0"/>
          <w:bCs/>
        </w:rPr>
        <w:t xml:space="preserve">en partenariat avec l’Institut National Supérieur du Professorat et de l’Education </w:t>
      </w:r>
      <w:r>
        <w:rPr>
          <w:b w:val="0"/>
          <w:bCs/>
        </w:rPr>
        <w:t xml:space="preserve">de Paris </w:t>
      </w:r>
      <w:r w:rsidRPr="009924FD">
        <w:rPr>
          <w:b w:val="0"/>
          <w:bCs/>
        </w:rPr>
        <w:t>(INSPE)</w:t>
      </w:r>
    </w:p>
    <w:p w14:paraId="0C5E8BC4" w14:textId="77777777" w:rsidR="00D76D4B" w:rsidRDefault="00D76D4B" w:rsidP="00D76D4B">
      <w:pPr>
        <w:jc w:val="both"/>
        <w:rPr>
          <w:b w:val="0"/>
          <w:bCs/>
        </w:rPr>
      </w:pPr>
      <w:r w:rsidRPr="009924FD">
        <w:rPr>
          <w:b w:val="0"/>
          <w:bCs/>
        </w:rPr>
        <w:t xml:space="preserve">- </w:t>
      </w:r>
      <w:r>
        <w:rPr>
          <w:b w:val="0"/>
          <w:bCs/>
        </w:rPr>
        <w:t xml:space="preserve">M2E Master enseignement et éducation (M1P/M2P) </w:t>
      </w:r>
      <w:r w:rsidRPr="009924FD">
        <w:rPr>
          <w:b w:val="0"/>
          <w:bCs/>
        </w:rPr>
        <w:t xml:space="preserve">: </w:t>
      </w:r>
      <w:r>
        <w:rPr>
          <w:b w:val="0"/>
          <w:bCs/>
        </w:rPr>
        <w:t xml:space="preserve">prépare les lauréats des concours, aux métiers de l’enseignement et de l’éducation, en </w:t>
      </w:r>
      <w:r w:rsidRPr="009924FD">
        <w:rPr>
          <w:b w:val="0"/>
          <w:bCs/>
        </w:rPr>
        <w:t xml:space="preserve">partenariat avec l’Institut National Supérieur du Professorat et de l’Education </w:t>
      </w:r>
      <w:r>
        <w:rPr>
          <w:b w:val="0"/>
          <w:bCs/>
        </w:rPr>
        <w:t xml:space="preserve">de Paris </w:t>
      </w:r>
      <w:r w:rsidRPr="009924FD">
        <w:rPr>
          <w:b w:val="0"/>
          <w:bCs/>
        </w:rPr>
        <w:t>(INSPE)</w:t>
      </w:r>
      <w:r>
        <w:rPr>
          <w:b w:val="0"/>
          <w:bCs/>
        </w:rPr>
        <w:t xml:space="preserve"> </w:t>
      </w:r>
    </w:p>
    <w:p w14:paraId="2224A430" w14:textId="77777777" w:rsidR="00D76D4B" w:rsidRPr="009924FD" w:rsidRDefault="00D76D4B" w:rsidP="00D76D4B">
      <w:pPr>
        <w:jc w:val="both"/>
        <w:rPr>
          <w:b w:val="0"/>
          <w:bCs/>
        </w:rPr>
      </w:pPr>
    </w:p>
    <w:p w14:paraId="72BB91F0" w14:textId="77777777" w:rsidR="00D76D4B" w:rsidRPr="00323A0C" w:rsidRDefault="00D76D4B" w:rsidP="00D76D4B">
      <w:pPr>
        <w:jc w:val="both"/>
      </w:pPr>
      <w:r w:rsidRPr="00323A0C">
        <w:t xml:space="preserve">7 – Masters de la mention « Etudes sur le genre » </w:t>
      </w:r>
    </w:p>
    <w:p w14:paraId="20DA8F7D" w14:textId="77777777" w:rsidR="00D76D4B" w:rsidRPr="009924FD" w:rsidRDefault="00D76D4B" w:rsidP="00D76D4B">
      <w:pPr>
        <w:pStyle w:val="Paragraphedeliste"/>
        <w:numPr>
          <w:ilvl w:val="0"/>
          <w:numId w:val="3"/>
        </w:numPr>
        <w:jc w:val="both"/>
        <w:rPr>
          <w:b w:val="0"/>
          <w:bCs/>
        </w:rPr>
      </w:pPr>
      <w:r w:rsidRPr="009924FD">
        <w:rPr>
          <w:b w:val="0"/>
          <w:bCs/>
        </w:rPr>
        <w:t>Etudes sur le genre (M1R/M2R)</w:t>
      </w:r>
    </w:p>
    <w:p w14:paraId="7BBF6614" w14:textId="77777777" w:rsidR="00D76D4B" w:rsidRPr="00006CA9" w:rsidRDefault="00D76D4B" w:rsidP="00D76D4B">
      <w:pPr>
        <w:jc w:val="both"/>
        <w:rPr>
          <w:u w:val="single"/>
        </w:rPr>
      </w:pPr>
      <w:r w:rsidRPr="00006CA9">
        <w:rPr>
          <w:u w:val="single"/>
        </w:rPr>
        <w:t>Conditions d’admission en M1</w:t>
      </w:r>
    </w:p>
    <w:p w14:paraId="78BC0BE4" w14:textId="77777777" w:rsidR="00D76D4B" w:rsidRPr="009924FD" w:rsidRDefault="00D76D4B" w:rsidP="00D76D4B">
      <w:pPr>
        <w:jc w:val="both"/>
        <w:rPr>
          <w:b w:val="0"/>
          <w:bCs/>
        </w:rPr>
      </w:pPr>
      <w:r>
        <w:rPr>
          <w:b w:val="0"/>
          <w:bCs/>
        </w:rPr>
        <w:t>Pour postuler en M1 en 2027-2028, t</w:t>
      </w:r>
      <w:r w:rsidRPr="009924FD">
        <w:rPr>
          <w:b w:val="0"/>
          <w:bCs/>
        </w:rPr>
        <w:t>ou</w:t>
      </w:r>
      <w:r>
        <w:rPr>
          <w:b w:val="0"/>
          <w:bCs/>
        </w:rPr>
        <w:t>-te-</w:t>
      </w:r>
      <w:r w:rsidRPr="009924FD">
        <w:rPr>
          <w:b w:val="0"/>
          <w:bCs/>
        </w:rPr>
        <w:t>s les étudiant</w:t>
      </w:r>
      <w:r>
        <w:rPr>
          <w:b w:val="0"/>
          <w:bCs/>
        </w:rPr>
        <w:t>-e-</w:t>
      </w:r>
      <w:r w:rsidRPr="009924FD">
        <w:rPr>
          <w:b w:val="0"/>
          <w:bCs/>
        </w:rPr>
        <w:t>s de Licence 3, sans exception, devront déposer un dossier de candidature, quel que soit le M1 envisagé, sur la plate-forme ministérielle « Mon Master »</w:t>
      </w:r>
    </w:p>
    <w:p w14:paraId="61212921" w14:textId="77777777" w:rsidR="00D76D4B" w:rsidRPr="00006CA9" w:rsidRDefault="00D76D4B" w:rsidP="00D76D4B">
      <w:pPr>
        <w:jc w:val="both"/>
        <w:rPr>
          <w:u w:val="single"/>
        </w:rPr>
      </w:pPr>
      <w:r w:rsidRPr="00006CA9">
        <w:rPr>
          <w:u w:val="single"/>
        </w:rPr>
        <w:t>Département des langues (DDL)</w:t>
      </w:r>
    </w:p>
    <w:p w14:paraId="5033C834" w14:textId="77777777" w:rsidR="00D76D4B" w:rsidRPr="00323A0C" w:rsidRDefault="00D76D4B" w:rsidP="00D76D4B">
      <w:pPr>
        <w:jc w:val="both"/>
        <w:rPr>
          <w:b w:val="0"/>
          <w:bCs/>
          <w:u w:val="single"/>
        </w:rPr>
      </w:pPr>
      <w:r w:rsidRPr="00323A0C">
        <w:rPr>
          <w:b w:val="0"/>
          <w:bCs/>
          <w:u w:val="single"/>
        </w:rPr>
        <w:t>LANGUES VIVANTES</w:t>
      </w:r>
    </w:p>
    <w:p w14:paraId="6D945E56" w14:textId="77777777" w:rsidR="00D76D4B" w:rsidRPr="009924FD" w:rsidRDefault="00D76D4B" w:rsidP="00D76D4B">
      <w:pPr>
        <w:jc w:val="both"/>
        <w:rPr>
          <w:b w:val="0"/>
          <w:bCs/>
        </w:rPr>
      </w:pPr>
      <w:r w:rsidRPr="009924FD">
        <w:rPr>
          <w:b w:val="0"/>
          <w:bCs/>
        </w:rPr>
        <w:t xml:space="preserve">11 </w:t>
      </w:r>
      <w:r>
        <w:rPr>
          <w:b w:val="0"/>
          <w:bCs/>
        </w:rPr>
        <w:t>langues vivantes</w:t>
      </w:r>
      <w:r w:rsidRPr="009924FD">
        <w:rPr>
          <w:b w:val="0"/>
          <w:bCs/>
        </w:rPr>
        <w:t> : allemand, anglais, arabe, chinois, espagnol, italien, japonais, néerlandais, portugais, russe, français langue étrangère</w:t>
      </w:r>
    </w:p>
    <w:p w14:paraId="6FF3F536" w14:textId="77777777" w:rsidR="00D76D4B" w:rsidRPr="00323A0C" w:rsidRDefault="00D76D4B" w:rsidP="00D76D4B">
      <w:pPr>
        <w:jc w:val="both"/>
        <w:rPr>
          <w:b w:val="0"/>
          <w:bCs/>
          <w:u w:val="single"/>
        </w:rPr>
      </w:pPr>
      <w:r w:rsidRPr="00323A0C">
        <w:rPr>
          <w:b w:val="0"/>
          <w:bCs/>
          <w:u w:val="single"/>
        </w:rPr>
        <w:t>LANGUES ANCIENNES</w:t>
      </w:r>
    </w:p>
    <w:p w14:paraId="7D130F13" w14:textId="77777777" w:rsidR="00D76D4B" w:rsidRPr="009924FD" w:rsidRDefault="00D76D4B" w:rsidP="00D76D4B">
      <w:pPr>
        <w:jc w:val="both"/>
        <w:rPr>
          <w:b w:val="0"/>
          <w:bCs/>
        </w:rPr>
      </w:pPr>
      <w:r w:rsidRPr="009924FD">
        <w:rPr>
          <w:b w:val="0"/>
          <w:bCs/>
        </w:rPr>
        <w:t xml:space="preserve">3 </w:t>
      </w:r>
      <w:r>
        <w:rPr>
          <w:b w:val="0"/>
          <w:bCs/>
        </w:rPr>
        <w:t>langues anciennes</w:t>
      </w:r>
      <w:r w:rsidRPr="009924FD">
        <w:rPr>
          <w:b w:val="0"/>
          <w:bCs/>
        </w:rPr>
        <w:t xml:space="preserve"> : grec, </w:t>
      </w:r>
      <w:r>
        <w:rPr>
          <w:b w:val="0"/>
          <w:bCs/>
        </w:rPr>
        <w:t xml:space="preserve">hittite, </w:t>
      </w:r>
      <w:r w:rsidRPr="009924FD">
        <w:rPr>
          <w:b w:val="0"/>
          <w:bCs/>
        </w:rPr>
        <w:t>latin</w:t>
      </w:r>
    </w:p>
    <w:p w14:paraId="5F3652D9" w14:textId="77777777" w:rsidR="00D76D4B" w:rsidRPr="009924FD" w:rsidRDefault="00D76D4B" w:rsidP="00D76D4B">
      <w:pPr>
        <w:jc w:val="both"/>
        <w:rPr>
          <w:b w:val="0"/>
          <w:bCs/>
        </w:rPr>
      </w:pPr>
      <w:r w:rsidRPr="009924FD">
        <w:rPr>
          <w:b w:val="0"/>
          <w:bCs/>
        </w:rPr>
        <w:t>Deux semestres de 12 séances hebdomadaires.</w:t>
      </w:r>
    </w:p>
    <w:p w14:paraId="42152DEB" w14:textId="77777777" w:rsidR="00D76D4B" w:rsidRPr="009924FD" w:rsidRDefault="00D76D4B" w:rsidP="00D76D4B">
      <w:pPr>
        <w:jc w:val="both"/>
        <w:rPr>
          <w:b w:val="0"/>
          <w:bCs/>
        </w:rPr>
      </w:pPr>
      <w:r w:rsidRPr="009924FD">
        <w:rPr>
          <w:b w:val="0"/>
          <w:bCs/>
        </w:rPr>
        <w:t>En L3 le choix de la langue est libre. Le FLE (français langue étrangère) est réservé aux étudiant</w:t>
      </w:r>
      <w:r>
        <w:rPr>
          <w:b w:val="0"/>
          <w:bCs/>
        </w:rPr>
        <w:t>-e-</w:t>
      </w:r>
      <w:r w:rsidRPr="009924FD">
        <w:rPr>
          <w:b w:val="0"/>
          <w:bCs/>
        </w:rPr>
        <w:t>s étrangers non francophones. Pour mieux connaître l’offre dans les différentes langues, il est recommandé de consulter le site du Département des langues, sur lequel se trouvent les descriptifs des enseignements, ainsi que des ressources pédagogiques diverses.</w:t>
      </w:r>
    </w:p>
    <w:p w14:paraId="418F571B" w14:textId="77777777" w:rsidR="00D76D4B" w:rsidRPr="009924FD" w:rsidRDefault="00D76D4B" w:rsidP="00D76D4B">
      <w:pPr>
        <w:jc w:val="both"/>
        <w:rPr>
          <w:b w:val="0"/>
          <w:bCs/>
        </w:rPr>
      </w:pPr>
      <w:r>
        <w:rPr>
          <w:b w:val="0"/>
          <w:bCs/>
        </w:rPr>
        <w:t>L’e</w:t>
      </w:r>
      <w:r w:rsidRPr="009924FD">
        <w:rPr>
          <w:b w:val="0"/>
          <w:bCs/>
        </w:rPr>
        <w:t xml:space="preserve">nseignement </w:t>
      </w:r>
      <w:r>
        <w:rPr>
          <w:b w:val="0"/>
          <w:bCs/>
        </w:rPr>
        <w:t xml:space="preserve">s’effectue </w:t>
      </w:r>
      <w:r w:rsidRPr="009924FD">
        <w:rPr>
          <w:b w:val="0"/>
          <w:bCs/>
        </w:rPr>
        <w:t>par groupe de niveaux. Choix du niveau d’après la grille européenne, du Niveau 1 ou A1 (initiation) au Niveau 6 ou C2 (excellente maîtrise syntaxique et lexicale de la langue).</w:t>
      </w:r>
    </w:p>
    <w:p w14:paraId="330D6C45" w14:textId="77777777" w:rsidR="00D76D4B" w:rsidRPr="009924FD" w:rsidRDefault="00D76D4B" w:rsidP="00D76D4B">
      <w:pPr>
        <w:jc w:val="both"/>
        <w:rPr>
          <w:b w:val="0"/>
          <w:bCs/>
        </w:rPr>
      </w:pPr>
      <w:r w:rsidRPr="009924FD">
        <w:rPr>
          <w:b w:val="0"/>
          <w:bCs/>
        </w:rPr>
        <w:t>Des tests électroniques sont disponibles pour certaines langues</w:t>
      </w:r>
      <w:r>
        <w:rPr>
          <w:b w:val="0"/>
          <w:bCs/>
        </w:rPr>
        <w:t xml:space="preserve"> sur </w:t>
      </w:r>
      <w:r w:rsidRPr="009924FD">
        <w:rPr>
          <w:b w:val="0"/>
          <w:bCs/>
        </w:rPr>
        <w:t>le site du Département des langues :</w:t>
      </w:r>
    </w:p>
    <w:p w14:paraId="24FF5528" w14:textId="77777777" w:rsidR="00D76D4B" w:rsidRPr="009924FD" w:rsidRDefault="00000000" w:rsidP="00D76D4B">
      <w:pPr>
        <w:jc w:val="both"/>
        <w:rPr>
          <w:b w:val="0"/>
          <w:bCs/>
        </w:rPr>
      </w:pPr>
      <w:hyperlink r:id="rId14" w:history="1">
        <w:r w:rsidR="00D76D4B" w:rsidRPr="009924FD">
          <w:rPr>
            <w:rStyle w:val="Lienhypertexte"/>
            <w:b w:val="0"/>
            <w:bCs/>
          </w:rPr>
          <w:t>https://langues.pantheonsorbonne.fr/</w:t>
        </w:r>
      </w:hyperlink>
    </w:p>
    <w:p w14:paraId="72729AF2" w14:textId="77777777" w:rsidR="00D76D4B" w:rsidRPr="009924FD" w:rsidRDefault="00D76D4B" w:rsidP="00D76D4B">
      <w:pPr>
        <w:jc w:val="both"/>
        <w:rPr>
          <w:b w:val="0"/>
          <w:bCs/>
        </w:rPr>
      </w:pPr>
      <w:r w:rsidRPr="009924FD">
        <w:rPr>
          <w:b w:val="0"/>
          <w:bCs/>
        </w:rPr>
        <w:t>Le contrôle continu est vivement conseillé (se renseigner auprès du DDL).</w:t>
      </w:r>
    </w:p>
    <w:p w14:paraId="31AF37B1" w14:textId="77777777" w:rsidR="00D76D4B" w:rsidRDefault="00D76D4B" w:rsidP="00D76D4B">
      <w:pPr>
        <w:jc w:val="both"/>
      </w:pPr>
      <w:r w:rsidRPr="009924FD">
        <w:rPr>
          <w:b w:val="0"/>
          <w:bCs/>
        </w:rPr>
        <w:t>Inscription en ligne en septembre pour le semestre 1.</w:t>
      </w:r>
    </w:p>
    <w:p w14:paraId="678CD2D3" w14:textId="77777777" w:rsidR="00DC7408" w:rsidRDefault="00DC7408"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1E66353A"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00615808"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0C0B223"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1B33B9A7"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27B60086"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23219F0"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7C7FB3D3"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2F21CA38"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CDF8ED2"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6593E75" w14:textId="77777777" w:rsidR="00D76D4B" w:rsidRPr="00DF17B7" w:rsidRDefault="00D76D4B" w:rsidP="00D76D4B">
      <w:pPr>
        <w:pBdr>
          <w:left w:val="single" w:sz="4" w:space="4" w:color="auto"/>
        </w:pBdr>
        <w:spacing w:after="0" w:line="276" w:lineRule="auto"/>
        <w:contextualSpacing/>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DF17B7">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w:t>
      </w:r>
    </w:p>
    <w:p w14:paraId="38BDF947" w14:textId="77777777" w:rsidR="00D76D4B" w:rsidRPr="00D76D4B" w:rsidRDefault="00D76D4B" w:rsidP="00D76D4B">
      <w:pPr>
        <w:pBdr>
          <w:left w:val="single" w:sz="4" w:space="4" w:color="auto"/>
        </w:pBdr>
        <w:spacing w:after="0" w:line="276" w:lineRule="auto"/>
        <w:contextualSpacing/>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DF17B7">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ANCIENNE</w:t>
      </w:r>
    </w:p>
    <w:p w14:paraId="7A51CD86"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40818BA4"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73BCC5B" w14:textId="77777777" w:rsidR="00BA0755" w:rsidRDefault="00BA0755"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D561D95" w14:textId="77777777" w:rsidR="00BA0755" w:rsidRDefault="00BA0755"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2FA8FEB" w14:textId="77777777" w:rsidR="00AF57C8" w:rsidRDefault="00AF57C8"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3A2059CD" w14:textId="77777777" w:rsidR="00AF57C8" w:rsidRPr="00F8007E" w:rsidRDefault="00AF57C8"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3EEBE0B" w14:textId="77777777" w:rsidR="007B2056" w:rsidRDefault="007B2056" w:rsidP="00C16858">
      <w:pPr>
        <w:spacing w:after="0" w:line="360" w:lineRule="auto"/>
        <w:contextualSpacing/>
        <w:jc w:val="center"/>
        <w:rPr>
          <w:iCs/>
          <w:color w:val="C00000"/>
          <w:sz w:val="28"/>
          <w:highlight w:val="lightGray"/>
        </w:rPr>
      </w:pPr>
    </w:p>
    <w:p w14:paraId="6A222380" w14:textId="77777777" w:rsidR="00D76D4B" w:rsidRDefault="00D76D4B" w:rsidP="00D76D4B">
      <w:pPr>
        <w:spacing w:after="0" w:line="360" w:lineRule="auto"/>
        <w:contextualSpacing/>
        <w:rPr>
          <w:iCs/>
          <w:color w:val="C00000"/>
          <w:sz w:val="28"/>
          <w:highlight w:val="lightGray"/>
        </w:rPr>
      </w:pPr>
    </w:p>
    <w:p w14:paraId="5FB8F9EF" w14:textId="77777777" w:rsidR="00D76D4B" w:rsidRDefault="00D76D4B" w:rsidP="00C16858">
      <w:pPr>
        <w:spacing w:after="0" w:line="360" w:lineRule="auto"/>
        <w:contextualSpacing/>
        <w:jc w:val="center"/>
        <w:rPr>
          <w:iCs/>
          <w:color w:val="C00000"/>
          <w:sz w:val="28"/>
          <w:highlight w:val="lightGray"/>
        </w:rPr>
      </w:pPr>
    </w:p>
    <w:p w14:paraId="460B96C4" w14:textId="478B9955" w:rsidR="005C21A9" w:rsidRPr="004B35E6" w:rsidRDefault="00FC4A8E" w:rsidP="00B34763">
      <w:pPr>
        <w:spacing w:after="0" w:line="360" w:lineRule="auto"/>
        <w:contextualSpacing/>
        <w:jc w:val="center"/>
        <w:rPr>
          <w:rFonts w:ascii="Cambria" w:hAnsi="Cambria"/>
          <w:iCs/>
          <w:color w:val="C00000"/>
          <w:sz w:val="28"/>
        </w:rPr>
      </w:pPr>
      <w:r w:rsidRPr="004B35E6">
        <w:rPr>
          <w:rFonts w:ascii="Cambria" w:hAnsi="Cambria"/>
          <w:iCs/>
          <w:color w:val="C00000"/>
          <w:sz w:val="28"/>
        </w:rPr>
        <w:t>J3010119</w:t>
      </w:r>
      <w:r w:rsidR="008C49D7" w:rsidRPr="004B35E6">
        <w:rPr>
          <w:rFonts w:ascii="Cambria" w:hAnsi="Cambria"/>
          <w:iCs/>
          <w:color w:val="C00000"/>
          <w:sz w:val="28"/>
        </w:rPr>
        <w:t>/J3010219</w:t>
      </w:r>
      <w:r w:rsidR="00E94CB3" w:rsidRPr="004B35E6">
        <w:rPr>
          <w:rFonts w:ascii="Cambria" w:hAnsi="Cambria"/>
          <w:iCs/>
          <w:color w:val="C00000"/>
          <w:sz w:val="28"/>
        </w:rPr>
        <w:t> : Histoire de la Mésopotamie</w:t>
      </w:r>
    </w:p>
    <w:p w14:paraId="45A3AAD4" w14:textId="77777777" w:rsidR="009A678A" w:rsidRPr="004B35E6" w:rsidRDefault="009A678A" w:rsidP="008C18B6">
      <w:pPr>
        <w:spacing w:after="0" w:line="360" w:lineRule="auto"/>
        <w:contextualSpacing/>
        <w:jc w:val="both"/>
        <w:rPr>
          <w:rFonts w:ascii="Cambria" w:hAnsi="Cambria"/>
          <w:b w:val="0"/>
          <w:bCs/>
          <w:iCs/>
        </w:rPr>
      </w:pPr>
    </w:p>
    <w:p w14:paraId="72E1F754" w14:textId="0A582999" w:rsidR="00880216" w:rsidRPr="004B35E6" w:rsidRDefault="00880216" w:rsidP="007F10C0">
      <w:pPr>
        <w:spacing w:after="0" w:line="360" w:lineRule="auto"/>
        <w:contextualSpacing/>
        <w:jc w:val="center"/>
        <w:rPr>
          <w:rFonts w:ascii="Cambria" w:hAnsi="Cambria" w:cs="Times New Roman"/>
          <w:iCs/>
          <w:sz w:val="22"/>
        </w:rPr>
      </w:pPr>
      <w:r w:rsidRPr="004B35E6">
        <w:rPr>
          <w:rFonts w:ascii="Cambria" w:hAnsi="Cambria" w:cs="Times New Roman"/>
          <w:iCs/>
          <w:sz w:val="22"/>
        </w:rPr>
        <w:t>Philippe Clancier (</w:t>
      </w:r>
      <w:r w:rsidR="009473F2" w:rsidRPr="004B35E6">
        <w:rPr>
          <w:rFonts w:ascii="Cambria" w:hAnsi="Cambria" w:cs="Times New Roman"/>
          <w:iCs/>
          <w:sz w:val="22"/>
        </w:rPr>
        <w:t>CM</w:t>
      </w:r>
      <w:r w:rsidR="00374E68" w:rsidRPr="004B35E6">
        <w:rPr>
          <w:rFonts w:ascii="Cambria" w:hAnsi="Cambria" w:cs="Times New Roman"/>
          <w:iCs/>
          <w:sz w:val="22"/>
        </w:rPr>
        <w:t>)</w:t>
      </w:r>
      <w:r w:rsidR="009473F2" w:rsidRPr="004B35E6">
        <w:rPr>
          <w:rFonts w:ascii="Cambria" w:hAnsi="Cambria" w:cs="Times New Roman"/>
          <w:iCs/>
          <w:sz w:val="22"/>
        </w:rPr>
        <w:t>, Clara Gibert (TD)</w:t>
      </w:r>
    </w:p>
    <w:p w14:paraId="4A0511DC" w14:textId="23AF80E8" w:rsidR="006E59A8" w:rsidRPr="004B35E6" w:rsidRDefault="00880216" w:rsidP="008C18B6">
      <w:pPr>
        <w:spacing w:after="0" w:line="360" w:lineRule="auto"/>
        <w:contextualSpacing/>
        <w:jc w:val="both"/>
        <w:rPr>
          <w:rFonts w:ascii="Cambria" w:hAnsi="Cambria" w:cs="Times New Roman"/>
          <w:b w:val="0"/>
          <w:bCs/>
          <w:iCs/>
          <w:sz w:val="22"/>
        </w:rPr>
      </w:pPr>
      <w:r w:rsidRPr="004B35E6">
        <w:rPr>
          <w:rFonts w:ascii="Cambria" w:hAnsi="Cambria" w:cs="Times New Roman"/>
          <w:b w:val="0"/>
          <w:bCs/>
          <w:iCs/>
          <w:sz w:val="22"/>
        </w:rPr>
        <w:t xml:space="preserve">                     </w:t>
      </w:r>
    </w:p>
    <w:p w14:paraId="4902E910" w14:textId="216D34DD" w:rsidR="00C13944" w:rsidRPr="004B35E6" w:rsidRDefault="00C13944" w:rsidP="00C13944">
      <w:pPr>
        <w:rPr>
          <w:rFonts w:ascii="Cambria" w:hAnsi="Cambria"/>
          <w:b w:val="0"/>
          <w:color w:val="C00000"/>
          <w:sz w:val="22"/>
        </w:rPr>
      </w:pPr>
      <w:r w:rsidRPr="004B35E6">
        <w:rPr>
          <w:color w:val="C00000"/>
          <w:sz w:val="22"/>
        </w:rPr>
        <w:t xml:space="preserve"> </w:t>
      </w:r>
      <w:r w:rsidRPr="004B35E6">
        <w:rPr>
          <w:rFonts w:ascii="Cambria" w:hAnsi="Cambria"/>
          <w:color w:val="C00000"/>
          <w:sz w:val="22"/>
        </w:rPr>
        <w:t>Sujet du cours : L’Assyrie : du royaume vassal à l’empire universel</w:t>
      </w:r>
    </w:p>
    <w:p w14:paraId="0333BDFF" w14:textId="4AE0CEC6" w:rsidR="00C13944" w:rsidRPr="004B35E6" w:rsidRDefault="00C13944" w:rsidP="004B35E6">
      <w:pPr>
        <w:jc w:val="both"/>
        <w:rPr>
          <w:rFonts w:ascii="Cambria" w:hAnsi="Cambria"/>
          <w:b w:val="0"/>
          <w:bCs/>
          <w:sz w:val="22"/>
        </w:rPr>
      </w:pPr>
      <w:r w:rsidRPr="004B35E6">
        <w:rPr>
          <w:rFonts w:ascii="Cambria" w:hAnsi="Cambria"/>
          <w:b w:val="0"/>
          <w:bCs/>
          <w:sz w:val="22"/>
        </w:rPr>
        <w:t xml:space="preserve">L’année sera consacrée à l’étude de l’Assyrie depuis son émergence comme grande puissance à partir du </w:t>
      </w:r>
      <w:r w:rsidRPr="004B35E6">
        <w:rPr>
          <w:rFonts w:ascii="Cambria" w:hAnsi="Cambria"/>
          <w:b w:val="0"/>
          <w:bCs/>
          <w:smallCaps/>
          <w:sz w:val="22"/>
        </w:rPr>
        <w:t>xiv</w:t>
      </w:r>
      <w:r w:rsidRPr="004B35E6">
        <w:rPr>
          <w:rFonts w:ascii="Cambria" w:hAnsi="Cambria"/>
          <w:b w:val="0"/>
          <w:bCs/>
          <w:sz w:val="22"/>
          <w:vertAlign w:val="superscript"/>
        </w:rPr>
        <w:t>e</w:t>
      </w:r>
      <w:r w:rsidRPr="004B35E6">
        <w:rPr>
          <w:rFonts w:ascii="Cambria" w:hAnsi="Cambria"/>
          <w:b w:val="0"/>
          <w:bCs/>
          <w:sz w:val="22"/>
        </w:rPr>
        <w:t xml:space="preserve"> siècle jusqu’à sa disparition sous les coups de ses ennemis mèdes et babyloniens à la fin du </w:t>
      </w:r>
      <w:r w:rsidRPr="004B35E6">
        <w:rPr>
          <w:rFonts w:ascii="Cambria" w:hAnsi="Cambria"/>
          <w:b w:val="0"/>
          <w:bCs/>
          <w:smallCaps/>
          <w:sz w:val="22"/>
        </w:rPr>
        <w:t>vii</w:t>
      </w:r>
      <w:r w:rsidRPr="004B35E6">
        <w:rPr>
          <w:rFonts w:ascii="Cambria" w:hAnsi="Cambria"/>
          <w:b w:val="0"/>
          <w:bCs/>
          <w:sz w:val="22"/>
          <w:vertAlign w:val="superscript"/>
        </w:rPr>
        <w:t>e</w:t>
      </w:r>
      <w:r w:rsidRPr="004B35E6">
        <w:rPr>
          <w:rFonts w:ascii="Cambria" w:hAnsi="Cambria"/>
          <w:b w:val="0"/>
          <w:bCs/>
          <w:sz w:val="22"/>
        </w:rPr>
        <w:t xml:space="preserve"> siècle, entre 614 et 609. L’objectif sera de donner une image </w:t>
      </w:r>
      <w:r w:rsidR="004B35E6" w:rsidRPr="004B35E6">
        <w:rPr>
          <w:rFonts w:ascii="Cambria" w:hAnsi="Cambria"/>
          <w:b w:val="0"/>
          <w:bCs/>
          <w:sz w:val="22"/>
        </w:rPr>
        <w:t>le plus large possible</w:t>
      </w:r>
      <w:r w:rsidRPr="004B35E6">
        <w:rPr>
          <w:rFonts w:ascii="Cambria" w:hAnsi="Cambria"/>
          <w:b w:val="0"/>
          <w:bCs/>
          <w:sz w:val="22"/>
        </w:rPr>
        <w:t xml:space="preserve"> de l’Assyrie, en abordant les grandes questions politiques, économiques, sociales et culturelles. Les deux semestres pourront être suivis indépendamment l’un de l’autre, la césure chronologique se faisant au </w:t>
      </w:r>
      <w:r w:rsidRPr="004B35E6">
        <w:rPr>
          <w:rFonts w:ascii="Cambria" w:hAnsi="Cambria"/>
          <w:b w:val="0"/>
          <w:bCs/>
          <w:smallCaps/>
          <w:sz w:val="22"/>
        </w:rPr>
        <w:t>xi</w:t>
      </w:r>
      <w:r w:rsidRPr="004B35E6">
        <w:rPr>
          <w:rFonts w:ascii="Cambria" w:hAnsi="Cambria"/>
          <w:b w:val="0"/>
          <w:bCs/>
          <w:sz w:val="22"/>
          <w:vertAlign w:val="superscript"/>
        </w:rPr>
        <w:t>e</w:t>
      </w:r>
      <w:r w:rsidRPr="004B35E6">
        <w:rPr>
          <w:rFonts w:ascii="Cambria" w:hAnsi="Cambria"/>
          <w:b w:val="0"/>
          <w:bCs/>
          <w:sz w:val="22"/>
        </w:rPr>
        <w:t xml:space="preserve"> siècle.</w:t>
      </w:r>
    </w:p>
    <w:p w14:paraId="730CA34B" w14:textId="7FA627C9" w:rsidR="00C13944" w:rsidRPr="004B35E6" w:rsidRDefault="00C13944" w:rsidP="00C13944">
      <w:pPr>
        <w:rPr>
          <w:rFonts w:ascii="Cambria" w:hAnsi="Cambria"/>
          <w:b w:val="0"/>
          <w:color w:val="C00000"/>
          <w:sz w:val="22"/>
          <w:u w:val="single"/>
        </w:rPr>
      </w:pPr>
      <w:r w:rsidRPr="004B35E6">
        <w:rPr>
          <w:rFonts w:ascii="Cambria" w:hAnsi="Cambria"/>
          <w:color w:val="C00000"/>
          <w:sz w:val="22"/>
          <w:u w:val="single"/>
        </w:rPr>
        <w:t>Semestre 1 :  L’Assyrie à l’époque médio-assyrienne</w:t>
      </w:r>
    </w:p>
    <w:p w14:paraId="525CE71B" w14:textId="3C05C92E" w:rsidR="00C13944" w:rsidRPr="004B35E6" w:rsidRDefault="00C13944" w:rsidP="004B35E6">
      <w:pPr>
        <w:jc w:val="both"/>
        <w:rPr>
          <w:rFonts w:ascii="Cambria" w:hAnsi="Cambria"/>
          <w:b w:val="0"/>
          <w:bCs/>
          <w:sz w:val="22"/>
        </w:rPr>
      </w:pPr>
      <w:r w:rsidRPr="004B35E6">
        <w:rPr>
          <w:rFonts w:ascii="Cambria" w:hAnsi="Cambria"/>
          <w:b w:val="0"/>
          <w:bCs/>
          <w:sz w:val="22"/>
        </w:rPr>
        <w:t>À partir du roi Erība-Adad I</w:t>
      </w:r>
      <w:r w:rsidRPr="004B35E6">
        <w:rPr>
          <w:rFonts w:ascii="Cambria" w:hAnsi="Cambria"/>
          <w:b w:val="0"/>
          <w:bCs/>
          <w:sz w:val="22"/>
          <w:vertAlign w:val="superscript"/>
        </w:rPr>
        <w:t>er</w:t>
      </w:r>
      <w:r w:rsidRPr="004B35E6">
        <w:rPr>
          <w:rFonts w:ascii="Cambria" w:hAnsi="Cambria"/>
          <w:b w:val="0"/>
          <w:bCs/>
          <w:sz w:val="22"/>
        </w:rPr>
        <w:t xml:space="preserve"> (1392–1366) et plus encore de son successeur Aššur-uballi</w:t>
      </w:r>
      <w:r w:rsidRPr="004B35E6">
        <w:rPr>
          <w:rFonts w:ascii="Cambria" w:hAnsi="Cambria" w:cs="Calibri"/>
          <w:b w:val="0"/>
          <w:bCs/>
          <w:sz w:val="22"/>
        </w:rPr>
        <w:t>ṭ</w:t>
      </w:r>
      <w:r w:rsidRPr="004B35E6">
        <w:rPr>
          <w:rFonts w:ascii="Cambria" w:hAnsi="Cambria"/>
          <w:b w:val="0"/>
          <w:bCs/>
          <w:sz w:val="22"/>
        </w:rPr>
        <w:t> I</w:t>
      </w:r>
      <w:r w:rsidRPr="004B35E6">
        <w:rPr>
          <w:rFonts w:ascii="Cambria" w:hAnsi="Cambria"/>
          <w:b w:val="0"/>
          <w:bCs/>
          <w:sz w:val="22"/>
          <w:vertAlign w:val="superscript"/>
        </w:rPr>
        <w:t>er</w:t>
      </w:r>
      <w:r w:rsidRPr="004B35E6">
        <w:rPr>
          <w:rFonts w:ascii="Cambria" w:hAnsi="Cambria"/>
          <w:b w:val="0"/>
          <w:bCs/>
          <w:sz w:val="22"/>
        </w:rPr>
        <w:t xml:space="preserve"> (1365–1330), se constitue dans le nord de l’Irak actuel un État territorial appelé à un grand avenir : le « Pays d’Aššur » que nous appelons l’Assyrie. Le premier semestre sera consacré à l’étude de la formation et de l’affirmation de cette nouvelle puissance au milieu de royaumes en concurrence. Les sources diplomatiques, politiques, administratifs et militaires seront au cœur de cette approche. Cependant, les très nombreux documents à notre disposition permettront aussi d’aborder le droit assyrien, la famille, la culture lettrée sous influence babylonienne, certains aspects économiques etc.</w:t>
      </w:r>
    </w:p>
    <w:p w14:paraId="511AC722" w14:textId="0D431711" w:rsidR="00C13944" w:rsidRPr="004B35E6" w:rsidRDefault="00C13944" w:rsidP="00C13944">
      <w:pPr>
        <w:rPr>
          <w:rFonts w:ascii="Cambria" w:hAnsi="Cambria"/>
          <w:b w:val="0"/>
          <w:color w:val="C00000"/>
          <w:sz w:val="22"/>
          <w:u w:val="single"/>
        </w:rPr>
      </w:pPr>
      <w:r w:rsidRPr="004B35E6">
        <w:rPr>
          <w:rFonts w:ascii="Cambria" w:hAnsi="Cambria"/>
          <w:color w:val="C00000"/>
          <w:sz w:val="22"/>
          <w:u w:val="single"/>
        </w:rPr>
        <w:t>Semestre 2 : L’Assyrie au I</w:t>
      </w:r>
      <w:r w:rsidRPr="004B35E6">
        <w:rPr>
          <w:rFonts w:ascii="Cambria" w:hAnsi="Cambria"/>
          <w:color w:val="C00000"/>
          <w:sz w:val="22"/>
          <w:u w:val="single"/>
          <w:vertAlign w:val="superscript"/>
        </w:rPr>
        <w:t>er</w:t>
      </w:r>
      <w:r w:rsidRPr="004B35E6">
        <w:rPr>
          <w:rFonts w:ascii="Cambria" w:hAnsi="Cambria"/>
          <w:color w:val="C00000"/>
          <w:sz w:val="22"/>
          <w:u w:val="single"/>
        </w:rPr>
        <w:t> millénaire</w:t>
      </w:r>
    </w:p>
    <w:p w14:paraId="0917BBF2" w14:textId="77777777" w:rsidR="004B35E6" w:rsidRDefault="00C13944" w:rsidP="00C13944">
      <w:pPr>
        <w:jc w:val="both"/>
        <w:rPr>
          <w:rFonts w:ascii="Cambria" w:hAnsi="Cambria"/>
          <w:b w:val="0"/>
          <w:bCs/>
          <w:sz w:val="22"/>
        </w:rPr>
      </w:pPr>
      <w:r w:rsidRPr="004B35E6">
        <w:rPr>
          <w:rFonts w:ascii="Cambria" w:hAnsi="Cambria"/>
          <w:b w:val="0"/>
          <w:bCs/>
          <w:sz w:val="22"/>
        </w:rPr>
        <w:t>Le second semestre sera consacré à l’Assyrie au I</w:t>
      </w:r>
      <w:r w:rsidRPr="004B35E6">
        <w:rPr>
          <w:rFonts w:ascii="Cambria" w:hAnsi="Cambria"/>
          <w:b w:val="0"/>
          <w:bCs/>
          <w:sz w:val="22"/>
          <w:vertAlign w:val="superscript"/>
        </w:rPr>
        <w:t>er</w:t>
      </w:r>
      <w:r w:rsidRPr="004B35E6">
        <w:rPr>
          <w:rFonts w:ascii="Cambria" w:hAnsi="Cambria"/>
          <w:b w:val="0"/>
          <w:bCs/>
          <w:sz w:val="22"/>
        </w:rPr>
        <w:t xml:space="preserve"> millénaire, période que l’on appelle néo-assyrienne. Une réflexion sera cependant tout d’abord menée sur la « transition » entre périodes médio- et néo-assyriennes, permettant d’étudier un moment spécifique de l’histoire entre la fin du </w:t>
      </w:r>
      <w:r w:rsidRPr="004B35E6">
        <w:rPr>
          <w:rFonts w:ascii="Cambria" w:hAnsi="Cambria"/>
          <w:b w:val="0"/>
          <w:bCs/>
          <w:smallCaps/>
          <w:sz w:val="22"/>
        </w:rPr>
        <w:t>xii</w:t>
      </w:r>
      <w:r w:rsidRPr="004B35E6">
        <w:rPr>
          <w:rFonts w:ascii="Cambria" w:hAnsi="Cambria"/>
          <w:b w:val="0"/>
          <w:bCs/>
          <w:sz w:val="22"/>
          <w:vertAlign w:val="superscript"/>
        </w:rPr>
        <w:t>e</w:t>
      </w:r>
      <w:r w:rsidRPr="004B35E6">
        <w:rPr>
          <w:rFonts w:ascii="Cambria" w:hAnsi="Cambria"/>
          <w:b w:val="0"/>
          <w:bCs/>
          <w:sz w:val="22"/>
        </w:rPr>
        <w:t xml:space="preserve"> et le début du </w:t>
      </w:r>
      <w:r w:rsidRPr="004B35E6">
        <w:rPr>
          <w:rFonts w:ascii="Cambria" w:hAnsi="Cambria"/>
          <w:b w:val="0"/>
          <w:bCs/>
          <w:smallCaps/>
          <w:sz w:val="22"/>
        </w:rPr>
        <w:t>viii</w:t>
      </w:r>
      <w:r w:rsidRPr="004B35E6">
        <w:rPr>
          <w:rFonts w:ascii="Cambria" w:hAnsi="Cambria"/>
          <w:b w:val="0"/>
          <w:bCs/>
          <w:sz w:val="22"/>
          <w:vertAlign w:val="superscript"/>
        </w:rPr>
        <w:t>e</w:t>
      </w:r>
      <w:r w:rsidRPr="004B35E6">
        <w:rPr>
          <w:rFonts w:ascii="Cambria" w:hAnsi="Cambria"/>
          <w:b w:val="0"/>
          <w:bCs/>
          <w:sz w:val="22"/>
        </w:rPr>
        <w:t xml:space="preserve"> s. Nous verrons ensuite que le grand empire néo-assyrien se développe véritablement de la fin du </w:t>
      </w:r>
      <w:r w:rsidRPr="004B35E6">
        <w:rPr>
          <w:rFonts w:ascii="Cambria" w:hAnsi="Cambria"/>
          <w:b w:val="0"/>
          <w:bCs/>
          <w:smallCaps/>
          <w:sz w:val="22"/>
        </w:rPr>
        <w:t>viii</w:t>
      </w:r>
      <w:r w:rsidRPr="004B35E6">
        <w:rPr>
          <w:rFonts w:ascii="Cambria" w:hAnsi="Cambria"/>
          <w:b w:val="0"/>
          <w:bCs/>
          <w:sz w:val="22"/>
          <w:vertAlign w:val="superscript"/>
        </w:rPr>
        <w:t>e</w:t>
      </w:r>
      <w:r w:rsidRPr="004B35E6">
        <w:rPr>
          <w:rFonts w:ascii="Cambria" w:hAnsi="Cambria"/>
          <w:b w:val="0"/>
          <w:bCs/>
          <w:sz w:val="22"/>
        </w:rPr>
        <w:t xml:space="preserve"> s. à la fin du </w:t>
      </w:r>
      <w:r w:rsidRPr="004B35E6">
        <w:rPr>
          <w:rFonts w:ascii="Cambria" w:hAnsi="Cambria"/>
          <w:b w:val="0"/>
          <w:bCs/>
          <w:smallCaps/>
          <w:sz w:val="22"/>
        </w:rPr>
        <w:t>vii</w:t>
      </w:r>
      <w:r w:rsidRPr="004B35E6">
        <w:rPr>
          <w:rFonts w:ascii="Cambria" w:hAnsi="Cambria"/>
          <w:b w:val="0"/>
          <w:bCs/>
          <w:sz w:val="22"/>
          <w:vertAlign w:val="superscript"/>
        </w:rPr>
        <w:t>e</w:t>
      </w:r>
      <w:r w:rsidRPr="004B35E6">
        <w:rPr>
          <w:rFonts w:ascii="Cambria" w:hAnsi="Cambria"/>
          <w:b w:val="0"/>
          <w:bCs/>
          <w:sz w:val="22"/>
        </w:rPr>
        <w:t xml:space="preserve">, sous la dynastie </w:t>
      </w:r>
    </w:p>
    <w:p w14:paraId="6CA54E7E" w14:textId="77777777" w:rsidR="004B35E6" w:rsidRDefault="004B35E6" w:rsidP="00C13944">
      <w:pPr>
        <w:jc w:val="both"/>
        <w:rPr>
          <w:rFonts w:ascii="Cambria" w:hAnsi="Cambria"/>
          <w:b w:val="0"/>
          <w:bCs/>
          <w:sz w:val="22"/>
        </w:rPr>
      </w:pPr>
    </w:p>
    <w:p w14:paraId="37D2EE81" w14:textId="77777777" w:rsidR="004B35E6" w:rsidRDefault="004B35E6" w:rsidP="00C13944">
      <w:pPr>
        <w:jc w:val="both"/>
        <w:rPr>
          <w:rFonts w:ascii="Cambria" w:hAnsi="Cambria"/>
          <w:b w:val="0"/>
          <w:bCs/>
          <w:sz w:val="22"/>
        </w:rPr>
      </w:pPr>
    </w:p>
    <w:p w14:paraId="0B563268" w14:textId="1CC11F1A" w:rsidR="00C13944" w:rsidRPr="004B35E6" w:rsidRDefault="00C13944" w:rsidP="00C13944">
      <w:pPr>
        <w:jc w:val="both"/>
        <w:rPr>
          <w:rFonts w:ascii="Cambria" w:hAnsi="Cambria"/>
          <w:b w:val="0"/>
          <w:bCs/>
          <w:sz w:val="22"/>
        </w:rPr>
      </w:pPr>
      <w:r w:rsidRPr="004B35E6">
        <w:rPr>
          <w:rFonts w:ascii="Cambria" w:hAnsi="Cambria"/>
          <w:b w:val="0"/>
          <w:bCs/>
          <w:sz w:val="22"/>
        </w:rPr>
        <w:t xml:space="preserve">des Sargonides. Pendant cette période, les sources de toute nature se multiplient permettant, certes de faire l’histoire politique et militaire de l’Assyrie, mais aussi de voir que Ninive est devenu l’un des grands centres savants de l’Antiquité (médecine, exorcisme, astronomie, astrologie, divination etc.). Les nombreuses tablettes cunéiformes parvenues jusqu’à nous invitent aussi, parfois, à entrer dans la vie de Cour et dévoilent des personnalités telle que celle du roi Assarhaddon (680–669). </w:t>
      </w:r>
    </w:p>
    <w:p w14:paraId="04D86519" w14:textId="77777777" w:rsidR="00C13944" w:rsidRPr="004B35E6" w:rsidRDefault="00C13944" w:rsidP="00C13944">
      <w:pPr>
        <w:jc w:val="both"/>
        <w:rPr>
          <w:rFonts w:ascii="Cambria" w:hAnsi="Cambria"/>
          <w:b w:val="0"/>
          <w:bCs/>
          <w:sz w:val="22"/>
        </w:rPr>
      </w:pPr>
    </w:p>
    <w:p w14:paraId="4F20985C" w14:textId="67224C18" w:rsidR="00C13944" w:rsidRPr="004B35E6" w:rsidRDefault="00C13944" w:rsidP="00C13944">
      <w:pPr>
        <w:rPr>
          <w:rFonts w:ascii="Cambria" w:hAnsi="Cambria"/>
          <w:b w:val="0"/>
          <w:bCs/>
          <w:sz w:val="22"/>
        </w:rPr>
      </w:pPr>
      <w:r w:rsidRPr="004B35E6">
        <w:rPr>
          <w:rFonts w:ascii="Cambria" w:hAnsi="Cambria"/>
          <w:b w:val="0"/>
          <w:bCs/>
          <w:sz w:val="22"/>
        </w:rPr>
        <w:t>La brève bibliographie ci-dessous permet d’aborder rapidement les questions qui seront traitées tout au long de l’année. L’astérisque signale le titre à lire en priorité.</w:t>
      </w:r>
    </w:p>
    <w:p w14:paraId="3081D591" w14:textId="77777777" w:rsidR="00C13944" w:rsidRPr="004B35E6" w:rsidRDefault="00C13944" w:rsidP="00C13944">
      <w:pPr>
        <w:rPr>
          <w:rFonts w:ascii="Cambria" w:hAnsi="Cambria"/>
          <w:b w:val="0"/>
          <w:bCs/>
          <w:sz w:val="22"/>
          <w:lang w:val="en-US"/>
        </w:rPr>
      </w:pPr>
      <w:r w:rsidRPr="004B35E6">
        <w:rPr>
          <w:rFonts w:ascii="Cambria" w:hAnsi="Cambria"/>
          <w:b w:val="0"/>
          <w:bCs/>
          <w:sz w:val="22"/>
        </w:rPr>
        <w:t>– H. D. </w:t>
      </w:r>
      <w:r w:rsidRPr="004B35E6">
        <w:rPr>
          <w:rFonts w:ascii="Cambria" w:hAnsi="Cambria"/>
          <w:b w:val="0"/>
          <w:bCs/>
          <w:smallCaps/>
          <w:sz w:val="22"/>
        </w:rPr>
        <w:t>Baker</w:t>
      </w:r>
      <w:r w:rsidRPr="004B35E6">
        <w:rPr>
          <w:rFonts w:ascii="Cambria" w:hAnsi="Cambria"/>
          <w:b w:val="0"/>
          <w:bCs/>
          <w:sz w:val="22"/>
        </w:rPr>
        <w:t xml:space="preserve">, </w:t>
      </w:r>
      <w:r w:rsidRPr="004B35E6">
        <w:rPr>
          <w:rFonts w:ascii="Cambria" w:eastAsia="Times New Roman" w:hAnsi="Cambria"/>
          <w:b w:val="0"/>
          <w:bCs/>
          <w:sz w:val="22"/>
        </w:rPr>
        <w:t xml:space="preserve">« The Assyrian Empire. </w:t>
      </w:r>
      <w:r w:rsidRPr="004B35E6">
        <w:rPr>
          <w:rFonts w:ascii="Cambria" w:eastAsia="Times New Roman" w:hAnsi="Cambria"/>
          <w:b w:val="0"/>
          <w:bCs/>
          <w:sz w:val="22"/>
          <w:lang w:val="en-US"/>
        </w:rPr>
        <w:t xml:space="preserve">A View from Within », dans K. Radner, N. Moeller &amp; &amp; D. Potts (éd.), </w:t>
      </w:r>
      <w:r w:rsidRPr="004B35E6">
        <w:rPr>
          <w:rFonts w:ascii="Cambria" w:eastAsia="Times New Roman" w:hAnsi="Cambria"/>
          <w:b w:val="0"/>
          <w:bCs/>
          <w:i/>
          <w:sz w:val="22"/>
          <w:lang w:val="en-US"/>
        </w:rPr>
        <w:t>The Oxford History of the Ancient Near East vol. 4. The Age of Assyria</w:t>
      </w:r>
      <w:r w:rsidRPr="004B35E6">
        <w:rPr>
          <w:rFonts w:ascii="Cambria" w:eastAsia="Times New Roman" w:hAnsi="Cambria"/>
          <w:b w:val="0"/>
          <w:bCs/>
          <w:sz w:val="22"/>
          <w:lang w:val="en-US"/>
        </w:rPr>
        <w:t>, Oxford University Press, Oxford, 2023, p. 257–351.</w:t>
      </w:r>
    </w:p>
    <w:p w14:paraId="7FEAF4D6" w14:textId="77777777" w:rsidR="00C13944" w:rsidRPr="004B35E6" w:rsidRDefault="00C13944" w:rsidP="00C13944">
      <w:pPr>
        <w:ind w:left="284" w:hanging="284"/>
        <w:rPr>
          <w:rFonts w:ascii="Cambria" w:hAnsi="Cambria"/>
          <w:b w:val="0"/>
          <w:bCs/>
          <w:sz w:val="22"/>
          <w:lang w:val="en-US"/>
        </w:rPr>
      </w:pPr>
      <w:r w:rsidRPr="004B35E6">
        <w:rPr>
          <w:rFonts w:ascii="Cambria" w:hAnsi="Cambria"/>
          <w:b w:val="0"/>
          <w:bCs/>
          <w:sz w:val="22"/>
          <w:lang w:val="en-US"/>
        </w:rPr>
        <w:t>– </w:t>
      </w:r>
      <w:r w:rsidRPr="004B35E6">
        <w:rPr>
          <w:rFonts w:ascii="Cambria" w:hAnsi="Cambria"/>
          <w:b w:val="0"/>
          <w:bCs/>
          <w:color w:val="000000"/>
          <w:sz w:val="22"/>
          <w:lang w:val="en-GB"/>
        </w:rPr>
        <w:t>E. </w:t>
      </w:r>
      <w:r w:rsidRPr="004B35E6">
        <w:rPr>
          <w:rFonts w:ascii="Cambria" w:hAnsi="Cambria"/>
          <w:b w:val="0"/>
          <w:bCs/>
          <w:smallCaps/>
          <w:color w:val="000000"/>
          <w:sz w:val="22"/>
          <w:lang w:val="en-GB"/>
        </w:rPr>
        <w:t>Frahm</w:t>
      </w:r>
      <w:r w:rsidRPr="004B35E6">
        <w:rPr>
          <w:rFonts w:ascii="Cambria" w:hAnsi="Cambria"/>
          <w:b w:val="0"/>
          <w:bCs/>
          <w:color w:val="000000"/>
          <w:sz w:val="22"/>
          <w:lang w:val="en-GB"/>
        </w:rPr>
        <w:t xml:space="preserve"> (éd.), </w:t>
      </w:r>
      <w:r w:rsidRPr="004B35E6">
        <w:rPr>
          <w:rFonts w:ascii="Cambria" w:hAnsi="Cambria"/>
          <w:b w:val="0"/>
          <w:bCs/>
          <w:i/>
          <w:color w:val="000000"/>
          <w:sz w:val="22"/>
          <w:lang w:val="en-GB"/>
        </w:rPr>
        <w:t>A Companion to Assyria</w:t>
      </w:r>
      <w:r w:rsidRPr="004B35E6">
        <w:rPr>
          <w:rFonts w:ascii="Cambria" w:hAnsi="Cambria"/>
          <w:b w:val="0"/>
          <w:bCs/>
          <w:color w:val="000000"/>
          <w:sz w:val="22"/>
          <w:lang w:val="en-GB"/>
        </w:rPr>
        <w:t>, Blackwell, 2017.</w:t>
      </w:r>
    </w:p>
    <w:p w14:paraId="73BFBBC9" w14:textId="77777777" w:rsidR="00C13944" w:rsidRPr="004B35E6" w:rsidRDefault="00C13944" w:rsidP="00C13944">
      <w:pPr>
        <w:rPr>
          <w:rFonts w:ascii="Cambria" w:hAnsi="Cambria"/>
          <w:b w:val="0"/>
          <w:bCs/>
          <w:sz w:val="22"/>
        </w:rPr>
      </w:pPr>
      <w:r w:rsidRPr="004B35E6">
        <w:rPr>
          <w:rFonts w:ascii="Cambria" w:hAnsi="Cambria"/>
          <w:b w:val="0"/>
          <w:bCs/>
          <w:sz w:val="22"/>
        </w:rPr>
        <w:t>– *B. </w:t>
      </w:r>
      <w:r w:rsidRPr="004B35E6">
        <w:rPr>
          <w:rFonts w:ascii="Cambria" w:hAnsi="Cambria"/>
          <w:b w:val="0"/>
          <w:bCs/>
          <w:smallCaps/>
          <w:sz w:val="22"/>
        </w:rPr>
        <w:t>Lafont, A. tenu, F. Joannès &amp; P</w:t>
      </w:r>
      <w:r w:rsidRPr="004B35E6">
        <w:rPr>
          <w:rFonts w:ascii="Cambria" w:hAnsi="Cambria"/>
          <w:b w:val="0"/>
          <w:bCs/>
          <w:sz w:val="22"/>
        </w:rPr>
        <w:t>h</w:t>
      </w:r>
      <w:r w:rsidRPr="004B35E6">
        <w:rPr>
          <w:rFonts w:ascii="Cambria" w:hAnsi="Cambria"/>
          <w:b w:val="0"/>
          <w:bCs/>
          <w:smallCaps/>
          <w:sz w:val="22"/>
        </w:rPr>
        <w:t>. Clancier</w:t>
      </w:r>
      <w:r w:rsidRPr="004B35E6">
        <w:rPr>
          <w:rFonts w:ascii="Cambria" w:hAnsi="Cambria"/>
          <w:b w:val="0"/>
          <w:bCs/>
          <w:sz w:val="22"/>
        </w:rPr>
        <w:t xml:space="preserve">, </w:t>
      </w:r>
      <w:r w:rsidRPr="004B35E6">
        <w:rPr>
          <w:rFonts w:ascii="Cambria" w:hAnsi="Cambria"/>
          <w:b w:val="0"/>
          <w:bCs/>
          <w:i/>
          <w:sz w:val="22"/>
        </w:rPr>
        <w:t>Mésopotamie. De Gilgamesh à Artaban</w:t>
      </w:r>
      <w:r w:rsidRPr="004B35E6">
        <w:rPr>
          <w:rFonts w:ascii="Cambria" w:hAnsi="Cambria"/>
          <w:b w:val="0"/>
          <w:bCs/>
          <w:sz w:val="22"/>
        </w:rPr>
        <w:t>, Belin, Paris, 2017, p. 399–451 ; 529–603 ; 629–779.</w:t>
      </w:r>
    </w:p>
    <w:p w14:paraId="1D940C93" w14:textId="77777777" w:rsidR="00C13944" w:rsidRPr="004B35E6" w:rsidRDefault="00C13944" w:rsidP="00C13944">
      <w:pPr>
        <w:rPr>
          <w:rFonts w:ascii="Cambria" w:hAnsi="Cambria"/>
          <w:b w:val="0"/>
          <w:bCs/>
          <w:sz w:val="22"/>
          <w:lang w:val="en-US"/>
        </w:rPr>
      </w:pPr>
      <w:r w:rsidRPr="004B35E6">
        <w:rPr>
          <w:rFonts w:ascii="Cambria" w:hAnsi="Cambria"/>
          <w:b w:val="0"/>
          <w:bCs/>
          <w:sz w:val="22"/>
          <w:lang w:val="en-US"/>
        </w:rPr>
        <w:t>–</w:t>
      </w:r>
      <w:r w:rsidRPr="004B35E6">
        <w:rPr>
          <w:rFonts w:ascii="Cambria" w:eastAsia="Times New Roman" w:hAnsi="Cambria"/>
          <w:b w:val="0"/>
          <w:bCs/>
          <w:sz w:val="22"/>
          <w:lang w:val="en-US"/>
        </w:rPr>
        <w:t> H. </w:t>
      </w:r>
      <w:r w:rsidRPr="004B35E6">
        <w:rPr>
          <w:rFonts w:ascii="Cambria" w:eastAsia="Times New Roman" w:hAnsi="Cambria"/>
          <w:b w:val="0"/>
          <w:bCs/>
          <w:smallCaps/>
          <w:sz w:val="22"/>
          <w:lang w:val="en-US"/>
        </w:rPr>
        <w:t>Reculeau</w:t>
      </w:r>
      <w:r w:rsidRPr="004B35E6">
        <w:rPr>
          <w:rFonts w:ascii="Cambria" w:eastAsia="Times New Roman" w:hAnsi="Cambria"/>
          <w:b w:val="0"/>
          <w:bCs/>
          <w:sz w:val="22"/>
          <w:lang w:val="en-US"/>
        </w:rPr>
        <w:t xml:space="preserve">, « Assyria in the Late Bronze Age », dans K. Radner, N. Moeller &amp; D. Potts (éd.), </w:t>
      </w:r>
      <w:r w:rsidRPr="004B35E6">
        <w:rPr>
          <w:rFonts w:ascii="Cambria" w:eastAsia="Times New Roman" w:hAnsi="Cambria"/>
          <w:b w:val="0"/>
          <w:bCs/>
          <w:i/>
          <w:sz w:val="22"/>
          <w:lang w:val="en-US"/>
        </w:rPr>
        <w:t>The Oxford History of the Ancient Near East vol. 3. From the Hyksos to the Late Second Millennium BC</w:t>
      </w:r>
      <w:r w:rsidRPr="004B35E6">
        <w:rPr>
          <w:rFonts w:ascii="Cambria" w:eastAsia="Times New Roman" w:hAnsi="Cambria"/>
          <w:b w:val="0"/>
          <w:bCs/>
          <w:sz w:val="22"/>
          <w:lang w:val="en-US"/>
        </w:rPr>
        <w:t xml:space="preserve">, Oxford University Press, Oxford, 2022, </w:t>
      </w:r>
      <w:r w:rsidRPr="004B35E6">
        <w:rPr>
          <w:rFonts w:ascii="Cambria" w:hAnsi="Cambria"/>
          <w:b w:val="0"/>
          <w:bCs/>
          <w:sz w:val="22"/>
          <w:lang w:val="en-US"/>
        </w:rPr>
        <w:t>p. </w:t>
      </w:r>
      <w:r w:rsidRPr="004B35E6">
        <w:rPr>
          <w:rFonts w:ascii="Cambria" w:eastAsia="Times New Roman" w:hAnsi="Cambria"/>
          <w:b w:val="0"/>
          <w:bCs/>
          <w:sz w:val="22"/>
          <w:lang w:val="en-US"/>
        </w:rPr>
        <w:t>707–800.</w:t>
      </w:r>
    </w:p>
    <w:p w14:paraId="53B3354C" w14:textId="77777777" w:rsidR="00C13944" w:rsidRPr="004B35E6" w:rsidRDefault="00C13944" w:rsidP="00C13944">
      <w:pPr>
        <w:rPr>
          <w:rFonts w:ascii="Cambria" w:hAnsi="Cambria"/>
          <w:b w:val="0"/>
          <w:bCs/>
          <w:sz w:val="22"/>
          <w:lang w:val="en-US"/>
        </w:rPr>
      </w:pPr>
      <w:r w:rsidRPr="004B35E6">
        <w:rPr>
          <w:rFonts w:ascii="Cambria" w:hAnsi="Cambria"/>
          <w:b w:val="0"/>
          <w:bCs/>
          <w:sz w:val="22"/>
          <w:lang w:val="en-US"/>
        </w:rPr>
        <w:t>–</w:t>
      </w:r>
      <w:r w:rsidRPr="004B35E6">
        <w:rPr>
          <w:rFonts w:ascii="Cambria" w:eastAsia="Times New Roman" w:hAnsi="Cambria"/>
          <w:b w:val="0"/>
          <w:bCs/>
          <w:sz w:val="22"/>
          <w:lang w:val="en-US"/>
        </w:rPr>
        <w:t> D. </w:t>
      </w:r>
      <w:r w:rsidRPr="004B35E6">
        <w:rPr>
          <w:rFonts w:ascii="Cambria" w:eastAsia="Times New Roman" w:hAnsi="Cambria"/>
          <w:b w:val="0"/>
          <w:bCs/>
          <w:smallCaps/>
          <w:sz w:val="22"/>
          <w:lang w:val="en-US"/>
        </w:rPr>
        <w:t>Shibata</w:t>
      </w:r>
      <w:r w:rsidRPr="004B35E6">
        <w:rPr>
          <w:rFonts w:ascii="Cambria" w:eastAsia="Times New Roman" w:hAnsi="Cambria"/>
          <w:b w:val="0"/>
          <w:bCs/>
          <w:sz w:val="22"/>
          <w:lang w:val="en-US"/>
        </w:rPr>
        <w:t xml:space="preserve">, « Assyria from Tiglath-pileser I to Ashurnasirpal II », dans K. Radner, N. Moeller &amp; D. Potts (éd.), </w:t>
      </w:r>
      <w:r w:rsidRPr="004B35E6">
        <w:rPr>
          <w:rFonts w:ascii="Cambria" w:eastAsia="Times New Roman" w:hAnsi="Cambria"/>
          <w:b w:val="0"/>
          <w:bCs/>
          <w:i/>
          <w:sz w:val="22"/>
          <w:lang w:val="en-US"/>
        </w:rPr>
        <w:t>The Oxford History of the Ancient Near East vol. 4. The Age of Assyria</w:t>
      </w:r>
      <w:r w:rsidRPr="004B35E6">
        <w:rPr>
          <w:rFonts w:ascii="Cambria" w:eastAsia="Times New Roman" w:hAnsi="Cambria"/>
          <w:b w:val="0"/>
          <w:bCs/>
          <w:sz w:val="22"/>
          <w:lang w:val="en-US"/>
        </w:rPr>
        <w:t>, Oxford University Press, Oxford, 2023, p. 161–256.</w:t>
      </w:r>
    </w:p>
    <w:p w14:paraId="1D1092E8" w14:textId="77777777" w:rsidR="00C13944" w:rsidRPr="004B35E6" w:rsidRDefault="00C13944" w:rsidP="00C13944">
      <w:pPr>
        <w:rPr>
          <w:rFonts w:ascii="Cambria" w:hAnsi="Cambria"/>
          <w:sz w:val="22"/>
          <w:lang w:val="en-US"/>
        </w:rPr>
      </w:pPr>
    </w:p>
    <w:p w14:paraId="34C03384" w14:textId="77777777" w:rsidR="00C13944" w:rsidRPr="004B35E6" w:rsidRDefault="00C13944" w:rsidP="008C18B6">
      <w:pPr>
        <w:spacing w:after="0" w:line="360" w:lineRule="auto"/>
        <w:contextualSpacing/>
        <w:jc w:val="both"/>
        <w:rPr>
          <w:rFonts w:ascii="Cambria" w:hAnsi="Cambria" w:cs="Times New Roman"/>
          <w:sz w:val="22"/>
          <w:lang w:val="en-US"/>
        </w:rPr>
      </w:pPr>
    </w:p>
    <w:p w14:paraId="7C9B1854" w14:textId="77777777" w:rsidR="00C13944" w:rsidRPr="004B35E6" w:rsidRDefault="00C13944" w:rsidP="00C13944">
      <w:pPr>
        <w:spacing w:after="0" w:line="360" w:lineRule="auto"/>
        <w:contextualSpacing/>
        <w:rPr>
          <w:rFonts w:ascii="Cambria" w:hAnsi="Cambria"/>
          <w:i/>
          <w:color w:val="C00000"/>
          <w:sz w:val="28"/>
          <w:lang w:val="en-US"/>
        </w:rPr>
      </w:pPr>
    </w:p>
    <w:p w14:paraId="04753277" w14:textId="119B411C" w:rsidR="001950B5" w:rsidRPr="004B35E6" w:rsidRDefault="00E94CB3" w:rsidP="000C4997">
      <w:pPr>
        <w:spacing w:after="0" w:line="360" w:lineRule="auto"/>
        <w:contextualSpacing/>
        <w:jc w:val="center"/>
        <w:rPr>
          <w:rFonts w:ascii="Cambria" w:hAnsi="Cambria" w:cs="Times New Roman"/>
          <w:color w:val="C00000"/>
          <w:sz w:val="20"/>
          <w:szCs w:val="20"/>
          <w:lang w:val="en-US"/>
        </w:rPr>
      </w:pPr>
      <w:r w:rsidRPr="004B35E6">
        <w:rPr>
          <w:rFonts w:ascii="Cambria" w:hAnsi="Cambria"/>
          <w:i/>
          <w:color w:val="C00000"/>
          <w:sz w:val="28"/>
          <w:lang w:val="en-US"/>
        </w:rPr>
        <w:t>J301031</w:t>
      </w:r>
      <w:r w:rsidR="006F4C27" w:rsidRPr="004B35E6">
        <w:rPr>
          <w:rFonts w:ascii="Cambria" w:hAnsi="Cambria"/>
          <w:i/>
          <w:color w:val="C00000"/>
          <w:sz w:val="28"/>
          <w:lang w:val="en-US"/>
        </w:rPr>
        <w:t>9</w:t>
      </w:r>
      <w:r w:rsidR="00E366D8" w:rsidRPr="004B35E6">
        <w:rPr>
          <w:rFonts w:ascii="Cambria" w:hAnsi="Cambria"/>
          <w:i/>
          <w:color w:val="C00000"/>
          <w:sz w:val="28"/>
          <w:lang w:val="en-US"/>
        </w:rPr>
        <w:t>/</w:t>
      </w:r>
      <w:r w:rsidR="000304F4" w:rsidRPr="004B35E6">
        <w:rPr>
          <w:rFonts w:ascii="Cambria" w:hAnsi="Cambria"/>
          <w:i/>
          <w:color w:val="C00000"/>
          <w:sz w:val="28"/>
          <w:lang w:val="en-US"/>
        </w:rPr>
        <w:t>J3010419</w:t>
      </w:r>
      <w:r w:rsidR="006F4C27" w:rsidRPr="004B35E6">
        <w:rPr>
          <w:rFonts w:ascii="Cambria" w:hAnsi="Cambria"/>
          <w:i/>
          <w:color w:val="C00000"/>
          <w:sz w:val="28"/>
          <w:lang w:val="en-US"/>
        </w:rPr>
        <w:t xml:space="preserve"> </w:t>
      </w:r>
      <w:r w:rsidRPr="004B35E6">
        <w:rPr>
          <w:rFonts w:ascii="Cambria" w:hAnsi="Cambria"/>
          <w:i/>
          <w:color w:val="C00000"/>
          <w:sz w:val="28"/>
        </w:rPr>
        <w:t>Histoire de la Grèce archaïque et classique</w:t>
      </w:r>
    </w:p>
    <w:p w14:paraId="0082FC9F" w14:textId="77777777" w:rsidR="00935844" w:rsidRPr="004B35E6" w:rsidRDefault="00935844" w:rsidP="00F10F5B">
      <w:pPr>
        <w:spacing w:after="0" w:line="360" w:lineRule="auto"/>
        <w:jc w:val="center"/>
        <w:rPr>
          <w:rFonts w:ascii="Cambria" w:eastAsiaTheme="minorHAnsi" w:hAnsi="Cambria" w:cs="Times New Roman"/>
          <w:kern w:val="0"/>
          <w:sz w:val="22"/>
          <w:lang w:val="en-US" w:eastAsia="fr-FR"/>
        </w:rPr>
      </w:pPr>
    </w:p>
    <w:p w14:paraId="568105E4" w14:textId="77777777" w:rsidR="00421CF1" w:rsidRPr="004B35E6" w:rsidRDefault="004D0CD8" w:rsidP="00B66147">
      <w:pPr>
        <w:spacing w:after="0" w:line="360" w:lineRule="auto"/>
        <w:jc w:val="center"/>
        <w:rPr>
          <w:rFonts w:ascii="Cambria" w:eastAsiaTheme="minorHAnsi" w:hAnsi="Cambria" w:cs="Times New Roman"/>
          <w:kern w:val="0"/>
          <w:sz w:val="22"/>
          <w:lang w:val="en-US" w:eastAsia="fr-FR"/>
        </w:rPr>
      </w:pPr>
      <w:r w:rsidRPr="004B35E6">
        <w:rPr>
          <w:rFonts w:ascii="Cambria" w:eastAsiaTheme="minorHAnsi" w:hAnsi="Cambria" w:cs="Times New Roman"/>
          <w:kern w:val="0"/>
          <w:sz w:val="22"/>
          <w:lang w:val="en-US" w:eastAsia="fr-FR"/>
        </w:rPr>
        <w:t>Violaine Sebillotte (CM)</w:t>
      </w:r>
      <w:r w:rsidR="00181A5C" w:rsidRPr="004B35E6">
        <w:rPr>
          <w:rFonts w:ascii="Cambria" w:eastAsiaTheme="minorHAnsi" w:hAnsi="Cambria" w:cs="Times New Roman"/>
          <w:kern w:val="0"/>
          <w:sz w:val="22"/>
          <w:lang w:val="en-US" w:eastAsia="fr-FR"/>
        </w:rPr>
        <w:t>,</w:t>
      </w:r>
      <w:r w:rsidRPr="004B35E6">
        <w:rPr>
          <w:rFonts w:ascii="Cambria" w:eastAsiaTheme="minorHAnsi" w:hAnsi="Cambria" w:cs="Times New Roman"/>
          <w:kern w:val="0"/>
          <w:sz w:val="22"/>
          <w:lang w:val="en-US" w:eastAsia="fr-FR"/>
        </w:rPr>
        <w:t xml:space="preserve"> </w:t>
      </w:r>
    </w:p>
    <w:p w14:paraId="5DE082FC" w14:textId="3DE69BE5" w:rsidR="004D0CD8" w:rsidRPr="004B35E6" w:rsidRDefault="00181A5C" w:rsidP="00B66147">
      <w:pPr>
        <w:spacing w:after="0" w:line="360" w:lineRule="auto"/>
        <w:jc w:val="center"/>
        <w:rPr>
          <w:rFonts w:ascii="Cambria" w:eastAsiaTheme="minorHAnsi" w:hAnsi="Cambria" w:cs="Times New Roman"/>
          <w:kern w:val="0"/>
          <w:sz w:val="22"/>
          <w:lang w:eastAsia="fr-FR"/>
        </w:rPr>
      </w:pPr>
      <w:r w:rsidRPr="004B35E6">
        <w:rPr>
          <w:rFonts w:ascii="Cambria" w:eastAsiaTheme="minorHAnsi" w:hAnsi="Cambria" w:cs="Times New Roman"/>
          <w:kern w:val="0"/>
          <w:sz w:val="22"/>
          <w:lang w:eastAsia="fr-FR"/>
        </w:rPr>
        <w:t xml:space="preserve">Romain </w:t>
      </w:r>
      <w:r w:rsidR="004D0CD8" w:rsidRPr="004B35E6">
        <w:rPr>
          <w:rFonts w:ascii="Cambria" w:eastAsiaTheme="minorHAnsi" w:hAnsi="Cambria" w:cs="Times New Roman"/>
          <w:kern w:val="0"/>
          <w:sz w:val="22"/>
          <w:lang w:eastAsia="fr-FR"/>
        </w:rPr>
        <w:t xml:space="preserve">Guicharrousse, </w:t>
      </w:r>
      <w:r w:rsidR="00CB5EB8" w:rsidRPr="004B35E6">
        <w:rPr>
          <w:rFonts w:ascii="Cambria" w:eastAsiaTheme="minorHAnsi" w:hAnsi="Cambria" w:cs="Times New Roman"/>
          <w:kern w:val="0"/>
          <w:sz w:val="22"/>
          <w:lang w:eastAsia="fr-FR"/>
        </w:rPr>
        <w:t>Flavie Fontaine</w:t>
      </w:r>
      <w:r w:rsidR="00311672" w:rsidRPr="004B35E6">
        <w:rPr>
          <w:rFonts w:ascii="Cambria" w:eastAsiaTheme="minorHAnsi" w:hAnsi="Cambria" w:cs="Times New Roman"/>
          <w:kern w:val="0"/>
          <w:sz w:val="22"/>
          <w:lang w:eastAsia="fr-FR"/>
        </w:rPr>
        <w:t xml:space="preserve"> (TD)</w:t>
      </w:r>
    </w:p>
    <w:p w14:paraId="3A2F3A76" w14:textId="77777777" w:rsidR="000C4997" w:rsidRPr="004B35E6" w:rsidRDefault="000C4997" w:rsidP="008C18B6">
      <w:pPr>
        <w:spacing w:after="0" w:line="360" w:lineRule="auto"/>
        <w:jc w:val="both"/>
        <w:rPr>
          <w:rFonts w:ascii="Cambria" w:eastAsiaTheme="minorHAnsi" w:hAnsi="Cambria" w:cs="Times New Roman"/>
          <w:b w:val="0"/>
          <w:kern w:val="0"/>
          <w:sz w:val="22"/>
          <w:lang w:eastAsia="fr-FR"/>
        </w:rPr>
      </w:pPr>
    </w:p>
    <w:p w14:paraId="0FD66F4A" w14:textId="36C078D4" w:rsidR="00F10F5B" w:rsidRPr="004B35E6" w:rsidRDefault="00F10F5B" w:rsidP="00935844">
      <w:pPr>
        <w:spacing w:line="276" w:lineRule="auto"/>
        <w:rPr>
          <w:rFonts w:ascii="Cambria" w:eastAsia="Songti SC" w:hAnsi="Cambria" w:cs="Times New Roman"/>
          <w:color w:val="C00000"/>
          <w:sz w:val="22"/>
          <w:lang w:eastAsia="zh-CN" w:bidi="hi-IN"/>
        </w:rPr>
      </w:pPr>
      <w:r w:rsidRPr="004B35E6">
        <w:rPr>
          <w:rFonts w:ascii="Cambria" w:eastAsia="Songti SC" w:hAnsi="Cambria" w:cs="Times New Roman"/>
          <w:color w:val="C00000"/>
          <w:sz w:val="22"/>
          <w:u w:val="single"/>
          <w:lang w:eastAsia="zh-CN" w:bidi="hi-IN"/>
        </w:rPr>
        <w:t>Sujet du cours</w:t>
      </w:r>
      <w:r w:rsidR="009418C7" w:rsidRPr="004B35E6">
        <w:rPr>
          <w:rFonts w:ascii="Cambria" w:eastAsia="Songti SC" w:hAnsi="Cambria" w:cs="Times New Roman"/>
          <w:color w:val="C00000"/>
          <w:sz w:val="22"/>
          <w:u w:val="single"/>
          <w:lang w:eastAsia="zh-CN" w:bidi="hi-IN"/>
        </w:rPr>
        <w:t> </w:t>
      </w:r>
      <w:r w:rsidR="00D63DE1" w:rsidRPr="004B35E6">
        <w:rPr>
          <w:rFonts w:ascii="Cambria" w:eastAsia="Songti SC" w:hAnsi="Cambria" w:cs="Times New Roman"/>
          <w:color w:val="C00000"/>
          <w:sz w:val="22"/>
          <w:u w:val="single"/>
          <w:lang w:eastAsia="zh-CN" w:bidi="hi-IN"/>
        </w:rPr>
        <w:t xml:space="preserve">S1 </w:t>
      </w:r>
      <w:r w:rsidR="009418C7" w:rsidRPr="004B35E6">
        <w:rPr>
          <w:rFonts w:ascii="Cambria" w:eastAsia="Songti SC" w:hAnsi="Cambria" w:cs="Times New Roman"/>
          <w:color w:val="C00000"/>
          <w:sz w:val="22"/>
          <w:lang w:eastAsia="zh-CN" w:bidi="hi-IN"/>
        </w:rPr>
        <w:t xml:space="preserve">: </w:t>
      </w:r>
      <w:r w:rsidR="00421CF1" w:rsidRPr="004B35E6">
        <w:rPr>
          <w:rFonts w:ascii="Cambria" w:eastAsia="MS Mincho" w:hAnsi="Cambria" w:cs="Times New Roman"/>
          <w:color w:val="C00000"/>
          <w:sz w:val="22"/>
          <w:lang w:bidi="hi-IN"/>
        </w:rPr>
        <w:t>Religion e</w:t>
      </w:r>
      <w:r w:rsidR="009418C7" w:rsidRPr="004B35E6">
        <w:rPr>
          <w:rFonts w:ascii="Cambria" w:eastAsia="MS Mincho" w:hAnsi="Cambria" w:cs="Times New Roman"/>
          <w:color w:val="C00000"/>
          <w:sz w:val="22"/>
          <w:lang w:bidi="hi-IN"/>
        </w:rPr>
        <w:t>t</w:t>
      </w:r>
      <w:r w:rsidR="00421CF1" w:rsidRPr="004B35E6">
        <w:rPr>
          <w:rFonts w:ascii="Cambria" w:eastAsia="MS Mincho" w:hAnsi="Cambria" w:cs="Times New Roman"/>
          <w:color w:val="C00000"/>
          <w:sz w:val="22"/>
          <w:lang w:bidi="hi-IN"/>
        </w:rPr>
        <w:t xml:space="preserve"> société dans le mond</w:t>
      </w:r>
      <w:r w:rsidR="004B35E6">
        <w:rPr>
          <w:rFonts w:ascii="Cambria" w:eastAsia="MS Mincho" w:hAnsi="Cambria" w:cs="Times New Roman"/>
          <w:color w:val="C00000"/>
          <w:sz w:val="22"/>
          <w:lang w:bidi="hi-IN"/>
        </w:rPr>
        <w:t xml:space="preserve">e </w:t>
      </w:r>
      <w:r w:rsidR="00421CF1" w:rsidRPr="004B35E6">
        <w:rPr>
          <w:rFonts w:ascii="Cambria" w:eastAsia="MS Mincho" w:hAnsi="Cambria" w:cs="Times New Roman"/>
          <w:color w:val="C00000"/>
          <w:sz w:val="22"/>
          <w:lang w:bidi="hi-IN"/>
        </w:rPr>
        <w:t>grec</w:t>
      </w:r>
      <w:r w:rsidR="00D63DE1" w:rsidRPr="004B35E6">
        <w:rPr>
          <w:rFonts w:ascii="Cambria" w:eastAsia="MS Mincho" w:hAnsi="Cambria" w:cs="Times New Roman"/>
          <w:color w:val="C00000"/>
          <w:sz w:val="22"/>
          <w:lang w:bidi="hi-IN"/>
        </w:rPr>
        <w:t>.</w:t>
      </w:r>
      <w:r w:rsidR="004B35E6">
        <w:rPr>
          <w:rFonts w:ascii="Cambria" w:eastAsia="MS Mincho" w:hAnsi="Cambria" w:cs="Times New Roman"/>
          <w:color w:val="C00000"/>
          <w:sz w:val="22"/>
          <w:lang w:bidi="hi-IN"/>
        </w:rPr>
        <w:t xml:space="preserve"> </w:t>
      </w:r>
      <w:r w:rsidR="00D63DE1" w:rsidRPr="004B35E6">
        <w:rPr>
          <w:rFonts w:ascii="Cambria" w:eastAsia="MS Mincho" w:hAnsi="Cambria" w:cs="Times New Roman"/>
          <w:color w:val="C00000"/>
          <w:sz w:val="22"/>
          <w:lang w:bidi="hi-IN"/>
        </w:rPr>
        <w:t>Représentation et manifestation du divin</w:t>
      </w:r>
    </w:p>
    <w:p w14:paraId="1BE06842"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Depuis le Ier siècle après J.-C., il est d’usage de désigner la religion grecque par le terme de polythéisme, terme inventé à l’époque pour souligner le contraste avec le monothéisme des Juifs. Les Grecs n’avaient pas de terme correspondant à notre mot « religion ». Ils parlaient plutôt d’</w:t>
      </w:r>
      <w:r w:rsidRPr="004B35E6">
        <w:rPr>
          <w:rFonts w:ascii="Cambria" w:hAnsi="Cambria"/>
          <w:b w:val="0"/>
          <w:bCs/>
          <w:i/>
          <w:color w:val="000000"/>
          <w:sz w:val="22"/>
        </w:rPr>
        <w:t>eusèbéia</w:t>
      </w:r>
      <w:r w:rsidRPr="004B35E6">
        <w:rPr>
          <w:rFonts w:ascii="Cambria" w:hAnsi="Cambria"/>
          <w:b w:val="0"/>
          <w:bCs/>
          <w:color w:val="000000"/>
          <w:sz w:val="22"/>
        </w:rPr>
        <w:t>, c’est à dire du soin des dieux. Le respect des mortels à l’égard des divinités était garant du fonctionnement de l’alliance entre mortels et immortels, autrement dit du fonctionnement social dans son ensemble. Le contrat social était religieux.</w:t>
      </w:r>
    </w:p>
    <w:p w14:paraId="0B0C7423"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 xml:space="preserve">L’historiographie de la religion grecque a considérablement évolué au cours de la seconde moitié du XXe siècle et au début du XXIe siècle. Elle a mis en valeur à la fois les différentes représentations du divin (que l’on ne saurait réduire au seul anthropomorphisme) et les différentes échelles de l’appréhension du divin. Du panhellénisme à la cité, en passant par les groupes de parenté (familles, phratries), les Grecs superposent des échelons locaux, civiques et supra-civiques d’appropriation des divinités et de leurs mythes qui sont autant de prétextes aux reformulations des « personnalités » et des récits divins et héroïques. </w:t>
      </w:r>
    </w:p>
    <w:p w14:paraId="77D0131E"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La religion antique est généralement décrite comme une religion ritualiste ; elle ne repose sur aucune Révélation ni Ecriture. Les rituels, qui permettent que se maintienne la prospérité de chacun et de la communauté, engagent des individus et des espaces, les sanctuaires, selon des modalités définies par les cités : la place qu’y tiennent les citoyens, les citoyennes, les étrangers et les esclaves est intéressante à mesurer. Elle révèle l’implication de chacun de ces individus dans l’équilibre civique et marque les différences et les hiérarchies, notamment au cours du banquet qui suit le sacrifice sanglant.</w:t>
      </w:r>
    </w:p>
    <w:p w14:paraId="047A4CC7"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Si la religion crée le lien social, autant dire qu’elle comporte des enjeux politiques et économiques de première importance. Les procès pour impiété témoignent des craintes qui entourent tout écart par rapport aux normes religieuses. Pour autant, les Grecs ne manquaient pas de tourner divinités et héros en ridicule : les comédies, l’iconographie des vases, montrent des personnages addicts au vin ou au sexe : la société divine, comme la société des mortels comportent des bouffons et des fous. Mais rire des dieux ne signifie pas oublier leur culte.</w:t>
      </w:r>
    </w:p>
    <w:p w14:paraId="4DC0FA1D" w14:textId="3BE27E59"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Ce sont à la fois les aspects de la représentation du divin et des manifestations du lien au divin (collectif, individuel) qui nous intéresseront cette année. Pour le premier aspect, nous envisagerons notamment la manière dont l’anthropomorphisme distingue des déesses et des dieux, des héros et des héroïnes, les puissances qui leur sont associées et les cultes qui leur sont rendus. Pour le second aspect, nous analyserons en particulier les relations instaurées avec le monde divin, en particulier en définissant les cadres sociaux de la piété et de l’impiété, en interrogeant la notion de croyance, en posant la question de la possibilité ou non de l’athéisme.</w:t>
      </w:r>
    </w:p>
    <w:p w14:paraId="7F480F76" w14:textId="77777777" w:rsidR="00D63DE1" w:rsidRPr="004B35E6" w:rsidRDefault="00D63DE1" w:rsidP="00D63DE1">
      <w:pPr>
        <w:jc w:val="both"/>
        <w:rPr>
          <w:rFonts w:ascii="Cambria" w:hAnsi="Cambria"/>
          <w:bCs/>
          <w:color w:val="000000"/>
          <w:sz w:val="22"/>
        </w:rPr>
      </w:pPr>
      <w:r w:rsidRPr="004B35E6">
        <w:rPr>
          <w:rFonts w:ascii="Cambria" w:hAnsi="Cambria"/>
          <w:color w:val="000000"/>
          <w:sz w:val="22"/>
        </w:rPr>
        <w:t>Eléments de bibliographie</w:t>
      </w:r>
      <w:r w:rsidRPr="004B35E6">
        <w:rPr>
          <w:rFonts w:ascii="Cambria" w:hAnsi="Cambria"/>
          <w:b w:val="0"/>
          <w:bCs/>
          <w:color w:val="000000"/>
          <w:sz w:val="22"/>
        </w:rPr>
        <w:t> :</w:t>
      </w:r>
    </w:p>
    <w:p w14:paraId="0A861569"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Bruit Zaidman</w:t>
      </w:r>
      <w:r w:rsidRPr="004B35E6">
        <w:rPr>
          <w:rFonts w:ascii="Cambria" w:hAnsi="Cambria"/>
          <w:b w:val="0"/>
          <w:bCs/>
          <w:color w:val="000000"/>
          <w:sz w:val="22"/>
        </w:rPr>
        <w:t xml:space="preserve"> P. et </w:t>
      </w:r>
      <w:r w:rsidRPr="004B35E6">
        <w:rPr>
          <w:rFonts w:ascii="Cambria" w:hAnsi="Cambria"/>
          <w:b w:val="0"/>
          <w:bCs/>
          <w:smallCaps/>
          <w:color w:val="000000"/>
          <w:sz w:val="22"/>
        </w:rPr>
        <w:t>Schmitt Pantel</w:t>
      </w:r>
      <w:r w:rsidRPr="004B35E6">
        <w:rPr>
          <w:rFonts w:ascii="Cambria" w:hAnsi="Cambria"/>
          <w:b w:val="0"/>
          <w:bCs/>
          <w:color w:val="000000"/>
          <w:sz w:val="22"/>
        </w:rPr>
        <w:t xml:space="preserve"> P., </w:t>
      </w:r>
      <w:r w:rsidRPr="004B35E6">
        <w:rPr>
          <w:rFonts w:ascii="Cambria" w:hAnsi="Cambria"/>
          <w:b w:val="0"/>
          <w:bCs/>
          <w:i/>
          <w:color w:val="000000"/>
          <w:sz w:val="22"/>
        </w:rPr>
        <w:t>La religion grecque</w:t>
      </w:r>
      <w:r w:rsidRPr="004B35E6">
        <w:rPr>
          <w:rFonts w:ascii="Cambria" w:hAnsi="Cambria"/>
          <w:b w:val="0"/>
          <w:bCs/>
          <w:color w:val="000000"/>
          <w:sz w:val="22"/>
        </w:rPr>
        <w:t>, Colin, 1999</w:t>
      </w:r>
    </w:p>
    <w:p w14:paraId="54F01437"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Ismard</w:t>
      </w:r>
      <w:r w:rsidRPr="004B35E6">
        <w:rPr>
          <w:rFonts w:ascii="Cambria" w:hAnsi="Cambria"/>
          <w:b w:val="0"/>
          <w:bCs/>
          <w:color w:val="000000"/>
          <w:sz w:val="22"/>
        </w:rPr>
        <w:t xml:space="preserve">, Paulin, </w:t>
      </w:r>
      <w:r w:rsidRPr="004B35E6">
        <w:rPr>
          <w:rFonts w:ascii="Cambria" w:hAnsi="Cambria"/>
          <w:b w:val="0"/>
          <w:bCs/>
          <w:i/>
          <w:color w:val="000000"/>
          <w:sz w:val="22"/>
        </w:rPr>
        <w:t>L’événement Socrate</w:t>
      </w:r>
      <w:r w:rsidRPr="004B35E6">
        <w:rPr>
          <w:rFonts w:ascii="Cambria" w:hAnsi="Cambria"/>
          <w:b w:val="0"/>
          <w:bCs/>
          <w:color w:val="000000"/>
          <w:sz w:val="22"/>
        </w:rPr>
        <w:t>, Flammarion, 2013</w:t>
      </w:r>
    </w:p>
    <w:p w14:paraId="19446F3B"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Pirenne-Delforge</w:t>
      </w:r>
      <w:r w:rsidRPr="004B35E6">
        <w:rPr>
          <w:rFonts w:ascii="Cambria" w:hAnsi="Cambria"/>
          <w:b w:val="0"/>
          <w:bCs/>
          <w:color w:val="000000"/>
          <w:sz w:val="22"/>
        </w:rPr>
        <w:t xml:space="preserve"> Vinciane, </w:t>
      </w:r>
      <w:r w:rsidRPr="004B35E6">
        <w:rPr>
          <w:rFonts w:ascii="Cambria" w:hAnsi="Cambria"/>
          <w:b w:val="0"/>
          <w:bCs/>
          <w:i/>
          <w:color w:val="000000"/>
          <w:sz w:val="22"/>
        </w:rPr>
        <w:t>Religion, histoire et société dans le monde grec antique</w:t>
      </w:r>
      <w:r w:rsidRPr="004B35E6">
        <w:rPr>
          <w:rFonts w:ascii="Cambria" w:hAnsi="Cambria"/>
          <w:b w:val="0"/>
          <w:bCs/>
          <w:color w:val="000000"/>
          <w:sz w:val="22"/>
        </w:rPr>
        <w:t xml:space="preserve">, cours du Collège de France (depuis 2017-), </w:t>
      </w:r>
      <w:hyperlink r:id="rId15" w:history="1">
        <w:r w:rsidRPr="004B35E6">
          <w:rPr>
            <w:rFonts w:ascii="Cambria" w:hAnsi="Cambria" w:cs="Times New Roman"/>
            <w:b w:val="0"/>
            <w:bCs/>
            <w:color w:val="0000FF"/>
            <w:sz w:val="22"/>
            <w:u w:val="single"/>
          </w:rPr>
          <w:t>podcast à écouter</w:t>
        </w:r>
      </w:hyperlink>
      <w:r w:rsidRPr="004B35E6">
        <w:rPr>
          <w:rFonts w:ascii="Cambria" w:hAnsi="Cambria"/>
          <w:b w:val="0"/>
          <w:bCs/>
          <w:color w:val="000000"/>
          <w:sz w:val="22"/>
        </w:rPr>
        <w:t>.</w:t>
      </w:r>
    </w:p>
    <w:p w14:paraId="716BD776"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Sourvinou-Inwood</w:t>
      </w:r>
      <w:r w:rsidRPr="004B35E6">
        <w:rPr>
          <w:rFonts w:ascii="Cambria" w:hAnsi="Cambria"/>
          <w:b w:val="0"/>
          <w:bCs/>
          <w:color w:val="000000"/>
          <w:sz w:val="22"/>
        </w:rPr>
        <w:t xml:space="preserve"> Ch., « Qu’est-ce que la religion de la </w:t>
      </w:r>
      <w:r w:rsidRPr="004B35E6">
        <w:rPr>
          <w:rFonts w:ascii="Cambria" w:hAnsi="Cambria"/>
          <w:b w:val="0"/>
          <w:bCs/>
          <w:i/>
          <w:color w:val="000000"/>
          <w:sz w:val="22"/>
        </w:rPr>
        <w:t>polis </w:t>
      </w:r>
      <w:r w:rsidRPr="004B35E6">
        <w:rPr>
          <w:rFonts w:ascii="Cambria" w:hAnsi="Cambria"/>
          <w:b w:val="0"/>
          <w:bCs/>
          <w:color w:val="000000"/>
          <w:sz w:val="22"/>
        </w:rPr>
        <w:t xml:space="preserve">? » dans </w:t>
      </w:r>
      <w:r w:rsidRPr="004B35E6">
        <w:rPr>
          <w:rFonts w:ascii="Cambria" w:hAnsi="Cambria"/>
          <w:b w:val="0"/>
          <w:bCs/>
          <w:i/>
          <w:color w:val="000000"/>
          <w:sz w:val="22"/>
        </w:rPr>
        <w:t>La Cité grecque d’Homère à Alexandre</w:t>
      </w:r>
      <w:r w:rsidRPr="004B35E6">
        <w:rPr>
          <w:rFonts w:ascii="Cambria" w:hAnsi="Cambria"/>
          <w:b w:val="0"/>
          <w:bCs/>
          <w:color w:val="000000"/>
          <w:sz w:val="22"/>
        </w:rPr>
        <w:t>, sous dir. de Oswyn Murray et S. Price (1990), Paris 1992 La Découverte.</w:t>
      </w:r>
    </w:p>
    <w:p w14:paraId="5135D070"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Vernant</w:t>
      </w:r>
      <w:r w:rsidRPr="004B35E6">
        <w:rPr>
          <w:rFonts w:ascii="Cambria" w:hAnsi="Cambria"/>
          <w:b w:val="0"/>
          <w:bCs/>
          <w:color w:val="000000"/>
          <w:sz w:val="22"/>
        </w:rPr>
        <w:t xml:space="preserve"> Jean-Pierre, </w:t>
      </w:r>
      <w:r w:rsidRPr="004B35E6">
        <w:rPr>
          <w:rFonts w:ascii="Cambria" w:hAnsi="Cambria"/>
          <w:b w:val="0"/>
          <w:bCs/>
          <w:i/>
          <w:color w:val="000000"/>
          <w:sz w:val="22"/>
        </w:rPr>
        <w:t xml:space="preserve">Mythe et religion, </w:t>
      </w:r>
      <w:r w:rsidRPr="004B35E6">
        <w:rPr>
          <w:rFonts w:ascii="Cambria" w:hAnsi="Cambria"/>
          <w:b w:val="0"/>
          <w:bCs/>
          <w:color w:val="000000"/>
          <w:sz w:val="22"/>
        </w:rPr>
        <w:t>1990</w:t>
      </w:r>
    </w:p>
    <w:p w14:paraId="188A3B39"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Vernant</w:t>
      </w:r>
      <w:r w:rsidRPr="004B35E6">
        <w:rPr>
          <w:rFonts w:ascii="Cambria" w:hAnsi="Cambria"/>
          <w:b w:val="0"/>
          <w:bCs/>
          <w:color w:val="000000"/>
          <w:sz w:val="22"/>
        </w:rPr>
        <w:t xml:space="preserve"> Jean-Pierre, </w:t>
      </w:r>
      <w:r w:rsidRPr="004B35E6">
        <w:rPr>
          <w:rFonts w:ascii="Cambria" w:hAnsi="Cambria"/>
          <w:b w:val="0"/>
          <w:bCs/>
          <w:i/>
          <w:color w:val="000000"/>
          <w:sz w:val="22"/>
        </w:rPr>
        <w:t>L’univers, les dieux, les hommes</w:t>
      </w:r>
      <w:r w:rsidRPr="004B35E6">
        <w:rPr>
          <w:rFonts w:ascii="Cambria" w:hAnsi="Cambria"/>
          <w:b w:val="0"/>
          <w:bCs/>
          <w:color w:val="000000"/>
          <w:sz w:val="22"/>
        </w:rPr>
        <w:t>, Le Seuil 1999</w:t>
      </w:r>
    </w:p>
    <w:p w14:paraId="0A0EA7B7" w14:textId="77777777" w:rsidR="00D63DE1" w:rsidRPr="004B35E6" w:rsidRDefault="00D63DE1" w:rsidP="00D63DE1">
      <w:pPr>
        <w:jc w:val="both"/>
        <w:rPr>
          <w:rFonts w:ascii="Cambria" w:hAnsi="Cambria"/>
          <w:b w:val="0"/>
          <w:bCs/>
          <w:color w:val="000000"/>
          <w:sz w:val="22"/>
        </w:rPr>
      </w:pPr>
    </w:p>
    <w:p w14:paraId="4C6F2C71" w14:textId="66A41737" w:rsidR="00D63DE1" w:rsidRPr="004B35E6" w:rsidRDefault="00D63DE1" w:rsidP="00D63DE1">
      <w:pPr>
        <w:spacing w:line="276" w:lineRule="auto"/>
        <w:rPr>
          <w:rFonts w:ascii="Cambria" w:eastAsia="MS Mincho" w:hAnsi="Cambria" w:cs="Times New Roman"/>
          <w:color w:val="C00000"/>
          <w:sz w:val="22"/>
          <w:lang w:bidi="hi-IN"/>
        </w:rPr>
      </w:pPr>
      <w:r w:rsidRPr="004B35E6">
        <w:rPr>
          <w:rFonts w:ascii="Cambria" w:eastAsia="Songti SC" w:hAnsi="Cambria" w:cs="Times New Roman"/>
          <w:color w:val="C00000"/>
          <w:sz w:val="22"/>
          <w:u w:val="single"/>
          <w:lang w:eastAsia="zh-CN" w:bidi="hi-IN"/>
        </w:rPr>
        <w:t xml:space="preserve">Sujet du cours S2 </w:t>
      </w:r>
      <w:r w:rsidRPr="004B35E6">
        <w:rPr>
          <w:rFonts w:ascii="Cambria" w:eastAsia="Songti SC" w:hAnsi="Cambria" w:cs="Times New Roman"/>
          <w:color w:val="C00000"/>
          <w:sz w:val="22"/>
          <w:lang w:eastAsia="zh-CN" w:bidi="hi-IN"/>
        </w:rPr>
        <w:t xml:space="preserve">: </w:t>
      </w:r>
      <w:r w:rsidRPr="004B35E6">
        <w:rPr>
          <w:rFonts w:ascii="Cambria" w:eastAsia="MS Mincho" w:hAnsi="Cambria" w:cs="Times New Roman"/>
          <w:color w:val="C00000"/>
          <w:sz w:val="22"/>
          <w:lang w:bidi="hi-IN"/>
        </w:rPr>
        <w:t>Femmes et société dans les cités grecques. Dynamiques du genre</w:t>
      </w:r>
    </w:p>
    <w:p w14:paraId="5B48D48C" w14:textId="77777777" w:rsidR="00D63DE1" w:rsidRPr="004B35E6" w:rsidRDefault="00D63DE1" w:rsidP="00D63DE1">
      <w:pPr>
        <w:jc w:val="both"/>
        <w:rPr>
          <w:rFonts w:ascii="Cambria" w:hAnsi="Cambria"/>
          <w:b w:val="0"/>
          <w:bCs/>
          <w:color w:val="000000"/>
          <w:sz w:val="22"/>
        </w:rPr>
      </w:pPr>
      <w:r w:rsidRPr="004B35E6">
        <w:rPr>
          <w:rFonts w:ascii="Cambria" w:hAnsi="Cambria"/>
          <w:b w:val="0"/>
          <w:bCs/>
          <w:color w:val="000000"/>
          <w:sz w:val="22"/>
        </w:rPr>
        <w:t xml:space="preserve">Dans l’Antiquité grecque, l’opposition homme/femme qui structure la pensée occidentale contemporaine se révèle inadéquate pour rendre compte de la configuration antique du genre. L’Antiquité grecque dispose d’un lexique varié pour désigner les femmes, le choix d’un terme plutôt qu’un autre dépendant de l’âge de l’individu désigné ou de son statut conjugal et social. Lorsqu’il s’agit de désigner des femmes en fonction de leur action ou de leur fonction, d’autres termes peuvent être utilisés. Parmi ces termes, certains ne marquent pas la différence masculin/féminin, ainsi les </w:t>
      </w:r>
      <w:r w:rsidRPr="004B35E6">
        <w:rPr>
          <w:rFonts w:ascii="Cambria" w:hAnsi="Cambria"/>
          <w:b w:val="0"/>
          <w:bCs/>
          <w:i/>
          <w:color w:val="000000"/>
          <w:sz w:val="22"/>
        </w:rPr>
        <w:t xml:space="preserve">talasiourgoi </w:t>
      </w:r>
      <w:r w:rsidRPr="004B35E6">
        <w:rPr>
          <w:rFonts w:ascii="Cambria" w:hAnsi="Cambria"/>
          <w:b w:val="0"/>
          <w:bCs/>
          <w:color w:val="000000"/>
          <w:sz w:val="22"/>
        </w:rPr>
        <w:t xml:space="preserve">ou travailleurs/ses de la laine. Beaucoup d’autres incluent des femmes de manière implicite en raison de la règle grammaticale de la domination du masculin sur le féminin : ainsi les </w:t>
      </w:r>
      <w:r w:rsidRPr="004B35E6">
        <w:rPr>
          <w:rFonts w:ascii="Cambria" w:hAnsi="Cambria"/>
          <w:b w:val="0"/>
          <w:bCs/>
          <w:i/>
          <w:color w:val="000000"/>
          <w:sz w:val="22"/>
        </w:rPr>
        <w:t>politai</w:t>
      </w:r>
      <w:r w:rsidRPr="004B35E6">
        <w:rPr>
          <w:rFonts w:ascii="Cambria" w:hAnsi="Cambria"/>
          <w:b w:val="0"/>
          <w:bCs/>
          <w:color w:val="000000"/>
          <w:sz w:val="22"/>
        </w:rPr>
        <w:t xml:space="preserve"> (citoyens) englobent parfois les </w:t>
      </w:r>
      <w:r w:rsidRPr="004B35E6">
        <w:rPr>
          <w:rFonts w:ascii="Cambria" w:hAnsi="Cambria"/>
          <w:b w:val="0"/>
          <w:bCs/>
          <w:i/>
          <w:color w:val="000000"/>
          <w:sz w:val="22"/>
        </w:rPr>
        <w:t>politides</w:t>
      </w:r>
      <w:r w:rsidRPr="004B35E6">
        <w:rPr>
          <w:rFonts w:ascii="Cambria" w:hAnsi="Cambria"/>
          <w:b w:val="0"/>
          <w:bCs/>
          <w:color w:val="000000"/>
          <w:sz w:val="22"/>
        </w:rPr>
        <w:t xml:space="preserve"> (citoyennes) comme les </w:t>
      </w:r>
      <w:r w:rsidRPr="004B35E6">
        <w:rPr>
          <w:rFonts w:ascii="Cambria" w:hAnsi="Cambria"/>
          <w:b w:val="0"/>
          <w:bCs/>
          <w:i/>
          <w:color w:val="000000"/>
          <w:sz w:val="22"/>
        </w:rPr>
        <w:t>Athênaioi</w:t>
      </w:r>
      <w:r w:rsidRPr="004B35E6">
        <w:rPr>
          <w:rFonts w:ascii="Cambria" w:hAnsi="Cambria"/>
          <w:b w:val="0"/>
          <w:bCs/>
          <w:color w:val="000000"/>
          <w:sz w:val="22"/>
        </w:rPr>
        <w:t xml:space="preserve"> (Athéniens) peuvent inclure les </w:t>
      </w:r>
      <w:r w:rsidRPr="004B35E6">
        <w:rPr>
          <w:rFonts w:ascii="Cambria" w:hAnsi="Cambria"/>
          <w:b w:val="0"/>
          <w:bCs/>
          <w:i/>
          <w:color w:val="000000"/>
          <w:sz w:val="22"/>
        </w:rPr>
        <w:t>Athênaiai</w:t>
      </w:r>
      <w:r w:rsidRPr="004B35E6">
        <w:rPr>
          <w:rFonts w:ascii="Cambria" w:hAnsi="Cambria"/>
          <w:b w:val="0"/>
          <w:bCs/>
          <w:color w:val="000000"/>
          <w:sz w:val="22"/>
        </w:rPr>
        <w:t xml:space="preserve"> (Athéniennes). Ce riche lexique ne s’applique qu’aux individus libres. Les esclaves, elles, sont souvent incluses dans la catégorie des esclaves achetés (</w:t>
      </w:r>
      <w:r w:rsidRPr="004B35E6">
        <w:rPr>
          <w:rFonts w:ascii="Cambria" w:hAnsi="Cambria"/>
          <w:b w:val="0"/>
          <w:bCs/>
          <w:i/>
          <w:color w:val="000000"/>
          <w:sz w:val="22"/>
        </w:rPr>
        <w:t>douloi</w:t>
      </w:r>
      <w:r w:rsidRPr="004B35E6">
        <w:rPr>
          <w:rFonts w:ascii="Cambria" w:hAnsi="Cambria"/>
          <w:b w:val="0"/>
          <w:bCs/>
          <w:color w:val="000000"/>
          <w:sz w:val="22"/>
        </w:rPr>
        <w:t>) ou des serviteurs de la maison (</w:t>
      </w:r>
      <w:r w:rsidRPr="004B35E6">
        <w:rPr>
          <w:rFonts w:ascii="Cambria" w:hAnsi="Cambria"/>
          <w:b w:val="0"/>
          <w:bCs/>
          <w:i/>
          <w:color w:val="000000"/>
          <w:sz w:val="22"/>
        </w:rPr>
        <w:t>oikêtai</w:t>
      </w:r>
      <w:r w:rsidRPr="004B35E6">
        <w:rPr>
          <w:rFonts w:ascii="Cambria" w:hAnsi="Cambria"/>
          <w:b w:val="0"/>
          <w:bCs/>
          <w:color w:val="000000"/>
          <w:sz w:val="22"/>
        </w:rPr>
        <w:t xml:space="preserve">), deux termes de genre grammatical masculin, voire dans celle - de genre neutre - des </w:t>
      </w:r>
      <w:r w:rsidRPr="004B35E6">
        <w:rPr>
          <w:rFonts w:ascii="Cambria" w:hAnsi="Cambria"/>
          <w:b w:val="0"/>
          <w:bCs/>
          <w:i/>
          <w:color w:val="000000"/>
          <w:sz w:val="22"/>
        </w:rPr>
        <w:t xml:space="preserve">andrapoda. </w:t>
      </w:r>
      <w:r w:rsidRPr="004B35E6">
        <w:rPr>
          <w:rFonts w:ascii="Cambria" w:hAnsi="Cambria"/>
          <w:b w:val="0"/>
          <w:bCs/>
          <w:color w:val="000000"/>
          <w:sz w:val="22"/>
        </w:rPr>
        <w:t>Les femmes ne sont donc envisagées ni comme un ensemble homogène ni comme un ensemble qui s’opposerait à un autre. Faire une histoire des femmes impose de comparer femmes et hommes dans les mêmes fonctions, c’est la perspective d’une histoire « mixte ».</w:t>
      </w:r>
    </w:p>
    <w:p w14:paraId="140EDC26" w14:textId="77777777" w:rsidR="00D63DE1" w:rsidRPr="004B35E6" w:rsidRDefault="00D63DE1" w:rsidP="00D63DE1">
      <w:pPr>
        <w:jc w:val="both"/>
        <w:rPr>
          <w:rFonts w:ascii="Cambria" w:hAnsi="Cambria"/>
          <w:b w:val="0"/>
          <w:bCs/>
          <w:color w:val="000000"/>
          <w:sz w:val="22"/>
        </w:rPr>
      </w:pPr>
      <w:r w:rsidRPr="004B35E6">
        <w:rPr>
          <w:rFonts w:ascii="Cambria" w:hAnsi="Cambria"/>
          <w:b w:val="0"/>
          <w:bCs/>
          <w:color w:val="000000"/>
          <w:sz w:val="22"/>
        </w:rPr>
        <w:t>Le cours de ce semestre s’attachera à faire le bilan des connaissances produites en histoire des femmes et du genre dans l’Antiquité grecque, en confrontant les stéréotypes (antiques et modernes) souvent dominants et les nouvelles connaissances issues de l’archéologie, de l’épigraphie, de la papyrologie et d’une analyse critique des sources littéraires.</w:t>
      </w:r>
    </w:p>
    <w:p w14:paraId="057A3226" w14:textId="77777777" w:rsidR="00D63DE1" w:rsidRPr="004B35E6" w:rsidRDefault="00D63DE1" w:rsidP="00D63DE1">
      <w:pPr>
        <w:jc w:val="both"/>
        <w:rPr>
          <w:rFonts w:ascii="Cambria" w:hAnsi="Cambria"/>
          <w:b w:val="0"/>
          <w:bCs/>
          <w:color w:val="000000"/>
          <w:sz w:val="22"/>
        </w:rPr>
      </w:pPr>
    </w:p>
    <w:p w14:paraId="08ACDF64" w14:textId="77777777" w:rsidR="00D63DE1" w:rsidRPr="004B35E6" w:rsidRDefault="00D63DE1" w:rsidP="00D63DE1">
      <w:pPr>
        <w:jc w:val="both"/>
        <w:rPr>
          <w:rFonts w:ascii="Cambria" w:hAnsi="Cambria"/>
          <w:bCs/>
          <w:color w:val="000000"/>
          <w:sz w:val="22"/>
        </w:rPr>
      </w:pPr>
      <w:r w:rsidRPr="004B35E6">
        <w:rPr>
          <w:rFonts w:ascii="Cambria" w:hAnsi="Cambria"/>
          <w:color w:val="000000"/>
          <w:sz w:val="22"/>
        </w:rPr>
        <w:t>Eléments de bibliographie</w:t>
      </w:r>
      <w:r w:rsidRPr="004B35E6">
        <w:rPr>
          <w:rFonts w:ascii="Cambria" w:hAnsi="Cambria"/>
          <w:b w:val="0"/>
          <w:bCs/>
          <w:color w:val="000000"/>
          <w:sz w:val="22"/>
        </w:rPr>
        <w:t> :</w:t>
      </w:r>
    </w:p>
    <w:p w14:paraId="6B02B86C" w14:textId="77777777"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Boehringer</w:t>
      </w:r>
      <w:r w:rsidRPr="004B35E6">
        <w:rPr>
          <w:rFonts w:ascii="Cambria" w:hAnsi="Cambria"/>
          <w:b w:val="0"/>
          <w:bCs/>
          <w:color w:val="000000"/>
          <w:sz w:val="22"/>
        </w:rPr>
        <w:t xml:space="preserve"> S. et </w:t>
      </w:r>
      <w:r w:rsidRPr="004B35E6">
        <w:rPr>
          <w:rFonts w:ascii="Cambria" w:hAnsi="Cambria"/>
          <w:b w:val="0"/>
          <w:bCs/>
          <w:smallCaps/>
          <w:color w:val="000000"/>
          <w:sz w:val="22"/>
        </w:rPr>
        <w:t>Sebillotte Cuchet</w:t>
      </w:r>
      <w:r w:rsidRPr="004B35E6">
        <w:rPr>
          <w:rFonts w:ascii="Cambria" w:hAnsi="Cambria"/>
          <w:b w:val="0"/>
          <w:bCs/>
          <w:color w:val="000000"/>
          <w:sz w:val="22"/>
        </w:rPr>
        <w:t xml:space="preserve"> V. (éd.), </w:t>
      </w:r>
      <w:r w:rsidRPr="004B35E6">
        <w:rPr>
          <w:rFonts w:ascii="Cambria" w:hAnsi="Cambria"/>
          <w:b w:val="0"/>
          <w:bCs/>
          <w:i/>
          <w:iCs/>
          <w:color w:val="000000"/>
          <w:sz w:val="22"/>
        </w:rPr>
        <w:t>Hommes et femmes dans l’Antiquité grecque et romaine. Le genre : méthode et documents</w:t>
      </w:r>
      <w:r w:rsidRPr="004B35E6">
        <w:rPr>
          <w:rFonts w:ascii="Cambria" w:hAnsi="Cambria"/>
          <w:b w:val="0"/>
          <w:bCs/>
          <w:color w:val="000000"/>
          <w:sz w:val="22"/>
        </w:rPr>
        <w:t>, A. Colin, [2011] 2024.</w:t>
      </w:r>
    </w:p>
    <w:p w14:paraId="2780DDC9" w14:textId="77777777" w:rsidR="00181168" w:rsidRDefault="00181168" w:rsidP="00D63DE1">
      <w:pPr>
        <w:jc w:val="both"/>
        <w:rPr>
          <w:rFonts w:ascii="Cambria" w:hAnsi="Cambria"/>
          <w:b w:val="0"/>
          <w:bCs/>
          <w:smallCaps/>
          <w:color w:val="000000"/>
          <w:sz w:val="22"/>
        </w:rPr>
      </w:pPr>
    </w:p>
    <w:p w14:paraId="63B9F48F" w14:textId="77777777" w:rsidR="00181168" w:rsidRDefault="00181168" w:rsidP="00D63DE1">
      <w:pPr>
        <w:jc w:val="both"/>
        <w:rPr>
          <w:rFonts w:ascii="Cambria" w:hAnsi="Cambria"/>
          <w:b w:val="0"/>
          <w:bCs/>
          <w:smallCaps/>
          <w:color w:val="000000"/>
          <w:sz w:val="22"/>
        </w:rPr>
      </w:pPr>
    </w:p>
    <w:p w14:paraId="32B18F00" w14:textId="77777777" w:rsidR="00181168" w:rsidRDefault="00181168" w:rsidP="00D63DE1">
      <w:pPr>
        <w:jc w:val="both"/>
        <w:rPr>
          <w:rFonts w:ascii="Cambria" w:hAnsi="Cambria"/>
          <w:b w:val="0"/>
          <w:bCs/>
          <w:smallCaps/>
          <w:color w:val="000000"/>
          <w:sz w:val="22"/>
        </w:rPr>
      </w:pPr>
    </w:p>
    <w:p w14:paraId="6269F0CE" w14:textId="6FE8026A"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Bielman</w:t>
      </w:r>
      <w:r w:rsidRPr="004B35E6">
        <w:rPr>
          <w:rFonts w:ascii="Cambria" w:hAnsi="Cambria"/>
          <w:b w:val="0"/>
          <w:bCs/>
          <w:color w:val="000000"/>
          <w:sz w:val="22"/>
        </w:rPr>
        <w:t> A., </w:t>
      </w:r>
      <w:r w:rsidRPr="004B35E6">
        <w:rPr>
          <w:rFonts w:ascii="Cambria" w:hAnsi="Cambria"/>
          <w:b w:val="0"/>
          <w:bCs/>
          <w:i/>
          <w:iCs/>
          <w:color w:val="000000"/>
          <w:sz w:val="22"/>
        </w:rPr>
        <w:t>Femmes en public dans le monde hellénistique : IVe-Ier s. av. J.-C</w:t>
      </w:r>
      <w:r w:rsidRPr="004B35E6">
        <w:rPr>
          <w:rFonts w:ascii="Cambria" w:hAnsi="Cambria"/>
          <w:b w:val="0"/>
          <w:bCs/>
          <w:color w:val="000000"/>
          <w:sz w:val="22"/>
        </w:rPr>
        <w:t>., Paris, SEDES, 2002.</w:t>
      </w:r>
    </w:p>
    <w:p w14:paraId="15480C7E" w14:textId="77777777" w:rsidR="00D63DE1" w:rsidRPr="004B35E6" w:rsidRDefault="00D63DE1" w:rsidP="00D63DE1">
      <w:pPr>
        <w:jc w:val="both"/>
        <w:rPr>
          <w:rFonts w:ascii="Cambria Math" w:hAnsi="Cambria Math"/>
          <w:b w:val="0"/>
          <w:bCs/>
          <w:color w:val="000000"/>
          <w:sz w:val="22"/>
        </w:rPr>
      </w:pPr>
      <w:r w:rsidRPr="004B35E6">
        <w:rPr>
          <w:rFonts w:ascii="Cambria" w:hAnsi="Cambria"/>
          <w:b w:val="0"/>
          <w:bCs/>
          <w:smallCaps/>
          <w:color w:val="000000"/>
          <w:sz w:val="22"/>
        </w:rPr>
        <w:t>Loraux</w:t>
      </w:r>
      <w:r w:rsidRPr="004B35E6">
        <w:rPr>
          <w:rFonts w:ascii="Cambria" w:hAnsi="Cambria"/>
          <w:b w:val="0"/>
          <w:bCs/>
          <w:color w:val="000000"/>
          <w:sz w:val="22"/>
        </w:rPr>
        <w:t xml:space="preserve"> N., </w:t>
      </w:r>
      <w:r w:rsidRPr="004B35E6">
        <w:rPr>
          <w:rFonts w:ascii="Cambria Math" w:hAnsi="Cambria Math"/>
          <w:b w:val="0"/>
          <w:bCs/>
          <w:color w:val="000000"/>
          <w:sz w:val="22"/>
        </w:rPr>
        <w:t>1981, </w:t>
      </w:r>
      <w:r w:rsidRPr="004B35E6">
        <w:rPr>
          <w:rFonts w:ascii="Cambria Math" w:hAnsi="Cambria Math"/>
          <w:b w:val="0"/>
          <w:bCs/>
          <w:i/>
          <w:iCs/>
          <w:color w:val="000000"/>
          <w:sz w:val="22"/>
        </w:rPr>
        <w:t>Les Enfants d’Athéna. Idées athéniennes sur la citoyenneté et la division des sexes</w:t>
      </w:r>
      <w:r w:rsidRPr="004B35E6">
        <w:rPr>
          <w:rFonts w:ascii="Cambria Math" w:hAnsi="Cambria Math"/>
          <w:b w:val="0"/>
          <w:bCs/>
          <w:color w:val="000000"/>
          <w:sz w:val="22"/>
        </w:rPr>
        <w:t>, Paris.</w:t>
      </w:r>
    </w:p>
    <w:p w14:paraId="081408B5" w14:textId="77777777" w:rsidR="00D63DE1" w:rsidRPr="004B35E6" w:rsidRDefault="00D63DE1" w:rsidP="00D63DE1">
      <w:pPr>
        <w:jc w:val="both"/>
        <w:rPr>
          <w:rFonts w:ascii="Cambria Math" w:hAnsi="Cambria Math"/>
          <w:b w:val="0"/>
          <w:bCs/>
          <w:color w:val="000000"/>
          <w:sz w:val="22"/>
        </w:rPr>
      </w:pPr>
      <w:r w:rsidRPr="004B35E6">
        <w:rPr>
          <w:rFonts w:ascii="Cambria" w:hAnsi="Cambria"/>
          <w:b w:val="0"/>
          <w:bCs/>
          <w:smallCaps/>
          <w:color w:val="000000"/>
          <w:sz w:val="22"/>
        </w:rPr>
        <w:t>Schmitt</w:t>
      </w:r>
      <w:r w:rsidRPr="004B35E6">
        <w:rPr>
          <w:rFonts w:ascii="Cambria" w:hAnsi="Cambria"/>
          <w:b w:val="0"/>
          <w:bCs/>
          <w:color w:val="000000"/>
          <w:sz w:val="22"/>
        </w:rPr>
        <w:t>-</w:t>
      </w:r>
      <w:r w:rsidRPr="004B35E6">
        <w:rPr>
          <w:rFonts w:ascii="Cambria" w:hAnsi="Cambria"/>
          <w:b w:val="0"/>
          <w:bCs/>
          <w:smallCaps/>
          <w:color w:val="000000"/>
          <w:sz w:val="22"/>
        </w:rPr>
        <w:t>Pantel</w:t>
      </w:r>
      <w:r w:rsidRPr="004B35E6">
        <w:rPr>
          <w:rFonts w:ascii="Cambria" w:hAnsi="Cambria"/>
          <w:b w:val="0"/>
          <w:bCs/>
          <w:color w:val="000000"/>
          <w:sz w:val="22"/>
        </w:rPr>
        <w:t xml:space="preserve"> P. </w:t>
      </w:r>
      <w:r w:rsidRPr="004B35E6">
        <w:rPr>
          <w:rFonts w:ascii="Cambria Math" w:hAnsi="Cambria Math"/>
          <w:b w:val="0"/>
          <w:bCs/>
          <w:color w:val="000000"/>
          <w:sz w:val="22"/>
        </w:rPr>
        <w:t>(dir.), </w:t>
      </w:r>
      <w:r w:rsidRPr="004B35E6">
        <w:rPr>
          <w:rFonts w:ascii="Cambria Math" w:hAnsi="Cambria Math"/>
          <w:b w:val="0"/>
          <w:bCs/>
          <w:i/>
          <w:iCs/>
          <w:color w:val="000000"/>
          <w:sz w:val="22"/>
        </w:rPr>
        <w:t>Histoire des femmes en occident</w:t>
      </w:r>
      <w:r w:rsidRPr="004B35E6">
        <w:rPr>
          <w:rFonts w:ascii="Cambria Math" w:hAnsi="Cambria Math"/>
          <w:b w:val="0"/>
          <w:bCs/>
          <w:color w:val="000000"/>
          <w:sz w:val="22"/>
        </w:rPr>
        <w:t> (Duby, G. et M. Perrot, ed.), I. </w:t>
      </w:r>
      <w:r w:rsidRPr="004B35E6">
        <w:rPr>
          <w:rFonts w:ascii="Cambria Math" w:hAnsi="Cambria Math"/>
          <w:b w:val="0"/>
          <w:bCs/>
          <w:i/>
          <w:iCs/>
          <w:color w:val="000000"/>
          <w:sz w:val="22"/>
        </w:rPr>
        <w:t>L’Antiquité</w:t>
      </w:r>
      <w:r w:rsidRPr="004B35E6">
        <w:rPr>
          <w:rFonts w:ascii="Cambria Math" w:hAnsi="Cambria Math"/>
          <w:b w:val="0"/>
          <w:bCs/>
          <w:color w:val="000000"/>
          <w:sz w:val="22"/>
        </w:rPr>
        <w:t>, Perrin [1990], coll. Tempus, 2002.</w:t>
      </w:r>
    </w:p>
    <w:p w14:paraId="039EAD72" w14:textId="77777777"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Schmitt Pantel</w:t>
      </w:r>
      <w:r w:rsidRPr="004B35E6">
        <w:rPr>
          <w:rFonts w:ascii="Cambria Math" w:hAnsi="Cambria Math"/>
          <w:b w:val="0"/>
          <w:bCs/>
          <w:color w:val="000000"/>
          <w:sz w:val="22"/>
        </w:rPr>
        <w:t>, P.,  Aithra</w:t>
      </w:r>
      <w:r w:rsidRPr="004B35E6">
        <w:rPr>
          <w:rFonts w:ascii="Cambria Math" w:hAnsi="Cambria Math"/>
          <w:b w:val="0"/>
          <w:bCs/>
          <w:i/>
          <w:iCs/>
          <w:color w:val="000000"/>
          <w:sz w:val="22"/>
        </w:rPr>
        <w:t> et </w:t>
      </w:r>
      <w:r w:rsidRPr="004B35E6">
        <w:rPr>
          <w:rFonts w:ascii="Cambria Math" w:hAnsi="Cambria Math"/>
          <w:b w:val="0"/>
          <w:bCs/>
          <w:color w:val="000000"/>
          <w:sz w:val="22"/>
        </w:rPr>
        <w:t>Pandora</w:t>
      </w:r>
      <w:r w:rsidRPr="004B35E6">
        <w:rPr>
          <w:rFonts w:ascii="Cambria Math" w:hAnsi="Cambria Math"/>
          <w:b w:val="0"/>
          <w:bCs/>
          <w:i/>
          <w:iCs/>
          <w:color w:val="000000"/>
          <w:sz w:val="22"/>
        </w:rPr>
        <w:t>. Femmes, Genre et Cité dans la Grèce antique</w:t>
      </w:r>
      <w:r w:rsidRPr="004B35E6">
        <w:rPr>
          <w:rFonts w:ascii="Cambria Math" w:hAnsi="Cambria Math"/>
          <w:b w:val="0"/>
          <w:bCs/>
          <w:color w:val="000000"/>
          <w:sz w:val="22"/>
        </w:rPr>
        <w:t>, Paris, L’Harmattan, 2009.</w:t>
      </w:r>
    </w:p>
    <w:p w14:paraId="7970AFE6" w14:textId="77777777" w:rsidR="00D63DE1" w:rsidRPr="004B35E6" w:rsidRDefault="00D63DE1" w:rsidP="00D63DE1">
      <w:pPr>
        <w:jc w:val="both"/>
        <w:rPr>
          <w:rFonts w:ascii="Cambria" w:hAnsi="Cambria" w:cs="Times New Roman"/>
          <w:b w:val="0"/>
          <w:bCs/>
          <w:color w:val="000000"/>
          <w:sz w:val="22"/>
        </w:rPr>
      </w:pPr>
      <w:r w:rsidRPr="004B35E6">
        <w:rPr>
          <w:rFonts w:ascii="Cambria" w:hAnsi="Cambria"/>
          <w:b w:val="0"/>
          <w:bCs/>
          <w:smallCaps/>
          <w:color w:val="000000"/>
          <w:sz w:val="22"/>
        </w:rPr>
        <w:t>Frei-Stolba</w:t>
      </w:r>
      <w:r w:rsidRPr="004B35E6">
        <w:rPr>
          <w:rFonts w:ascii="Cambria" w:hAnsi="Cambria"/>
          <w:b w:val="0"/>
          <w:bCs/>
          <w:color w:val="000000"/>
          <w:sz w:val="22"/>
        </w:rPr>
        <w:t xml:space="preserve"> R., </w:t>
      </w:r>
      <w:r w:rsidRPr="004B35E6">
        <w:rPr>
          <w:rFonts w:ascii="Cambria" w:hAnsi="Cambria"/>
          <w:b w:val="0"/>
          <w:bCs/>
          <w:smallCaps/>
          <w:color w:val="000000"/>
          <w:sz w:val="22"/>
        </w:rPr>
        <w:t>Bielman</w:t>
      </w:r>
      <w:r w:rsidRPr="004B35E6">
        <w:rPr>
          <w:rFonts w:ascii="Cambria" w:hAnsi="Cambria"/>
          <w:b w:val="0"/>
          <w:bCs/>
          <w:color w:val="000000"/>
          <w:sz w:val="22"/>
        </w:rPr>
        <w:t xml:space="preserve"> A., </w:t>
      </w:r>
      <w:r w:rsidRPr="004B35E6">
        <w:rPr>
          <w:rFonts w:ascii="Cambria" w:hAnsi="Cambria"/>
          <w:b w:val="0"/>
          <w:bCs/>
          <w:smallCaps/>
          <w:color w:val="000000"/>
          <w:sz w:val="22"/>
        </w:rPr>
        <w:t>Bianchi</w:t>
      </w:r>
      <w:r w:rsidRPr="004B35E6">
        <w:rPr>
          <w:rFonts w:ascii="Cambria" w:hAnsi="Cambria"/>
          <w:b w:val="0"/>
          <w:bCs/>
          <w:color w:val="000000"/>
          <w:sz w:val="22"/>
        </w:rPr>
        <w:t xml:space="preserve"> O. (éds.), </w:t>
      </w:r>
      <w:r w:rsidRPr="004B35E6">
        <w:rPr>
          <w:rFonts w:ascii="Cambria" w:hAnsi="Cambria"/>
          <w:b w:val="0"/>
          <w:bCs/>
          <w:i/>
          <w:iCs/>
          <w:color w:val="000000"/>
          <w:sz w:val="22"/>
        </w:rPr>
        <w:t>Les femmes antiques entre sphère privée et sphère publique</w:t>
      </w:r>
      <w:r w:rsidRPr="004B35E6">
        <w:rPr>
          <w:rFonts w:ascii="Cambria" w:hAnsi="Cambria"/>
          <w:b w:val="0"/>
          <w:bCs/>
          <w:color w:val="000000"/>
          <w:sz w:val="22"/>
        </w:rPr>
        <w:t>. Actes du Diplôme d’Études Avancées. Universités de Lausanne et Neuchâtel, 2000-2002, Berne, Peter Lang, 2012.</w:t>
      </w:r>
    </w:p>
    <w:p w14:paraId="73190150" w14:textId="77777777" w:rsidR="00D63DE1" w:rsidRPr="00D63DE1" w:rsidRDefault="00D63DE1" w:rsidP="00D63DE1">
      <w:pPr>
        <w:jc w:val="both"/>
        <w:rPr>
          <w:rFonts w:ascii="Cambria" w:hAnsi="Cambria"/>
          <w:bCs/>
          <w:color w:val="000000"/>
          <w:sz w:val="22"/>
        </w:rPr>
      </w:pPr>
      <w:r w:rsidRPr="004B35E6">
        <w:rPr>
          <w:rFonts w:ascii="Cambria" w:hAnsi="Cambria"/>
          <w:b w:val="0"/>
          <w:bCs/>
          <w:smallCaps/>
          <w:color w:val="000000"/>
          <w:sz w:val="22"/>
        </w:rPr>
        <w:t xml:space="preserve">Sebillotte Cuchet, V., </w:t>
      </w:r>
      <w:r w:rsidRPr="004B35E6">
        <w:rPr>
          <w:rFonts w:ascii="Cambria" w:hAnsi="Cambria"/>
          <w:b w:val="0"/>
          <w:bCs/>
          <w:i/>
          <w:color w:val="000000"/>
          <w:sz w:val="22"/>
        </w:rPr>
        <w:t>Artémise, une femme capitaine de vaisseaux dans l’Antiquité grecque</w:t>
      </w:r>
      <w:r w:rsidRPr="004B35E6">
        <w:rPr>
          <w:rFonts w:ascii="Cambria" w:hAnsi="Cambria"/>
          <w:b w:val="0"/>
          <w:bCs/>
          <w:color w:val="000000"/>
          <w:sz w:val="22"/>
        </w:rPr>
        <w:t>, Paris, Fayard, 2022.</w:t>
      </w:r>
    </w:p>
    <w:p w14:paraId="21545685" w14:textId="77777777" w:rsidR="00D63DE1" w:rsidRPr="00D63DE1" w:rsidRDefault="00D63DE1" w:rsidP="00D63DE1">
      <w:pPr>
        <w:jc w:val="both"/>
        <w:rPr>
          <w:rFonts w:ascii="Cambria" w:hAnsi="Cambria"/>
          <w:b w:val="0"/>
          <w:bCs/>
          <w:color w:val="000000"/>
          <w:sz w:val="22"/>
        </w:rPr>
      </w:pPr>
    </w:p>
    <w:p w14:paraId="3B87FAEB" w14:textId="77777777" w:rsidR="00D63DE1" w:rsidRPr="00D63DE1" w:rsidRDefault="00D63DE1" w:rsidP="00D63DE1">
      <w:pPr>
        <w:jc w:val="both"/>
        <w:rPr>
          <w:rFonts w:ascii="Cambria" w:hAnsi="Cambria"/>
          <w:b w:val="0"/>
          <w:bCs/>
          <w:color w:val="000000"/>
          <w:sz w:val="22"/>
          <w:lang w:eastAsia="en-US"/>
        </w:rPr>
      </w:pPr>
    </w:p>
    <w:p w14:paraId="6AB1D19A" w14:textId="77777777" w:rsidR="00D63DE1" w:rsidRPr="00D63DE1" w:rsidRDefault="00D63DE1" w:rsidP="00D63DE1">
      <w:pPr>
        <w:jc w:val="both"/>
        <w:rPr>
          <w:rFonts w:ascii="Cambria" w:hAnsi="Cambria"/>
          <w:b w:val="0"/>
          <w:bCs/>
          <w:color w:val="000000"/>
          <w:sz w:val="22"/>
          <w:lang w:eastAsia="en-US"/>
        </w:rPr>
      </w:pPr>
    </w:p>
    <w:p w14:paraId="42C2DEAE" w14:textId="77777777" w:rsidR="00D63DE1" w:rsidRPr="00D63DE1" w:rsidRDefault="00D63DE1" w:rsidP="00D63DE1">
      <w:pPr>
        <w:jc w:val="both"/>
        <w:rPr>
          <w:rFonts w:ascii="Cambria" w:hAnsi="Cambria"/>
          <w:b w:val="0"/>
          <w:bCs/>
          <w:color w:val="000000"/>
          <w:sz w:val="22"/>
          <w:lang w:eastAsia="en-US"/>
        </w:rPr>
      </w:pPr>
    </w:p>
    <w:p w14:paraId="48E59BF7" w14:textId="77777777" w:rsidR="00D63DE1" w:rsidRPr="00D63DE1" w:rsidRDefault="00D63DE1" w:rsidP="00D63DE1">
      <w:pPr>
        <w:jc w:val="both"/>
        <w:rPr>
          <w:rFonts w:ascii="Cambria" w:hAnsi="Cambria"/>
          <w:b w:val="0"/>
          <w:bCs/>
          <w:color w:val="000000"/>
          <w:sz w:val="22"/>
          <w:lang w:eastAsia="en-US"/>
        </w:rPr>
      </w:pPr>
    </w:p>
    <w:p w14:paraId="2B9D3C02" w14:textId="77777777" w:rsidR="00D63DE1" w:rsidRPr="00D63DE1" w:rsidRDefault="00D63DE1" w:rsidP="00D63DE1">
      <w:pPr>
        <w:jc w:val="both"/>
        <w:rPr>
          <w:rFonts w:ascii="Cambria" w:hAnsi="Cambria"/>
          <w:b w:val="0"/>
          <w:bCs/>
          <w:color w:val="000000"/>
          <w:sz w:val="22"/>
          <w:lang w:eastAsia="en-US"/>
        </w:rPr>
      </w:pPr>
    </w:p>
    <w:p w14:paraId="4A13D412" w14:textId="77777777" w:rsidR="00D63DE1" w:rsidRPr="00D63DE1" w:rsidRDefault="00D63DE1" w:rsidP="00D63DE1">
      <w:pPr>
        <w:jc w:val="both"/>
        <w:rPr>
          <w:rFonts w:ascii="Cambria" w:hAnsi="Cambria"/>
          <w:b w:val="0"/>
          <w:bCs/>
          <w:color w:val="000000"/>
          <w:sz w:val="22"/>
          <w:lang w:eastAsia="en-US"/>
        </w:rPr>
      </w:pPr>
    </w:p>
    <w:p w14:paraId="75BB8AFB" w14:textId="77777777" w:rsidR="00D63DE1" w:rsidRPr="00D63DE1" w:rsidRDefault="00D63DE1" w:rsidP="00D63DE1">
      <w:pPr>
        <w:jc w:val="both"/>
        <w:rPr>
          <w:rFonts w:ascii="Cambria" w:hAnsi="Cambria"/>
          <w:b w:val="0"/>
          <w:bCs/>
          <w:color w:val="000000"/>
          <w:sz w:val="22"/>
          <w:lang w:eastAsia="en-US"/>
        </w:rPr>
      </w:pPr>
    </w:p>
    <w:p w14:paraId="36CFB439" w14:textId="77777777" w:rsidR="00D63DE1" w:rsidRPr="00D63DE1" w:rsidRDefault="00D63DE1" w:rsidP="00D63DE1">
      <w:pPr>
        <w:jc w:val="both"/>
        <w:rPr>
          <w:rFonts w:ascii="Cambria" w:hAnsi="Cambria"/>
          <w:b w:val="0"/>
          <w:bCs/>
          <w:color w:val="000000"/>
          <w:sz w:val="22"/>
          <w:lang w:eastAsia="en-US"/>
        </w:rPr>
      </w:pPr>
    </w:p>
    <w:p w14:paraId="23F414E8" w14:textId="77777777" w:rsidR="009418C7" w:rsidRPr="00CB5007" w:rsidRDefault="009418C7" w:rsidP="00877CFB">
      <w:pPr>
        <w:spacing w:after="0" w:line="360" w:lineRule="auto"/>
        <w:contextualSpacing/>
        <w:jc w:val="center"/>
        <w:rPr>
          <w:rFonts w:ascii="Cambria" w:hAnsi="Cambria"/>
          <w:i/>
          <w:color w:val="C00000"/>
          <w:sz w:val="28"/>
          <w:lang w:eastAsia="en-US"/>
        </w:rPr>
      </w:pPr>
    </w:p>
    <w:p w14:paraId="49D0793C" w14:textId="087DD1AB" w:rsidR="005F4371" w:rsidRPr="00CB5007" w:rsidRDefault="0007306E" w:rsidP="00877CFB">
      <w:pPr>
        <w:spacing w:after="0" w:line="360" w:lineRule="auto"/>
        <w:contextualSpacing/>
        <w:jc w:val="center"/>
        <w:rPr>
          <w:rFonts w:ascii="Cambria" w:hAnsi="Cambria"/>
          <w:i/>
          <w:color w:val="C00000"/>
          <w:sz w:val="28"/>
          <w:lang w:eastAsia="en-US"/>
        </w:rPr>
      </w:pPr>
      <w:r w:rsidRPr="00CB5007">
        <w:rPr>
          <w:rFonts w:ascii="Cambria" w:hAnsi="Cambria"/>
          <w:i/>
          <w:color w:val="C00000"/>
          <w:sz w:val="28"/>
          <w:lang w:eastAsia="en-US"/>
        </w:rPr>
        <w:t>J3010519/J3010619</w:t>
      </w:r>
      <w:r w:rsidR="005F4371" w:rsidRPr="00CB5007">
        <w:rPr>
          <w:rFonts w:ascii="Cambria" w:hAnsi="Cambria"/>
          <w:i/>
          <w:color w:val="C00000"/>
          <w:sz w:val="28"/>
          <w:lang w:eastAsia="en-US"/>
        </w:rPr>
        <w:t xml:space="preserve"> : Histoire du monde hellénistique</w:t>
      </w:r>
    </w:p>
    <w:p w14:paraId="2B179BAF" w14:textId="77777777" w:rsidR="00757E2A" w:rsidRPr="00CB5007" w:rsidRDefault="00757E2A" w:rsidP="007F10C0">
      <w:pPr>
        <w:spacing w:after="0" w:line="360" w:lineRule="auto"/>
        <w:contextualSpacing/>
        <w:jc w:val="center"/>
        <w:rPr>
          <w:rFonts w:ascii="Cambria" w:hAnsi="Cambria" w:cs="Times New Roman"/>
          <w:sz w:val="22"/>
          <w:lang w:eastAsia="en-US"/>
        </w:rPr>
      </w:pPr>
    </w:p>
    <w:p w14:paraId="4C652E3C" w14:textId="4CB662D1" w:rsidR="00D52685" w:rsidRPr="00CB5007" w:rsidRDefault="00757E2A" w:rsidP="00D52685">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 </w:t>
      </w:r>
      <w:r w:rsidR="00A03848" w:rsidRPr="00CB5007">
        <w:rPr>
          <w:rFonts w:ascii="Cambria" w:hAnsi="Cambria" w:cs="Times New Roman"/>
          <w:sz w:val="22"/>
          <w:lang w:eastAsia="en-US"/>
        </w:rPr>
        <w:t xml:space="preserve">Aurélie </w:t>
      </w:r>
      <w:r w:rsidRPr="00CB5007">
        <w:rPr>
          <w:rFonts w:ascii="Cambria" w:hAnsi="Cambria" w:cs="Times New Roman"/>
          <w:sz w:val="22"/>
          <w:lang w:eastAsia="en-US"/>
        </w:rPr>
        <w:t>Carrara (CM et TD</w:t>
      </w:r>
      <w:r w:rsidR="0053614D">
        <w:rPr>
          <w:rFonts w:ascii="Cambria" w:hAnsi="Cambria" w:cs="Times New Roman"/>
          <w:sz w:val="22"/>
          <w:lang w:eastAsia="en-US"/>
        </w:rPr>
        <w:t xml:space="preserve"> S1</w:t>
      </w:r>
      <w:r w:rsidRPr="00CB5007">
        <w:rPr>
          <w:rFonts w:ascii="Cambria" w:hAnsi="Cambria" w:cs="Times New Roman"/>
          <w:sz w:val="22"/>
          <w:lang w:eastAsia="en-US"/>
        </w:rPr>
        <w:t>)</w:t>
      </w:r>
      <w:r w:rsidR="008A0FA0" w:rsidRPr="00CB5007">
        <w:rPr>
          <w:rFonts w:ascii="Cambria" w:hAnsi="Cambria" w:cs="Times New Roman"/>
          <w:sz w:val="22"/>
          <w:lang w:eastAsia="en-US"/>
        </w:rPr>
        <w:t xml:space="preserve"> </w:t>
      </w:r>
    </w:p>
    <w:p w14:paraId="5DC7D2EE" w14:textId="6F9D8C2A" w:rsidR="005F4371" w:rsidRPr="00CB5007" w:rsidRDefault="00A03848" w:rsidP="00D52685">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Lucia </w:t>
      </w:r>
      <w:r w:rsidR="00877CFB" w:rsidRPr="00CB5007">
        <w:rPr>
          <w:rFonts w:ascii="Cambria" w:hAnsi="Cambria" w:cs="Times New Roman"/>
          <w:sz w:val="22"/>
          <w:lang w:eastAsia="en-US"/>
        </w:rPr>
        <w:t>Rossi</w:t>
      </w:r>
      <w:r w:rsidR="00757E2A" w:rsidRPr="00CB5007">
        <w:rPr>
          <w:rFonts w:ascii="Cambria" w:hAnsi="Cambria" w:cs="Times New Roman"/>
          <w:sz w:val="22"/>
          <w:lang w:eastAsia="en-US"/>
        </w:rPr>
        <w:t xml:space="preserve"> (CM et TD</w:t>
      </w:r>
      <w:r w:rsidR="0053614D">
        <w:rPr>
          <w:rFonts w:ascii="Cambria" w:hAnsi="Cambria" w:cs="Times New Roman"/>
          <w:sz w:val="22"/>
          <w:lang w:eastAsia="en-US"/>
        </w:rPr>
        <w:t xml:space="preserve"> S2</w:t>
      </w:r>
      <w:r w:rsidR="00757E2A" w:rsidRPr="00CB5007">
        <w:rPr>
          <w:rFonts w:ascii="Cambria" w:hAnsi="Cambria" w:cs="Times New Roman"/>
          <w:sz w:val="22"/>
          <w:lang w:eastAsia="en-US"/>
        </w:rPr>
        <w:t>)</w:t>
      </w:r>
      <w:r w:rsidR="00877CFB" w:rsidRPr="00CB5007">
        <w:rPr>
          <w:rFonts w:ascii="Cambria" w:hAnsi="Cambria" w:cs="Times New Roman"/>
          <w:sz w:val="22"/>
          <w:lang w:eastAsia="en-US"/>
        </w:rPr>
        <w:t xml:space="preserve">, </w:t>
      </w:r>
      <w:r w:rsidR="00F16572" w:rsidRPr="00CB5007">
        <w:rPr>
          <w:rFonts w:ascii="Cambria" w:hAnsi="Cambria" w:cs="Times New Roman"/>
          <w:sz w:val="22"/>
          <w:lang w:eastAsia="en-US"/>
        </w:rPr>
        <w:t xml:space="preserve">Aurélie Carrara </w:t>
      </w:r>
      <w:r w:rsidR="00757E2A" w:rsidRPr="00CB5007">
        <w:rPr>
          <w:rFonts w:ascii="Cambria" w:hAnsi="Cambria" w:cs="Times New Roman"/>
          <w:sz w:val="22"/>
          <w:lang w:eastAsia="en-US"/>
        </w:rPr>
        <w:t>(TD</w:t>
      </w:r>
      <w:r w:rsidR="0053614D">
        <w:rPr>
          <w:rFonts w:ascii="Cambria" w:hAnsi="Cambria" w:cs="Times New Roman"/>
          <w:sz w:val="22"/>
          <w:lang w:eastAsia="en-US"/>
        </w:rPr>
        <w:t xml:space="preserve"> S2</w:t>
      </w:r>
      <w:r w:rsidR="00757E2A" w:rsidRPr="00CB5007">
        <w:rPr>
          <w:rFonts w:ascii="Cambria" w:hAnsi="Cambria" w:cs="Times New Roman"/>
          <w:sz w:val="22"/>
          <w:lang w:eastAsia="en-US"/>
        </w:rPr>
        <w:t>)</w:t>
      </w:r>
    </w:p>
    <w:p w14:paraId="55F3D006" w14:textId="77777777" w:rsidR="000C4997" w:rsidRPr="00CB5007" w:rsidRDefault="000C4997" w:rsidP="000C4997">
      <w:pPr>
        <w:spacing w:after="0" w:line="360" w:lineRule="auto"/>
        <w:contextualSpacing/>
        <w:jc w:val="center"/>
        <w:rPr>
          <w:rFonts w:ascii="Cambria" w:hAnsi="Cambria" w:cs="Times New Roman"/>
          <w:sz w:val="22"/>
          <w:lang w:eastAsia="en-US"/>
        </w:rPr>
      </w:pPr>
    </w:p>
    <w:p w14:paraId="26E69953" w14:textId="77777777" w:rsidR="00D52685" w:rsidRPr="00181168" w:rsidRDefault="009639DC" w:rsidP="00D35F7D">
      <w:pPr>
        <w:spacing w:after="120" w:line="240" w:lineRule="auto"/>
        <w:contextualSpacing/>
        <w:rPr>
          <w:rFonts w:ascii="Cambria" w:hAnsi="Cambria" w:cs="Times New Roman"/>
          <w:color w:val="C00000"/>
          <w:sz w:val="22"/>
        </w:rPr>
      </w:pPr>
      <w:r w:rsidRPr="00181168">
        <w:rPr>
          <w:rFonts w:ascii="Cambria" w:hAnsi="Cambria" w:cs="Times New Roman"/>
          <w:color w:val="C00000"/>
          <w:sz w:val="22"/>
          <w:u w:val="single"/>
        </w:rPr>
        <w:t>Sujet du cours </w:t>
      </w:r>
      <w:r w:rsidR="00D52685" w:rsidRPr="00181168">
        <w:rPr>
          <w:rFonts w:ascii="Cambria" w:hAnsi="Cambria" w:cs="Times New Roman"/>
          <w:color w:val="C00000"/>
          <w:sz w:val="22"/>
          <w:u w:val="single"/>
        </w:rPr>
        <w:t>semestre 1</w:t>
      </w:r>
      <w:r w:rsidR="00D52685" w:rsidRPr="00181168">
        <w:rPr>
          <w:rFonts w:ascii="Cambria" w:hAnsi="Cambria" w:cs="Times New Roman"/>
          <w:color w:val="C00000"/>
          <w:sz w:val="22"/>
        </w:rPr>
        <w:t xml:space="preserve"> :</w:t>
      </w:r>
      <w:r w:rsidRPr="00181168">
        <w:rPr>
          <w:rFonts w:ascii="Cambria" w:hAnsi="Cambria" w:cs="Times New Roman"/>
          <w:color w:val="C00000"/>
          <w:sz w:val="22"/>
        </w:rPr>
        <w:t xml:space="preserve"> Les cités grecques à l’époque hellénistique </w:t>
      </w:r>
    </w:p>
    <w:p w14:paraId="76D0938D" w14:textId="28B230F4" w:rsidR="00A03848" w:rsidRPr="00181168" w:rsidRDefault="009639DC" w:rsidP="00D35F7D">
      <w:pPr>
        <w:spacing w:after="120" w:line="240" w:lineRule="auto"/>
        <w:contextualSpacing/>
        <w:rPr>
          <w:rFonts w:ascii="Cambria" w:hAnsi="Cambria" w:cs="Times New Roman"/>
          <w:color w:val="C00000"/>
          <w:sz w:val="22"/>
        </w:rPr>
      </w:pPr>
      <w:r w:rsidRPr="00181168">
        <w:rPr>
          <w:rFonts w:ascii="Cambria" w:hAnsi="Cambria" w:cs="Times New Roman"/>
          <w:color w:val="C00000"/>
          <w:sz w:val="22"/>
        </w:rPr>
        <w:t>(336-1</w:t>
      </w:r>
      <w:r w:rsidR="00CE1B07" w:rsidRPr="00181168">
        <w:rPr>
          <w:rFonts w:ascii="Cambria" w:hAnsi="Cambria" w:cs="Times New Roman"/>
          <w:color w:val="C00000"/>
          <w:sz w:val="22"/>
        </w:rPr>
        <w:t>8</w:t>
      </w:r>
      <w:r w:rsidRPr="00181168">
        <w:rPr>
          <w:rFonts w:ascii="Cambria" w:hAnsi="Cambria" w:cs="Times New Roman"/>
          <w:color w:val="C00000"/>
          <w:sz w:val="22"/>
        </w:rPr>
        <w:t>8) :</w:t>
      </w:r>
      <w:r w:rsidR="00D52685" w:rsidRPr="00181168">
        <w:rPr>
          <w:rFonts w:ascii="Cambria" w:hAnsi="Cambria" w:cs="Times New Roman"/>
          <w:color w:val="C00000"/>
          <w:sz w:val="22"/>
        </w:rPr>
        <w:t xml:space="preserve"> </w:t>
      </w:r>
      <w:r w:rsidRPr="00181168">
        <w:rPr>
          <w:rFonts w:ascii="Cambria" w:hAnsi="Cambria" w:cs="Times New Roman"/>
          <w:color w:val="C00000"/>
          <w:sz w:val="22"/>
        </w:rPr>
        <w:t>dynamiques institutionnelles, sociales et culturelles</w:t>
      </w:r>
    </w:p>
    <w:p w14:paraId="05804EAD" w14:textId="60FA20FE" w:rsidR="009639DC" w:rsidRPr="00CB5007" w:rsidRDefault="009639DC" w:rsidP="009639DC">
      <w:pPr>
        <w:spacing w:after="120" w:line="240" w:lineRule="auto"/>
        <w:contextualSpacing/>
        <w:jc w:val="center"/>
        <w:rPr>
          <w:rFonts w:ascii="Cambria" w:eastAsia="ArialNarrow,Bold" w:hAnsi="Cambria" w:cs="Times New Roman"/>
          <w:bCs/>
          <w:color w:val="C00000"/>
          <w:sz w:val="22"/>
          <w:lang w:eastAsia="en-US"/>
        </w:rPr>
      </w:pPr>
      <w:r w:rsidRPr="00CB5007">
        <w:rPr>
          <w:rFonts w:ascii="Cambria" w:hAnsi="Cambria" w:cs="Times New Roman"/>
          <w:color w:val="C00000"/>
          <w:sz w:val="22"/>
        </w:rPr>
        <w:t xml:space="preserve"> </w:t>
      </w:r>
    </w:p>
    <w:p w14:paraId="5CC9EC32" w14:textId="77777777" w:rsidR="00CE1B07" w:rsidRPr="00CB5007" w:rsidRDefault="00CE1B07" w:rsidP="00CE1B07">
      <w:pPr>
        <w:spacing w:after="120" w:line="240" w:lineRule="auto"/>
        <w:ind w:firstLine="567"/>
        <w:contextualSpacing/>
        <w:jc w:val="both"/>
        <w:rPr>
          <w:rFonts w:ascii="Cambria" w:hAnsi="Cambria" w:cs="Times New Roman"/>
          <w:color w:val="000000"/>
          <w:sz w:val="22"/>
        </w:rPr>
      </w:pPr>
      <w:r w:rsidRPr="00CB5007">
        <w:rPr>
          <w:rFonts w:ascii="Cambria" w:hAnsi="Cambria" w:cs="Times New Roman"/>
          <w:b w:val="0"/>
          <w:sz w:val="22"/>
        </w:rPr>
        <w:t xml:space="preserve">La conquête de l’Empire perse par Alexandre le Grand ouvre une nouvelle période de l’histoire grecque, l’époque hellénistique, qui voit l’expansion des modèles politiques et culturels grecs dans tout le Proche et le Moyen-Orient. Nous allons nous interroger sur la place qu’occupent, dans ce cadre étendu, les cités grecques : les « vieilles » cités de la Grèce égéenne et les cités nouvelles fondées par Alexandre et ses successeurs. Si elles se sont vues obligées </w:t>
      </w:r>
      <w:r w:rsidRPr="00CB5007">
        <w:rPr>
          <w:rFonts w:ascii="Cambria" w:hAnsi="Cambria" w:cs="Times New Roman"/>
          <w:b w:val="0"/>
          <w:color w:val="000000"/>
          <w:sz w:val="22"/>
        </w:rPr>
        <w:t>de composer avec les rois, elles n’ont pas pour autant abandonné leur ancien mode de vie et notamment le modèle institutionnel démocratique. Il importe précisément de montrer comment ce modèle s’est maintenu, mais aussi la façon dont la cité (</w:t>
      </w:r>
      <w:r w:rsidRPr="00CB5007">
        <w:rPr>
          <w:rFonts w:ascii="Cambria" w:hAnsi="Cambria" w:cs="Times New Roman"/>
          <w:b w:val="0"/>
          <w:i/>
          <w:color w:val="000000"/>
          <w:sz w:val="22"/>
        </w:rPr>
        <w:t>polis</w:t>
      </w:r>
      <w:r w:rsidRPr="00CB5007">
        <w:rPr>
          <w:rFonts w:ascii="Cambria" w:hAnsi="Cambria" w:cs="Times New Roman"/>
          <w:b w:val="0"/>
          <w:color w:val="000000"/>
          <w:sz w:val="22"/>
        </w:rPr>
        <w:t>) est touchée par des transformations inhérentes aux grands changements qui s’opèrent entre le IV</w:t>
      </w:r>
      <w:r w:rsidRPr="00CB5007">
        <w:rPr>
          <w:rFonts w:ascii="Cambria" w:hAnsi="Cambria" w:cs="Times New Roman"/>
          <w:b w:val="0"/>
          <w:color w:val="000000"/>
          <w:sz w:val="22"/>
          <w:vertAlign w:val="superscript"/>
        </w:rPr>
        <w:t>e</w:t>
      </w:r>
      <w:r w:rsidRPr="00CB5007">
        <w:rPr>
          <w:rFonts w:ascii="Cambria" w:hAnsi="Cambria" w:cs="Times New Roman"/>
          <w:b w:val="0"/>
          <w:color w:val="000000"/>
          <w:sz w:val="22"/>
        </w:rPr>
        <w:t xml:space="preserve"> et le II</w:t>
      </w:r>
      <w:r w:rsidRPr="00CB5007">
        <w:rPr>
          <w:rFonts w:ascii="Cambria" w:hAnsi="Cambria" w:cs="Times New Roman"/>
          <w:b w:val="0"/>
          <w:color w:val="000000"/>
          <w:sz w:val="22"/>
          <w:vertAlign w:val="superscript"/>
        </w:rPr>
        <w:t>e</w:t>
      </w:r>
      <w:r w:rsidRPr="00CB5007">
        <w:rPr>
          <w:rFonts w:ascii="Cambria" w:hAnsi="Cambria" w:cs="Times New Roman"/>
          <w:b w:val="0"/>
          <w:color w:val="000000"/>
          <w:sz w:val="22"/>
        </w:rPr>
        <w:t xml:space="preserve"> siècle av. J.-C. </w:t>
      </w:r>
    </w:p>
    <w:p w14:paraId="49772C81" w14:textId="77777777" w:rsidR="00CE1B07" w:rsidRPr="00CB5007" w:rsidRDefault="00CE1B07" w:rsidP="00CE1B07">
      <w:pPr>
        <w:spacing w:after="120" w:line="240" w:lineRule="auto"/>
        <w:ind w:firstLine="567"/>
        <w:contextualSpacing/>
        <w:jc w:val="both"/>
        <w:rPr>
          <w:rFonts w:ascii="Cambria" w:hAnsi="Cambria" w:cs="Times New Roman"/>
          <w:b w:val="0"/>
          <w:i/>
          <w:sz w:val="22"/>
          <w:lang w:eastAsia="en-US"/>
        </w:rPr>
      </w:pPr>
      <w:r w:rsidRPr="00CB5007">
        <w:rPr>
          <w:rFonts w:ascii="Cambria" w:hAnsi="Cambria" w:cs="Times New Roman"/>
          <w:b w:val="0"/>
          <w:sz w:val="22"/>
        </w:rPr>
        <w:t>Il s’agit notamment d’une période où, de la rencontre entre l’hellénisme et les civilisations de l’Orient, naît la culture hellénistique, qui bouscule les vieux critères d’appartenance à l’hellénisme : il est désormais possible de devenir Grec par le</w:t>
      </w:r>
      <w:r w:rsidRPr="00CB5007">
        <w:rPr>
          <w:rFonts w:ascii="Cambria" w:hAnsi="Cambria" w:cs="Times New Roman"/>
          <w:b w:val="0"/>
          <w:i/>
          <w:sz w:val="22"/>
          <w:lang w:eastAsia="en-US"/>
        </w:rPr>
        <w:t xml:space="preserve"> </w:t>
      </w:r>
      <w:r w:rsidRPr="00CB5007">
        <w:rPr>
          <w:rFonts w:ascii="Cambria" w:hAnsi="Cambria" w:cs="Times New Roman"/>
          <w:b w:val="0"/>
          <w:sz w:val="22"/>
        </w:rPr>
        <w:t xml:space="preserve">partage des valeurs et de la </w:t>
      </w:r>
      <w:r w:rsidRPr="00CB5007">
        <w:rPr>
          <w:rFonts w:ascii="Cambria" w:hAnsi="Cambria" w:cs="Times New Roman"/>
          <w:b w:val="0"/>
          <w:i/>
          <w:iCs/>
          <w:sz w:val="22"/>
        </w:rPr>
        <w:t>paideia</w:t>
      </w:r>
      <w:r w:rsidRPr="00CB5007">
        <w:rPr>
          <w:rFonts w:ascii="Cambria" w:hAnsi="Cambria" w:cs="Times New Roman"/>
          <w:b w:val="0"/>
          <w:sz w:val="22"/>
        </w:rPr>
        <w:t xml:space="preserve"> grecques. En même temps, on assiste à une véritable ouverture vers d’autres communautés ou individus, favorisée par les réseaux de parenté entre cités et par la circulation des personnes, des biens et des savoirs.  Nous allons ainsi mettre en lumière le dynamisme de la vie civique,</w:t>
      </w:r>
      <w:r w:rsidRPr="00CB5007">
        <w:rPr>
          <w:rFonts w:ascii="Cambria" w:hAnsi="Cambria" w:cs="Times New Roman"/>
          <w:b w:val="0"/>
          <w:i/>
          <w:sz w:val="22"/>
          <w:lang w:eastAsia="en-US"/>
        </w:rPr>
        <w:t xml:space="preserve"> </w:t>
      </w:r>
      <w:r w:rsidRPr="00CB5007">
        <w:rPr>
          <w:rFonts w:ascii="Cambria" w:hAnsi="Cambria" w:cs="Times New Roman"/>
          <w:b w:val="0"/>
          <w:sz w:val="22"/>
        </w:rPr>
        <w:t xml:space="preserve">de la société et de la culture grecque au cours de cette période, considérée par beaucoup comme un « âge d’or » des cités. </w:t>
      </w:r>
    </w:p>
    <w:p w14:paraId="7BF331BE" w14:textId="77777777" w:rsidR="00CE1B07" w:rsidRPr="00CB5007" w:rsidRDefault="00CE1B07" w:rsidP="00CE1B07">
      <w:pPr>
        <w:spacing w:after="120" w:line="240" w:lineRule="auto"/>
        <w:contextualSpacing/>
        <w:jc w:val="both"/>
        <w:rPr>
          <w:rFonts w:ascii="Cambria" w:hAnsi="Cambria" w:cs="Times New Roman"/>
          <w:b w:val="0"/>
          <w:sz w:val="22"/>
        </w:rPr>
      </w:pPr>
    </w:p>
    <w:p w14:paraId="3BC840E8"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0C6ED9EE"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13AB242E"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2797AC57" w14:textId="77777777" w:rsidR="00CE1B07" w:rsidRPr="00CB5007" w:rsidRDefault="00CE1B07" w:rsidP="00CE1B07">
      <w:pPr>
        <w:spacing w:after="120" w:line="240" w:lineRule="auto"/>
        <w:contextualSpacing/>
        <w:jc w:val="both"/>
        <w:rPr>
          <w:rFonts w:ascii="Cambria" w:hAnsi="Cambria" w:cs="Times New Roman"/>
          <w:b w:val="0"/>
          <w:sz w:val="22"/>
        </w:rPr>
      </w:pPr>
    </w:p>
    <w:p w14:paraId="00BB3EDB" w14:textId="77777777" w:rsidR="00CE1B07" w:rsidRPr="00CB5007" w:rsidRDefault="00CE1B07" w:rsidP="00CE1B07">
      <w:pPr>
        <w:spacing w:after="120" w:line="240" w:lineRule="auto"/>
        <w:contextualSpacing/>
        <w:jc w:val="both"/>
        <w:rPr>
          <w:rFonts w:ascii="Cambria" w:hAnsi="Cambria" w:cs="Times New Roman"/>
          <w:b w:val="0"/>
          <w:sz w:val="22"/>
        </w:rPr>
      </w:pPr>
    </w:p>
    <w:p w14:paraId="2A670258"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4CD1B8F2"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24B0EC20"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325F5F71" w14:textId="77777777" w:rsidR="00CE1B07" w:rsidRPr="00CB5007" w:rsidRDefault="00CE1B07" w:rsidP="00CE1B07">
      <w:pPr>
        <w:spacing w:after="120" w:line="240" w:lineRule="auto"/>
        <w:ind w:left="567" w:hanging="567"/>
        <w:contextualSpacing/>
        <w:jc w:val="both"/>
        <w:rPr>
          <w:rFonts w:ascii="Cambria" w:hAnsi="Cambria" w:cs="Times New Roman"/>
          <w:bCs/>
          <w:sz w:val="22"/>
        </w:rPr>
      </w:pPr>
      <w:r w:rsidRPr="00CB5007">
        <w:rPr>
          <w:rFonts w:ascii="Cambria" w:hAnsi="Cambria" w:cs="Times New Roman"/>
          <w:bCs/>
          <w:sz w:val="22"/>
        </w:rPr>
        <w:t xml:space="preserve">Bibliographie de base : </w:t>
      </w:r>
    </w:p>
    <w:p w14:paraId="0FDD4766"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3708C343" w14:textId="77777777" w:rsidR="00CE1B07" w:rsidRPr="00CB5007" w:rsidRDefault="00CE1B07" w:rsidP="00CE1B07">
      <w:pPr>
        <w:tabs>
          <w:tab w:val="num" w:pos="1080"/>
        </w:tabs>
        <w:spacing w:after="120" w:line="240" w:lineRule="auto"/>
        <w:ind w:left="567" w:hanging="567"/>
        <w:jc w:val="both"/>
        <w:rPr>
          <w:rFonts w:ascii="Cambria" w:hAnsi="Cambria" w:cs="Times New Roman"/>
          <w:bCs/>
          <w:i/>
          <w:iCs/>
          <w:sz w:val="22"/>
        </w:rPr>
      </w:pPr>
      <w:r w:rsidRPr="00CB5007">
        <w:rPr>
          <w:rFonts w:ascii="Cambria" w:hAnsi="Cambria" w:cs="Times New Roman"/>
          <w:bCs/>
          <w:i/>
          <w:iCs/>
          <w:sz w:val="22"/>
        </w:rPr>
        <w:t xml:space="preserve">Pour une première approche : </w:t>
      </w:r>
    </w:p>
    <w:p w14:paraId="6637A573" w14:textId="77777777" w:rsidR="00CE1B07" w:rsidRPr="00CB5007" w:rsidRDefault="00CE1B07" w:rsidP="00CE1B07">
      <w:pPr>
        <w:tabs>
          <w:tab w:val="num" w:pos="1080"/>
        </w:tabs>
        <w:spacing w:after="0" w:line="240" w:lineRule="auto"/>
        <w:ind w:left="284" w:hanging="284"/>
        <w:jc w:val="both"/>
        <w:rPr>
          <w:rFonts w:ascii="Cambria" w:hAnsi="Cambria" w:cs="Times New Roman"/>
          <w:b w:val="0"/>
          <w:bCs/>
          <w:iCs/>
          <w:sz w:val="22"/>
        </w:rPr>
      </w:pPr>
      <w:r w:rsidRPr="00CB5007">
        <w:rPr>
          <w:rFonts w:ascii="Cambria" w:hAnsi="Cambria" w:cs="Times New Roman"/>
          <w:b w:val="0"/>
          <w:iCs/>
          <w:caps/>
          <w:sz w:val="22"/>
        </w:rPr>
        <w:t>Baslez</w:t>
      </w:r>
      <w:r w:rsidRPr="00CB5007">
        <w:rPr>
          <w:rFonts w:ascii="Cambria" w:hAnsi="Cambria" w:cs="Times New Roman"/>
          <w:b w:val="0"/>
          <w:iCs/>
          <w:sz w:val="22"/>
        </w:rPr>
        <w:t xml:space="preserve">, M.-Fr., </w:t>
      </w:r>
      <w:r w:rsidRPr="00CB5007">
        <w:rPr>
          <w:rFonts w:ascii="Cambria" w:hAnsi="Cambria" w:cs="Times New Roman"/>
          <w:b w:val="0"/>
          <w:i/>
          <w:sz w:val="22"/>
        </w:rPr>
        <w:t>Histoire politique du monde grec</w:t>
      </w:r>
      <w:r w:rsidRPr="00CB5007">
        <w:rPr>
          <w:rFonts w:ascii="Cambria" w:hAnsi="Cambria" w:cs="Times New Roman"/>
          <w:i/>
          <w:sz w:val="22"/>
        </w:rPr>
        <w:t xml:space="preserve"> </w:t>
      </w:r>
      <w:r w:rsidRPr="00CB5007">
        <w:rPr>
          <w:rFonts w:ascii="Cambria" w:hAnsi="Cambria" w:cs="Times New Roman"/>
          <w:b w:val="0"/>
          <w:bCs/>
          <w:i/>
          <w:sz w:val="22"/>
        </w:rPr>
        <w:t>des temps homériques à l’intégration dans le monde romain</w:t>
      </w:r>
      <w:r w:rsidRPr="00CB5007">
        <w:rPr>
          <w:rFonts w:ascii="Cambria" w:hAnsi="Cambria" w:cs="Times New Roman"/>
          <w:b w:val="0"/>
          <w:bCs/>
          <w:iCs/>
          <w:sz w:val="22"/>
        </w:rPr>
        <w:t>, Paris, A. Colin, 2015, 3</w:t>
      </w:r>
      <w:r w:rsidRPr="00CB5007">
        <w:rPr>
          <w:rFonts w:ascii="Cambria" w:hAnsi="Cambria" w:cs="Times New Roman"/>
          <w:b w:val="0"/>
          <w:bCs/>
          <w:iCs/>
          <w:sz w:val="22"/>
          <w:vertAlign w:val="superscript"/>
        </w:rPr>
        <w:t>e</w:t>
      </w:r>
      <w:r w:rsidRPr="00CB5007">
        <w:rPr>
          <w:rFonts w:ascii="Cambria" w:hAnsi="Cambria" w:cs="Times New Roman"/>
          <w:b w:val="0"/>
          <w:bCs/>
          <w:iCs/>
          <w:sz w:val="22"/>
        </w:rPr>
        <w:t xml:space="preserve"> éd. (Multiples réimpressions ultérieures)</w:t>
      </w:r>
      <w:r w:rsidRPr="00CB5007">
        <w:rPr>
          <w:rFonts w:ascii="Cambria" w:hAnsi="Cambria" w:cs="Times New Roman"/>
          <w:b w:val="0"/>
          <w:bCs/>
          <w:i/>
          <w:sz w:val="22"/>
        </w:rPr>
        <w:t xml:space="preserve"> </w:t>
      </w:r>
      <w:r w:rsidRPr="00CB5007">
        <w:rPr>
          <w:rFonts w:ascii="Cambria" w:hAnsi="Cambria" w:cs="Times New Roman"/>
          <w:b w:val="0"/>
          <w:bCs/>
          <w:iCs/>
          <w:sz w:val="22"/>
        </w:rPr>
        <w:t>[chapitres 10-13]</w:t>
      </w:r>
    </w:p>
    <w:p w14:paraId="7FD30AE2" w14:textId="77777777" w:rsidR="00CE1B07" w:rsidRPr="00CB5007" w:rsidRDefault="00CE1B07" w:rsidP="00CE1B07">
      <w:pPr>
        <w:suppressLineNumbers/>
        <w:spacing w:after="0" w:line="240" w:lineRule="auto"/>
        <w:ind w:left="284" w:hanging="284"/>
        <w:jc w:val="both"/>
        <w:rPr>
          <w:rFonts w:ascii="Cambria" w:hAnsi="Cambria" w:cs="Times New Roman"/>
          <w:b w:val="0"/>
          <w:bCs/>
          <w:iCs/>
          <w:sz w:val="22"/>
        </w:rPr>
      </w:pPr>
      <w:r w:rsidRPr="00CB5007">
        <w:rPr>
          <w:rFonts w:ascii="Cambria" w:hAnsi="Cambria" w:cs="Times New Roman"/>
          <w:b w:val="0"/>
          <w:bCs/>
          <w:iCs/>
          <w:caps/>
          <w:sz w:val="22"/>
        </w:rPr>
        <w:t>Lefèvre</w:t>
      </w:r>
      <w:r w:rsidRPr="00CB5007">
        <w:rPr>
          <w:rFonts w:ascii="Cambria" w:hAnsi="Cambria" w:cs="Times New Roman"/>
          <w:b w:val="0"/>
          <w:bCs/>
          <w:iCs/>
          <w:sz w:val="22"/>
        </w:rPr>
        <w:t>, F., </w:t>
      </w:r>
      <w:r w:rsidRPr="00CB5007">
        <w:rPr>
          <w:rFonts w:ascii="Cambria" w:hAnsi="Cambria" w:cs="Times New Roman"/>
          <w:b w:val="0"/>
          <w:bCs/>
          <w:i/>
          <w:sz w:val="22"/>
        </w:rPr>
        <w:t>Histoire du monde grec antique</w:t>
      </w:r>
      <w:r w:rsidRPr="00CB5007">
        <w:rPr>
          <w:rFonts w:ascii="Cambria" w:hAnsi="Cambria" w:cs="Times New Roman"/>
          <w:b w:val="0"/>
          <w:bCs/>
          <w:iCs/>
          <w:sz w:val="22"/>
        </w:rPr>
        <w:t>, Paris, Le livre de poche, Références, 2007. [Chapitres 17, 19-20, 22-23]</w:t>
      </w:r>
    </w:p>
    <w:p w14:paraId="5E5585B2" w14:textId="77777777" w:rsidR="00CE1B07" w:rsidRPr="00CB5007" w:rsidRDefault="00CE1B07" w:rsidP="00CE1B07">
      <w:pPr>
        <w:spacing w:after="120" w:line="240" w:lineRule="auto"/>
        <w:ind w:left="284" w:hanging="284"/>
        <w:jc w:val="both"/>
        <w:rPr>
          <w:rFonts w:ascii="Cambria" w:hAnsi="Cambria" w:cs="Times New Roman"/>
          <w:b w:val="0"/>
          <w:sz w:val="22"/>
        </w:rPr>
      </w:pPr>
      <w:r w:rsidRPr="00CB5007">
        <w:rPr>
          <w:rFonts w:ascii="Cambria" w:hAnsi="Cambria" w:cs="Times New Roman"/>
          <w:b w:val="0"/>
          <w:sz w:val="22"/>
        </w:rPr>
        <w:t xml:space="preserve">RICHER, N. (éd.), </w:t>
      </w:r>
      <w:r w:rsidRPr="00CB5007">
        <w:rPr>
          <w:rFonts w:ascii="Cambria" w:hAnsi="Cambria" w:cs="Times New Roman"/>
          <w:b w:val="0"/>
          <w:i/>
          <w:iCs/>
          <w:sz w:val="22"/>
        </w:rPr>
        <w:t>Le monde grec. Cours, méthodes, documents</w:t>
      </w:r>
      <w:r w:rsidRPr="00CB5007">
        <w:rPr>
          <w:rFonts w:ascii="Cambria" w:hAnsi="Cambria" w:cs="Times New Roman"/>
          <w:b w:val="0"/>
          <w:sz w:val="22"/>
        </w:rPr>
        <w:t>, coll. Grand Amphi Histoire, Paris, Bréal, 2023, 5</w:t>
      </w:r>
      <w:r w:rsidRPr="00CB5007">
        <w:rPr>
          <w:rFonts w:ascii="Cambria" w:hAnsi="Cambria" w:cs="Times New Roman"/>
          <w:b w:val="0"/>
          <w:sz w:val="22"/>
          <w:vertAlign w:val="superscript"/>
        </w:rPr>
        <w:t>e</w:t>
      </w:r>
      <w:r w:rsidRPr="00CB5007">
        <w:rPr>
          <w:rFonts w:ascii="Cambria" w:hAnsi="Cambria" w:cs="Times New Roman"/>
          <w:b w:val="0"/>
          <w:sz w:val="22"/>
        </w:rPr>
        <w:t xml:space="preserve"> éd. </w:t>
      </w:r>
    </w:p>
    <w:p w14:paraId="11F6F8C6" w14:textId="77777777" w:rsidR="00CE1B07" w:rsidRPr="00CB5007" w:rsidRDefault="00CE1B07" w:rsidP="00CE1B07">
      <w:pPr>
        <w:spacing w:after="0" w:line="240" w:lineRule="auto"/>
        <w:ind w:left="284" w:hanging="284"/>
        <w:rPr>
          <w:rFonts w:ascii="Cambria" w:hAnsi="Cambria" w:cs="Times New Roman"/>
          <w:i/>
          <w:sz w:val="22"/>
        </w:rPr>
      </w:pPr>
      <w:r w:rsidRPr="00CB5007">
        <w:rPr>
          <w:rFonts w:ascii="Cambria" w:hAnsi="Cambria" w:cs="Times New Roman"/>
          <w:i/>
          <w:sz w:val="22"/>
        </w:rPr>
        <w:t xml:space="preserve">Pour aller plus loin : </w:t>
      </w:r>
    </w:p>
    <w:p w14:paraId="4AB2881D" w14:textId="77777777" w:rsidR="00CE1B07" w:rsidRPr="00CB5007" w:rsidRDefault="00CE1B07" w:rsidP="00CE1B07">
      <w:pPr>
        <w:suppressLineNumbers/>
        <w:spacing w:after="0" w:line="240" w:lineRule="auto"/>
        <w:ind w:left="284" w:hanging="284"/>
        <w:jc w:val="both"/>
        <w:rPr>
          <w:rFonts w:ascii="Cambria" w:hAnsi="Cambria" w:cs="Times New Roman"/>
          <w:b w:val="0"/>
          <w:bCs/>
          <w:iCs/>
          <w:spacing w:val="-2"/>
          <w:sz w:val="22"/>
        </w:rPr>
      </w:pPr>
      <w:r w:rsidRPr="00CB5007">
        <w:rPr>
          <w:rFonts w:ascii="Cambria" w:hAnsi="Cambria" w:cs="Times New Roman"/>
          <w:b w:val="0"/>
          <w:bCs/>
          <w:iCs/>
          <w:caps/>
          <w:sz w:val="22"/>
        </w:rPr>
        <w:t>Cabanes</w:t>
      </w:r>
      <w:r w:rsidRPr="00CB5007">
        <w:rPr>
          <w:rFonts w:ascii="Cambria" w:hAnsi="Cambria" w:cs="Times New Roman"/>
          <w:b w:val="0"/>
          <w:bCs/>
          <w:iCs/>
          <w:sz w:val="22"/>
        </w:rPr>
        <w:t xml:space="preserve">, P., </w:t>
      </w:r>
      <w:r w:rsidRPr="00CB5007">
        <w:rPr>
          <w:rFonts w:ascii="Cambria" w:hAnsi="Cambria" w:cs="Times New Roman"/>
          <w:b w:val="0"/>
          <w:bCs/>
          <w:i/>
          <w:sz w:val="22"/>
        </w:rPr>
        <w:t>Le monde hellénistique de la mort d’Alexandre à la paix d’Apamée (323-188),</w:t>
      </w:r>
      <w:r w:rsidRPr="00CB5007">
        <w:rPr>
          <w:rFonts w:ascii="Cambria" w:hAnsi="Cambria" w:cs="Times New Roman"/>
          <w:b w:val="0"/>
          <w:bCs/>
          <w:iCs/>
          <w:sz w:val="22"/>
        </w:rPr>
        <w:t xml:space="preserve"> Paris, Seuil, </w:t>
      </w:r>
      <w:r w:rsidRPr="00CB5007">
        <w:rPr>
          <w:rFonts w:ascii="Cambria" w:hAnsi="Cambria" w:cs="Times New Roman"/>
          <w:b w:val="0"/>
          <w:bCs/>
          <w:iCs/>
          <w:spacing w:val="-5"/>
          <w:sz w:val="22"/>
        </w:rPr>
        <w:t xml:space="preserve">Nouvelle histoire de </w:t>
      </w:r>
      <w:r w:rsidRPr="00CB5007">
        <w:rPr>
          <w:rFonts w:ascii="Cambria" w:hAnsi="Cambria" w:cs="Times New Roman"/>
          <w:b w:val="0"/>
          <w:bCs/>
          <w:iCs/>
          <w:spacing w:val="-2"/>
          <w:sz w:val="22"/>
        </w:rPr>
        <w:t>l'Antiquité 4, 1995.</w:t>
      </w:r>
    </w:p>
    <w:p w14:paraId="3E1CA59D" w14:textId="77777777" w:rsidR="00CE1B07" w:rsidRPr="00CB5007" w:rsidRDefault="00CE1B07" w:rsidP="00CE1B07">
      <w:pPr>
        <w:suppressLineNumbers/>
        <w:spacing w:after="0" w:line="240" w:lineRule="auto"/>
        <w:ind w:left="284" w:hanging="284"/>
        <w:jc w:val="both"/>
        <w:rPr>
          <w:rFonts w:ascii="Cambria" w:hAnsi="Cambria" w:cs="Times New Roman"/>
          <w:b w:val="0"/>
          <w:bCs/>
          <w:iCs/>
          <w:sz w:val="22"/>
        </w:rPr>
      </w:pPr>
      <w:r w:rsidRPr="00CB5007">
        <w:rPr>
          <w:rFonts w:ascii="Cambria" w:hAnsi="Cambria" w:cs="Times New Roman"/>
          <w:b w:val="0"/>
          <w:bCs/>
          <w:iCs/>
          <w:caps/>
          <w:sz w:val="22"/>
        </w:rPr>
        <w:t>*Grandjean</w:t>
      </w:r>
      <w:r w:rsidRPr="00CB5007">
        <w:rPr>
          <w:rFonts w:ascii="Cambria" w:hAnsi="Cambria" w:cs="Times New Roman"/>
          <w:b w:val="0"/>
          <w:bCs/>
          <w:iCs/>
          <w:sz w:val="22"/>
        </w:rPr>
        <w:t xml:space="preserve">, C., et al., </w:t>
      </w:r>
      <w:r w:rsidRPr="00CB5007">
        <w:rPr>
          <w:rFonts w:ascii="Cambria" w:hAnsi="Cambria" w:cs="Times New Roman"/>
          <w:b w:val="0"/>
          <w:bCs/>
          <w:i/>
          <w:sz w:val="22"/>
        </w:rPr>
        <w:t>Le monde hellénistique,</w:t>
      </w:r>
      <w:r w:rsidRPr="00CB5007">
        <w:rPr>
          <w:rFonts w:ascii="Cambria" w:hAnsi="Cambria" w:cs="Times New Roman"/>
          <w:b w:val="0"/>
          <w:bCs/>
          <w:iCs/>
          <w:sz w:val="22"/>
        </w:rPr>
        <w:t xml:space="preserve"> Paris, Armand Colin, U. Histoire, 2008. [Manuel de référence, accessible en ligne via la BIS]</w:t>
      </w:r>
    </w:p>
    <w:p w14:paraId="6C0A5325" w14:textId="77777777" w:rsidR="00CE1B07" w:rsidRPr="00CB5007" w:rsidRDefault="00CE1B07" w:rsidP="00CE1B07">
      <w:pPr>
        <w:spacing w:after="0" w:line="240" w:lineRule="auto"/>
        <w:ind w:left="426" w:hanging="426"/>
        <w:jc w:val="both"/>
        <w:rPr>
          <w:rFonts w:ascii="Cambria" w:eastAsia="Times New Roman" w:hAnsi="Cambria" w:cs="Times New Roman"/>
          <w:b w:val="0"/>
          <w:kern w:val="0"/>
          <w:sz w:val="22"/>
          <w:lang w:eastAsia="fr-FR"/>
        </w:rPr>
      </w:pPr>
      <w:r w:rsidRPr="00CB5007">
        <w:rPr>
          <w:rFonts w:ascii="Cambria" w:eastAsia="Times New Roman" w:hAnsi="Cambria" w:cs="Times New Roman"/>
          <w:b w:val="0"/>
          <w:kern w:val="0"/>
          <w:sz w:val="22"/>
          <w:lang w:eastAsia="fr-FR"/>
        </w:rPr>
        <w:t xml:space="preserve">*GRANDJEAN, C. </w:t>
      </w:r>
      <w:r w:rsidRPr="00CB5007">
        <w:rPr>
          <w:rFonts w:ascii="Cambria" w:eastAsia="Times New Roman" w:hAnsi="Cambria" w:cs="Times New Roman"/>
          <w:b w:val="0"/>
          <w:i/>
          <w:iCs/>
          <w:kern w:val="0"/>
          <w:sz w:val="22"/>
          <w:lang w:eastAsia="fr-FR"/>
        </w:rPr>
        <w:t>et al.</w:t>
      </w:r>
      <w:r w:rsidRPr="00CB5007">
        <w:rPr>
          <w:rFonts w:ascii="Cambria" w:eastAsia="Times New Roman" w:hAnsi="Cambria" w:cs="Times New Roman"/>
          <w:b w:val="0"/>
          <w:kern w:val="0"/>
          <w:sz w:val="22"/>
          <w:lang w:eastAsia="fr-FR"/>
        </w:rPr>
        <w:t xml:space="preserve">, </w:t>
      </w:r>
      <w:r w:rsidRPr="00CB5007">
        <w:rPr>
          <w:rFonts w:ascii="Cambria" w:eastAsia="Times New Roman" w:hAnsi="Cambria" w:cs="Times New Roman"/>
          <w:b w:val="0"/>
          <w:i/>
          <w:iCs/>
          <w:kern w:val="0"/>
          <w:sz w:val="22"/>
          <w:lang w:eastAsia="fr-FR"/>
        </w:rPr>
        <w:t>La Grèce hellénistique et romaine : d’Alexandre à Hadrien, 336 avant notre ère-138 de notre ère</w:t>
      </w:r>
      <w:r w:rsidRPr="00CB5007">
        <w:rPr>
          <w:rFonts w:ascii="Cambria" w:eastAsia="Times New Roman" w:hAnsi="Cambria" w:cs="Times New Roman"/>
          <w:b w:val="0"/>
          <w:kern w:val="0"/>
          <w:sz w:val="22"/>
          <w:lang w:eastAsia="fr-FR"/>
        </w:rPr>
        <w:t>, Paris, Belin, coll. Mondes Anciens, 2024.</w:t>
      </w:r>
    </w:p>
    <w:p w14:paraId="6324ADD9" w14:textId="77777777" w:rsidR="00CE1B07" w:rsidRPr="00CB5007" w:rsidRDefault="00CE1B07" w:rsidP="00CE1B07">
      <w:pPr>
        <w:spacing w:after="0" w:line="240" w:lineRule="auto"/>
        <w:ind w:left="284" w:hanging="284"/>
        <w:contextualSpacing/>
        <w:jc w:val="both"/>
        <w:rPr>
          <w:rFonts w:ascii="Cambria" w:hAnsi="Cambria" w:cs="Times New Roman"/>
          <w:b w:val="0"/>
          <w:bCs/>
          <w:iCs/>
          <w:sz w:val="22"/>
        </w:rPr>
      </w:pPr>
      <w:r w:rsidRPr="00CB5007">
        <w:rPr>
          <w:rFonts w:ascii="Cambria" w:hAnsi="Cambria" w:cs="Times New Roman"/>
          <w:b w:val="0"/>
          <w:bCs/>
          <w:iCs/>
          <w:sz w:val="22"/>
        </w:rPr>
        <w:t>*MARTINEZ-SEVE, L., </w:t>
      </w:r>
      <w:r w:rsidRPr="00CB5007">
        <w:rPr>
          <w:rFonts w:ascii="Cambria" w:hAnsi="Cambria" w:cs="Times New Roman"/>
          <w:b w:val="0"/>
          <w:bCs/>
          <w:i/>
          <w:sz w:val="22"/>
        </w:rPr>
        <w:t>Atlas du monde hellénistique (336-31 av. J.-C.). Pouvoir et territoire après Alexandre le Grand</w:t>
      </w:r>
      <w:r w:rsidRPr="00CB5007">
        <w:rPr>
          <w:rFonts w:ascii="Cambria" w:hAnsi="Cambria" w:cs="Times New Roman"/>
          <w:b w:val="0"/>
          <w:bCs/>
          <w:iCs/>
          <w:sz w:val="22"/>
        </w:rPr>
        <w:t>, Paris, 2011 [véritable manuel, accessible en ligne via la BIS].</w:t>
      </w:r>
    </w:p>
    <w:p w14:paraId="112E3DF8" w14:textId="77777777" w:rsidR="00CE1B07" w:rsidRPr="00CB5007" w:rsidRDefault="00CE1B07" w:rsidP="00CE1B07">
      <w:pPr>
        <w:spacing w:after="0" w:line="240" w:lineRule="auto"/>
        <w:ind w:left="284" w:hanging="284"/>
        <w:contextualSpacing/>
        <w:jc w:val="both"/>
        <w:rPr>
          <w:rFonts w:ascii="Cambria" w:hAnsi="Cambria" w:cs="Times New Roman"/>
          <w:b w:val="0"/>
          <w:bCs/>
          <w:iCs/>
          <w:sz w:val="22"/>
        </w:rPr>
      </w:pPr>
    </w:p>
    <w:p w14:paraId="360C084B" w14:textId="77777777" w:rsidR="00CE1B07" w:rsidRPr="00CB5007" w:rsidRDefault="00CE1B07" w:rsidP="00CE1B07">
      <w:pPr>
        <w:spacing w:before="120" w:after="0" w:line="240" w:lineRule="auto"/>
        <w:ind w:left="567" w:hanging="567"/>
        <w:contextualSpacing/>
        <w:jc w:val="both"/>
        <w:rPr>
          <w:rFonts w:ascii="Cambria" w:hAnsi="Cambria" w:cs="Times New Roman"/>
          <w:i/>
          <w:sz w:val="22"/>
        </w:rPr>
      </w:pPr>
      <w:r w:rsidRPr="00CB5007">
        <w:rPr>
          <w:rFonts w:ascii="Cambria" w:hAnsi="Cambria" w:cs="Times New Roman"/>
          <w:i/>
          <w:sz w:val="22"/>
        </w:rPr>
        <w:t xml:space="preserve">Pour une approche plus thématique : </w:t>
      </w:r>
    </w:p>
    <w:p w14:paraId="06A6FDBD" w14:textId="77777777" w:rsidR="00CE1B07" w:rsidRPr="00CB5007" w:rsidRDefault="00CE1B07" w:rsidP="00CE1B07">
      <w:pPr>
        <w:spacing w:after="0" w:line="240" w:lineRule="auto"/>
        <w:ind w:left="567" w:hanging="567"/>
        <w:contextualSpacing/>
        <w:jc w:val="both"/>
        <w:rPr>
          <w:rFonts w:ascii="Cambria" w:hAnsi="Cambria" w:cs="Times New Roman"/>
          <w:b w:val="0"/>
          <w:bCs/>
          <w:iCs/>
          <w:sz w:val="22"/>
        </w:rPr>
      </w:pPr>
      <w:r w:rsidRPr="00CB5007">
        <w:rPr>
          <w:rFonts w:ascii="Cambria" w:hAnsi="Cambria" w:cs="Times New Roman"/>
          <w:b w:val="0"/>
          <w:bCs/>
          <w:iCs/>
          <w:sz w:val="22"/>
        </w:rPr>
        <w:t>ERSKINE, A.</w:t>
      </w:r>
      <w:r w:rsidRPr="00CB5007">
        <w:rPr>
          <w:rFonts w:ascii="Cambria" w:hAnsi="Cambria" w:cs="Times New Roman"/>
          <w:b w:val="0"/>
          <w:bCs/>
          <w:iCs/>
          <w:smallCaps/>
          <w:sz w:val="22"/>
        </w:rPr>
        <w:t xml:space="preserve"> </w:t>
      </w:r>
      <w:r w:rsidRPr="00CB5007">
        <w:rPr>
          <w:rFonts w:ascii="Cambria" w:hAnsi="Cambria" w:cs="Times New Roman"/>
          <w:b w:val="0"/>
          <w:bCs/>
          <w:iCs/>
          <w:sz w:val="22"/>
        </w:rPr>
        <w:t xml:space="preserve">(éd.), </w:t>
      </w:r>
      <w:r w:rsidRPr="00CB5007">
        <w:rPr>
          <w:rFonts w:ascii="Cambria" w:hAnsi="Cambria" w:cs="Times New Roman"/>
          <w:b w:val="0"/>
          <w:bCs/>
          <w:i/>
          <w:sz w:val="22"/>
        </w:rPr>
        <w:t>Le monde hellénistique. Espaces, sociétés, cultures, 323-31 av. J.-C.</w:t>
      </w:r>
      <w:r w:rsidRPr="00CB5007">
        <w:rPr>
          <w:rFonts w:ascii="Cambria" w:hAnsi="Cambria" w:cs="Times New Roman"/>
          <w:b w:val="0"/>
          <w:bCs/>
          <w:iCs/>
          <w:sz w:val="22"/>
        </w:rPr>
        <w:t xml:space="preserve">, trad. fr., Rennes, PUR, 2004. </w:t>
      </w:r>
    </w:p>
    <w:p w14:paraId="4F6102FE" w14:textId="77777777" w:rsidR="00CE1B07" w:rsidRPr="00CB5007" w:rsidRDefault="00CE1B07" w:rsidP="00CE1B07">
      <w:pPr>
        <w:spacing w:after="0" w:line="240" w:lineRule="auto"/>
        <w:ind w:left="567" w:hanging="567"/>
        <w:jc w:val="both"/>
        <w:rPr>
          <w:rFonts w:ascii="Cambria" w:hAnsi="Cambria" w:cs="Times New Roman"/>
          <w:b w:val="0"/>
          <w:bCs/>
          <w:iCs/>
          <w:sz w:val="22"/>
        </w:rPr>
      </w:pPr>
      <w:r w:rsidRPr="00CB5007">
        <w:rPr>
          <w:rFonts w:ascii="Cambria" w:hAnsi="Cambria" w:cs="Times New Roman"/>
          <w:b w:val="0"/>
          <w:bCs/>
          <w:iCs/>
          <w:caps/>
          <w:sz w:val="22"/>
        </w:rPr>
        <w:t>Fröhlich</w:t>
      </w:r>
      <w:r w:rsidRPr="00CB5007">
        <w:rPr>
          <w:rFonts w:ascii="Cambria" w:hAnsi="Cambria" w:cs="Times New Roman"/>
          <w:b w:val="0"/>
          <w:bCs/>
          <w:iCs/>
          <w:sz w:val="22"/>
        </w:rPr>
        <w:t xml:space="preserve">, P., </w:t>
      </w:r>
      <w:r w:rsidRPr="00CB5007">
        <w:rPr>
          <w:rFonts w:ascii="Cambria" w:hAnsi="Cambria" w:cs="Times New Roman"/>
          <w:b w:val="0"/>
          <w:bCs/>
          <w:i/>
          <w:sz w:val="22"/>
        </w:rPr>
        <w:t>L’héritage d’Alexandre : les Grecs en Orient, IV</w:t>
      </w:r>
      <w:r w:rsidRPr="00CB5007">
        <w:rPr>
          <w:rFonts w:ascii="Cambria" w:hAnsi="Cambria" w:cs="Times New Roman"/>
          <w:b w:val="0"/>
          <w:bCs/>
          <w:i/>
          <w:sz w:val="22"/>
          <w:vertAlign w:val="superscript"/>
        </w:rPr>
        <w:t>e</w:t>
      </w:r>
      <w:r w:rsidRPr="00CB5007">
        <w:rPr>
          <w:rFonts w:ascii="Cambria" w:hAnsi="Cambria" w:cs="Times New Roman"/>
          <w:b w:val="0"/>
          <w:bCs/>
          <w:i/>
          <w:sz w:val="22"/>
        </w:rPr>
        <w:t>-I</w:t>
      </w:r>
      <w:r w:rsidRPr="00CB5007">
        <w:rPr>
          <w:rFonts w:ascii="Cambria" w:hAnsi="Cambria" w:cs="Times New Roman"/>
          <w:b w:val="0"/>
          <w:bCs/>
          <w:i/>
          <w:sz w:val="22"/>
          <w:vertAlign w:val="superscript"/>
        </w:rPr>
        <w:t>er</w:t>
      </w:r>
      <w:r w:rsidRPr="00CB5007">
        <w:rPr>
          <w:rFonts w:ascii="Cambria" w:hAnsi="Cambria" w:cs="Times New Roman"/>
          <w:b w:val="0"/>
          <w:bCs/>
          <w:i/>
          <w:sz w:val="22"/>
        </w:rPr>
        <w:t xml:space="preserve"> s. av. J.-C.,</w:t>
      </w:r>
      <w:r w:rsidRPr="00CB5007">
        <w:rPr>
          <w:rFonts w:ascii="Cambria" w:hAnsi="Cambria" w:cs="Times New Roman"/>
          <w:b w:val="0"/>
          <w:bCs/>
          <w:iCs/>
          <w:sz w:val="22"/>
        </w:rPr>
        <w:t xml:space="preserve"> La Documentation Photographique, n° 8040, Paris, La Documentation française, 2004.</w:t>
      </w:r>
    </w:p>
    <w:p w14:paraId="57BCA11D" w14:textId="77777777" w:rsidR="00CE1B07" w:rsidRPr="00CB5007" w:rsidRDefault="00CE1B07" w:rsidP="00CE1B07">
      <w:pPr>
        <w:spacing w:after="0" w:line="240" w:lineRule="auto"/>
        <w:ind w:left="567" w:hanging="567"/>
        <w:jc w:val="both"/>
        <w:rPr>
          <w:rFonts w:ascii="Cambria" w:eastAsia="Times New Roman" w:hAnsi="Cambria" w:cs="Times New Roman"/>
          <w:b w:val="0"/>
          <w:bCs/>
          <w:kern w:val="0"/>
          <w:lang w:val="en-US" w:eastAsia="fr-FR"/>
        </w:rPr>
      </w:pPr>
      <w:r w:rsidRPr="00CB5007">
        <w:rPr>
          <w:rFonts w:ascii="Cambria" w:hAnsi="Cambria" w:cs="Times New Roman"/>
          <w:b w:val="0"/>
          <w:bCs/>
          <w:smallCaps/>
          <w:lang w:val="en-US"/>
        </w:rPr>
        <w:t>MA, J.</w:t>
      </w:r>
      <w:r w:rsidRPr="00CB5007">
        <w:rPr>
          <w:rFonts w:ascii="Cambria" w:hAnsi="Cambria" w:cs="Times New Roman"/>
          <w:b w:val="0"/>
          <w:bCs/>
          <w:lang w:val="en-US"/>
        </w:rPr>
        <w:t xml:space="preserve">, </w:t>
      </w:r>
      <w:r w:rsidRPr="00CB5007">
        <w:rPr>
          <w:rFonts w:ascii="Cambria" w:hAnsi="Cambria" w:cs="Times New Roman"/>
          <w:b w:val="0"/>
          <w:bCs/>
          <w:i/>
          <w:iCs/>
          <w:lang w:val="en-US"/>
        </w:rPr>
        <w:t>Polis: A New History of the Ancient Greek City-State from the Early Iron Age to the End of Antiquity</w:t>
      </w:r>
      <w:r w:rsidRPr="00CB5007">
        <w:rPr>
          <w:rFonts w:ascii="Cambria" w:hAnsi="Cambria" w:cs="Times New Roman"/>
          <w:b w:val="0"/>
          <w:bCs/>
          <w:lang w:val="en-US"/>
        </w:rPr>
        <w:t>, Princeton – Oxford, 2024, p. 153-258</w:t>
      </w:r>
    </w:p>
    <w:p w14:paraId="58C1B7FD" w14:textId="77777777" w:rsidR="00B14011" w:rsidRPr="00CB5007" w:rsidRDefault="00B14011" w:rsidP="00BB50F0">
      <w:pPr>
        <w:spacing w:after="0" w:line="276" w:lineRule="auto"/>
        <w:contextualSpacing/>
        <w:rPr>
          <w:rFonts w:ascii="Cambria" w:hAnsi="Cambria" w:cs="Times New Roman"/>
          <w:color w:val="C00000"/>
          <w:sz w:val="22"/>
          <w:u w:val="single"/>
          <w:lang w:val="en-US"/>
        </w:rPr>
      </w:pPr>
    </w:p>
    <w:p w14:paraId="43A61E8D" w14:textId="77777777" w:rsidR="002455A3" w:rsidRDefault="002455A3" w:rsidP="00033F4E">
      <w:pPr>
        <w:spacing w:after="0" w:line="276" w:lineRule="auto"/>
        <w:contextualSpacing/>
        <w:jc w:val="center"/>
        <w:rPr>
          <w:rFonts w:ascii="Cambria" w:hAnsi="Cambria" w:cs="Times New Roman"/>
          <w:color w:val="C00000"/>
          <w:sz w:val="22"/>
          <w:u w:val="single"/>
          <w:lang w:val="en-US"/>
        </w:rPr>
      </w:pPr>
    </w:p>
    <w:p w14:paraId="200B0508" w14:textId="77777777" w:rsidR="00181168" w:rsidRPr="00CB5007" w:rsidRDefault="00181168" w:rsidP="00033F4E">
      <w:pPr>
        <w:spacing w:after="0" w:line="276" w:lineRule="auto"/>
        <w:contextualSpacing/>
        <w:jc w:val="center"/>
        <w:rPr>
          <w:rFonts w:ascii="Cambria" w:hAnsi="Cambria" w:cs="Times New Roman"/>
          <w:color w:val="C00000"/>
          <w:sz w:val="22"/>
          <w:u w:val="single"/>
          <w:lang w:val="en-US"/>
        </w:rPr>
      </w:pPr>
    </w:p>
    <w:p w14:paraId="4206A4F7" w14:textId="29B83B19" w:rsidR="00033F4E" w:rsidRPr="00CB5007" w:rsidRDefault="00033F4E" w:rsidP="00D35F7D">
      <w:pPr>
        <w:spacing w:after="0" w:line="276" w:lineRule="auto"/>
        <w:contextualSpacing/>
        <w:rPr>
          <w:rFonts w:ascii="Cambria" w:hAnsi="Cambria" w:cs="Times New Roman"/>
          <w:color w:val="B71E42" w:themeColor="accent1"/>
          <w:sz w:val="22"/>
        </w:rPr>
      </w:pPr>
      <w:r w:rsidRPr="00CB5007">
        <w:rPr>
          <w:rFonts w:ascii="Cambria" w:hAnsi="Cambria" w:cs="Times New Roman"/>
          <w:color w:val="B71E42" w:themeColor="accent1"/>
          <w:sz w:val="22"/>
          <w:u w:val="single"/>
        </w:rPr>
        <w:t>Sujet du cours</w:t>
      </w:r>
      <w:r w:rsidR="00D52685" w:rsidRPr="00CB5007">
        <w:rPr>
          <w:rFonts w:ascii="Cambria" w:hAnsi="Cambria" w:cs="Times New Roman"/>
          <w:color w:val="B71E42" w:themeColor="accent1"/>
          <w:sz w:val="22"/>
          <w:u w:val="single"/>
        </w:rPr>
        <w:t xml:space="preserve"> semestre 2</w:t>
      </w:r>
      <w:r w:rsidRPr="00CB5007">
        <w:rPr>
          <w:rFonts w:ascii="Cambria" w:hAnsi="Cambria" w:cs="Times New Roman"/>
          <w:color w:val="B71E42" w:themeColor="accent1"/>
          <w:sz w:val="22"/>
        </w:rPr>
        <w:t> : « L’Égypte hellénistique (323-30 av. n.è) »</w:t>
      </w:r>
    </w:p>
    <w:p w14:paraId="7CDD2545" w14:textId="77777777" w:rsidR="00033F4E" w:rsidRPr="00CB5007" w:rsidRDefault="00033F4E" w:rsidP="00033F4E">
      <w:pPr>
        <w:spacing w:after="0" w:line="276" w:lineRule="auto"/>
        <w:contextualSpacing/>
        <w:jc w:val="center"/>
        <w:rPr>
          <w:rFonts w:ascii="Cambria" w:hAnsi="Cambria" w:cs="Times New Roman"/>
          <w:color w:val="008000"/>
          <w:sz w:val="22"/>
        </w:rPr>
      </w:pPr>
    </w:p>
    <w:p w14:paraId="4AEBB935" w14:textId="77777777" w:rsidR="00033F4E" w:rsidRPr="00CB5007" w:rsidRDefault="00033F4E" w:rsidP="00033F4E">
      <w:pPr>
        <w:widowControl w:val="0"/>
        <w:autoSpaceDE w:val="0"/>
        <w:autoSpaceDN w:val="0"/>
        <w:adjustRightInd w:val="0"/>
        <w:spacing w:after="0" w:line="276" w:lineRule="auto"/>
        <w:jc w:val="both"/>
        <w:rPr>
          <w:rFonts w:ascii="Cambria" w:eastAsia="Cambria" w:hAnsi="Cambria" w:cs="Times New Roman"/>
          <w:b w:val="0"/>
          <w:color w:val="000000" w:themeColor="text1"/>
          <w:kern w:val="0"/>
          <w:sz w:val="22"/>
          <w:lang w:eastAsia="en-US"/>
        </w:rPr>
      </w:pPr>
      <w:r w:rsidRPr="00CB5007">
        <w:rPr>
          <w:rFonts w:ascii="Cambria" w:eastAsia="Cambria" w:hAnsi="Cambria" w:cs="Times New Roman"/>
          <w:b w:val="0"/>
          <w:color w:val="000000" w:themeColor="text1"/>
          <w:kern w:val="0"/>
          <w:sz w:val="22"/>
          <w:lang w:eastAsia="en-US"/>
        </w:rPr>
        <w:t>La mort d’Alexandre le Grand en 323 av. n.è, à Babylone, ouvre sur une nouvelle période de l’histoire multimillénaire de l’Egypte, la période hellénistique. Dès l’instauration de la dynastie par Ptolémée fils de Lagos, de nouvelles pratiques du pouvoir se mettent en place dans le territoire égyptien ; elles engendrent au cours des trois siècles de domination gréco-macédonienne des transformations profondes de nature administrative, militaire, économique et sociale. La culture traditionnelle égyptienne se maintient cependant. Les Ptolémées sont à la fois des rois grecs et des pharaons. L’Egypte se caractérise dès lors par les contacts, nombreux et féconds, entre élites hellénophones et Egyptiens. Ces interactions coexistent avec des formes de résistance au pouvoir des Ptolémées qui se manifestent dès la fin du III</w:t>
      </w:r>
      <w:r w:rsidRPr="00CB5007">
        <w:rPr>
          <w:rFonts w:ascii="Cambria" w:eastAsia="Cambria" w:hAnsi="Cambria" w:cs="Times New Roman"/>
          <w:b w:val="0"/>
          <w:color w:val="000000" w:themeColor="text1"/>
          <w:kern w:val="0"/>
          <w:sz w:val="22"/>
          <w:vertAlign w:val="superscript"/>
          <w:lang w:eastAsia="en-US"/>
        </w:rPr>
        <w:t>e</w:t>
      </w:r>
      <w:r w:rsidRPr="00CB5007">
        <w:rPr>
          <w:rFonts w:ascii="Cambria" w:eastAsia="Cambria" w:hAnsi="Cambria" w:cs="Times New Roman"/>
          <w:b w:val="0"/>
          <w:color w:val="000000" w:themeColor="text1"/>
          <w:kern w:val="0"/>
          <w:sz w:val="22"/>
          <w:lang w:eastAsia="en-US"/>
        </w:rPr>
        <w:t xml:space="preserve"> s. av. J.-C., et mettent à mal le contrôle du territoire, l’encadrement des personnes et l’acquisition des revenus fiscaux par la couronne. La complexité des relations établies entre les habitants du royaume des Ptolémées est accrue par l’importance d’une diaspora juive fidèle au monothéisme, mais qui s’est hellénisée tant à Alexandrie que dans la </w:t>
      </w:r>
      <w:r w:rsidRPr="00CB5007">
        <w:rPr>
          <w:rFonts w:ascii="Cambria" w:eastAsia="Cambria" w:hAnsi="Cambria" w:cs="Times New Roman"/>
          <w:b w:val="0"/>
          <w:i/>
          <w:iCs/>
          <w:color w:val="000000" w:themeColor="text1"/>
          <w:kern w:val="0"/>
          <w:sz w:val="22"/>
          <w:lang w:eastAsia="en-US"/>
        </w:rPr>
        <w:t>chôra</w:t>
      </w:r>
      <w:r w:rsidRPr="00CB5007">
        <w:rPr>
          <w:rFonts w:ascii="Cambria" w:eastAsia="Cambria" w:hAnsi="Cambria" w:cs="Times New Roman"/>
          <w:b w:val="0"/>
          <w:color w:val="000000" w:themeColor="text1"/>
          <w:kern w:val="0"/>
          <w:sz w:val="22"/>
          <w:lang w:eastAsia="en-US"/>
        </w:rPr>
        <w:t>. L’un des enjeux sera donc d’appréhender les formes de contacts entre les cultures qui cohabitent au sein d’une société multiculturelle dans la vallée du Nil et dans les oasis. Le cours se conclut avec le règne de Cléopâtre VII (51-30 av. n.è), la dernière reine ptolémaïque.</w:t>
      </w:r>
    </w:p>
    <w:p w14:paraId="502D0AE2" w14:textId="77777777" w:rsidR="00033F4E" w:rsidRPr="00CB5007" w:rsidRDefault="00033F4E" w:rsidP="00033F4E">
      <w:pPr>
        <w:widowControl w:val="0"/>
        <w:autoSpaceDE w:val="0"/>
        <w:autoSpaceDN w:val="0"/>
        <w:adjustRightInd w:val="0"/>
        <w:spacing w:after="0" w:line="360" w:lineRule="auto"/>
        <w:jc w:val="both"/>
        <w:rPr>
          <w:rFonts w:ascii="Cambria" w:eastAsia="Cambria" w:hAnsi="Cambria" w:cs="Times New Roman"/>
          <w:b w:val="0"/>
          <w:color w:val="000000" w:themeColor="text1"/>
          <w:kern w:val="0"/>
          <w:sz w:val="22"/>
          <w:lang w:eastAsia="en-US"/>
        </w:rPr>
      </w:pPr>
    </w:p>
    <w:p w14:paraId="6B0757C4" w14:textId="77777777" w:rsidR="00033F4E" w:rsidRPr="00CB5007" w:rsidRDefault="00033F4E" w:rsidP="00033F4E">
      <w:pPr>
        <w:widowControl w:val="0"/>
        <w:autoSpaceDE w:val="0"/>
        <w:autoSpaceDN w:val="0"/>
        <w:adjustRightInd w:val="0"/>
        <w:spacing w:after="0" w:line="360" w:lineRule="auto"/>
        <w:rPr>
          <w:rFonts w:ascii="Cambria" w:eastAsia="Cambria" w:hAnsi="Cambria" w:cs="Times New Roman"/>
          <w:bCs/>
          <w:color w:val="000000" w:themeColor="text1"/>
          <w:kern w:val="0"/>
          <w:sz w:val="22"/>
          <w:lang w:eastAsia="en-US"/>
        </w:rPr>
      </w:pPr>
      <w:r w:rsidRPr="00CB5007">
        <w:rPr>
          <w:rFonts w:ascii="Cambria" w:eastAsia="Cambria" w:hAnsi="Cambria" w:cs="Times New Roman"/>
          <w:bCs/>
          <w:color w:val="000000" w:themeColor="text1"/>
          <w:kern w:val="0"/>
          <w:sz w:val="22"/>
          <w:lang w:eastAsia="en-US"/>
        </w:rPr>
        <w:t>Bibliographie de base</w:t>
      </w:r>
    </w:p>
    <w:p w14:paraId="13BEE7FA"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AGUT, D., MORENO-GARCIA, J.-C., L’Egypte des Pharaons. De Narmer à Dioclétien, 3150 av. J.-C. – 284 apr. J.-C., Paris, 2016.</w:t>
      </w:r>
    </w:p>
    <w:p w14:paraId="1DD61958"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BALLET, P., La vie quotidienne à Alexandrie, 331-30 av. n.è, Hachette, La Vie quotidienne, 1999.</w:t>
      </w:r>
    </w:p>
    <w:p w14:paraId="39970F4C"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CHAUVEAU, M., </w:t>
      </w:r>
      <w:r w:rsidRPr="00CB5007">
        <w:rPr>
          <w:rFonts w:ascii="Cambria" w:hAnsi="Cambria"/>
          <w:i/>
          <w:iCs/>
          <w:color w:val="000000" w:themeColor="text1"/>
        </w:rPr>
        <w:t>L’Egypte au temps de Cléopâtre</w:t>
      </w:r>
      <w:r w:rsidRPr="00CB5007">
        <w:rPr>
          <w:rFonts w:ascii="Cambria" w:hAnsi="Cambria"/>
          <w:i/>
          <w:color w:val="000000" w:themeColor="text1"/>
        </w:rPr>
        <w:t>, Hachette, La Vie quotidienne, 1997.</w:t>
      </w:r>
    </w:p>
    <w:p w14:paraId="7332B7A4" w14:textId="77777777" w:rsidR="00033F4E" w:rsidRPr="00CB5007" w:rsidRDefault="00033F4E" w:rsidP="00033F4E">
      <w:pPr>
        <w:pStyle w:val="Sansinterligne"/>
        <w:jc w:val="both"/>
        <w:rPr>
          <w:rFonts w:ascii="Cambria" w:hAnsi="Cambria"/>
          <w:i/>
          <w:color w:val="000000" w:themeColor="text1"/>
          <w:lang w:val="en-US"/>
        </w:rPr>
      </w:pPr>
      <w:r w:rsidRPr="00CB5007">
        <w:rPr>
          <w:rFonts w:ascii="Cambria" w:hAnsi="Cambria"/>
          <w:i/>
          <w:color w:val="000000" w:themeColor="text1"/>
          <w:lang w:val="en-US"/>
        </w:rPr>
        <w:t>FISCHER-BOVET, Chr., Army and Society in Ptolemaic Egypt, Cambridge, 2014.</w:t>
      </w:r>
    </w:p>
    <w:p w14:paraId="62184B16" w14:textId="77777777" w:rsidR="00B12986" w:rsidRPr="00CB5007" w:rsidRDefault="00B12986" w:rsidP="00033F4E">
      <w:pPr>
        <w:pStyle w:val="Sansinterligne"/>
        <w:jc w:val="both"/>
        <w:rPr>
          <w:rFonts w:ascii="Cambria" w:hAnsi="Cambria"/>
          <w:i/>
          <w:color w:val="000000" w:themeColor="text1"/>
          <w:lang w:val="en-US"/>
        </w:rPr>
      </w:pPr>
    </w:p>
    <w:p w14:paraId="42D124D2" w14:textId="77777777" w:rsidR="00B12986" w:rsidRPr="00CB5007" w:rsidRDefault="00B12986" w:rsidP="00033F4E">
      <w:pPr>
        <w:pStyle w:val="Sansinterligne"/>
        <w:jc w:val="both"/>
        <w:rPr>
          <w:rFonts w:ascii="Cambria" w:hAnsi="Cambria"/>
          <w:i/>
          <w:color w:val="000000" w:themeColor="text1"/>
          <w:lang w:val="en-US"/>
        </w:rPr>
      </w:pPr>
    </w:p>
    <w:p w14:paraId="4990C11B" w14:textId="77777777" w:rsidR="00B12986" w:rsidRPr="00CB5007" w:rsidRDefault="00B12986" w:rsidP="00033F4E">
      <w:pPr>
        <w:pStyle w:val="Sansinterligne"/>
        <w:jc w:val="both"/>
        <w:rPr>
          <w:rFonts w:ascii="Cambria" w:hAnsi="Cambria"/>
          <w:i/>
          <w:color w:val="000000" w:themeColor="text1"/>
          <w:lang w:val="en-US"/>
        </w:rPr>
      </w:pPr>
    </w:p>
    <w:p w14:paraId="1D995112" w14:textId="514D0BF0" w:rsidR="00FC6A6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GANGLOFF, A., GORRE, G., Le corps des souverains dans les mondes hellénistique et romain, Rennes, 2022.</w:t>
      </w:r>
    </w:p>
    <w:p w14:paraId="741AB3D1" w14:textId="38B54809"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GORRE, G., Les relations du clergé égyptien et des Lagides d'après les sources privées, Louvain, 2009.</w:t>
      </w:r>
    </w:p>
    <w:p w14:paraId="3F715921" w14:textId="77777777" w:rsidR="00033F4E" w:rsidRPr="00CB5007" w:rsidRDefault="00033F4E" w:rsidP="00033F4E">
      <w:pPr>
        <w:pStyle w:val="Sansinterligne"/>
        <w:jc w:val="both"/>
        <w:rPr>
          <w:rFonts w:ascii="Cambria" w:hAnsi="Cambria"/>
          <w:b/>
          <w:i/>
          <w:color w:val="000000" w:themeColor="text1"/>
          <w:lang w:val="en-US"/>
        </w:rPr>
      </w:pPr>
      <w:r w:rsidRPr="00CB5007">
        <w:rPr>
          <w:rFonts w:ascii="Cambria" w:hAnsi="Cambria"/>
          <w:i/>
          <w:color w:val="000000" w:themeColor="text1"/>
          <w:lang w:val="en-US"/>
        </w:rPr>
        <w:t>HÖLBL, G., A History of the Ptolemaic Empire, Londres-New-York, 2001</w:t>
      </w:r>
      <w:r w:rsidRPr="00CB5007">
        <w:rPr>
          <w:rFonts w:ascii="Cambria" w:hAnsi="Cambria"/>
          <w:b/>
          <w:i/>
          <w:color w:val="000000" w:themeColor="text1"/>
          <w:lang w:val="en-US"/>
        </w:rPr>
        <w:t>.</w:t>
      </w:r>
    </w:p>
    <w:p w14:paraId="7A7518BB"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LEGRAS, B., </w:t>
      </w:r>
      <w:r w:rsidRPr="00CB5007">
        <w:rPr>
          <w:rFonts w:ascii="Cambria" w:hAnsi="Cambria"/>
          <w:i/>
          <w:iCs/>
          <w:color w:val="000000" w:themeColor="text1"/>
        </w:rPr>
        <w:t>L’Egypte grecque et romaine</w:t>
      </w:r>
      <w:r w:rsidRPr="00CB5007">
        <w:rPr>
          <w:rFonts w:ascii="Cambria" w:hAnsi="Cambria"/>
          <w:i/>
          <w:color w:val="000000" w:themeColor="text1"/>
        </w:rPr>
        <w:t>, A. Colin, U, 2</w:t>
      </w:r>
      <w:r w:rsidRPr="00CB5007">
        <w:rPr>
          <w:rFonts w:ascii="Cambria" w:hAnsi="Cambria"/>
          <w:i/>
          <w:color w:val="000000" w:themeColor="text1"/>
          <w:vertAlign w:val="superscript"/>
        </w:rPr>
        <w:t>e</w:t>
      </w:r>
      <w:r w:rsidRPr="00CB5007">
        <w:rPr>
          <w:rFonts w:ascii="Cambria" w:hAnsi="Cambria"/>
          <w:i/>
          <w:color w:val="000000" w:themeColor="text1"/>
        </w:rPr>
        <w:t xml:space="preserve"> éd., 2009.</w:t>
      </w:r>
    </w:p>
    <w:p w14:paraId="7942C4A7"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LE RIDER G., CALLATAŸ F. de, Les Séleucides et les Ptolémées: l’héritage monétaire et financier d’Alexandre le Grand, Monaco, 2006. </w:t>
      </w:r>
    </w:p>
    <w:p w14:paraId="117F2B4A"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MÉLÈZE-MODRZEJEWSKI J., </w:t>
      </w:r>
      <w:r w:rsidRPr="00CB5007">
        <w:rPr>
          <w:rFonts w:ascii="Cambria" w:hAnsi="Cambria"/>
          <w:i/>
          <w:iCs/>
          <w:color w:val="000000" w:themeColor="text1"/>
        </w:rPr>
        <w:t>Les Juifs d’Egypte de Ramsès II à Hadrien</w:t>
      </w:r>
      <w:r w:rsidRPr="00CB5007">
        <w:rPr>
          <w:rFonts w:ascii="Cambria" w:hAnsi="Cambria"/>
          <w:i/>
          <w:color w:val="000000" w:themeColor="text1"/>
        </w:rPr>
        <w:t>, PUF, Quadrige, 1997.</w:t>
      </w:r>
    </w:p>
    <w:p w14:paraId="56AC69A8" w14:textId="77777777" w:rsidR="00033F4E" w:rsidRPr="00CB5007" w:rsidRDefault="00033F4E" w:rsidP="00033F4E">
      <w:pPr>
        <w:pStyle w:val="Sansinterligne"/>
        <w:jc w:val="both"/>
        <w:rPr>
          <w:rFonts w:ascii="Cambria" w:hAnsi="Cambria"/>
          <w:i/>
          <w:color w:val="000000" w:themeColor="text1"/>
          <w:lang w:val="en-US"/>
        </w:rPr>
      </w:pPr>
      <w:r w:rsidRPr="00CB5007">
        <w:rPr>
          <w:rFonts w:ascii="Cambria" w:hAnsi="Cambria"/>
          <w:i/>
          <w:color w:val="000000" w:themeColor="text1"/>
          <w:lang w:val="en-US"/>
        </w:rPr>
        <w:t>MONSON A., From the Ptolemies to the Romans: Political and Economic Change in Egypt, Cambridge, 2012.</w:t>
      </w:r>
    </w:p>
    <w:p w14:paraId="2F5E3F94"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VEÏSSE, A.-E., Les « révoltes égyptiennes ». Recherches sur les troubles intérieurs en Égypte du règne de Ptolémée III à la conquête romaine. (Stud.Hell. 41), Leuven, 2004.</w:t>
      </w:r>
    </w:p>
    <w:p w14:paraId="4DB9D9AC" w14:textId="77777777" w:rsidR="00033F4E" w:rsidRPr="00CB5007" w:rsidRDefault="00033F4E" w:rsidP="00033F4E">
      <w:pPr>
        <w:spacing w:after="0" w:line="360" w:lineRule="auto"/>
        <w:contextualSpacing/>
        <w:jc w:val="center"/>
        <w:rPr>
          <w:rFonts w:ascii="Cambria" w:hAnsi="Cambria" w:cs="Times New Roman"/>
          <w:i/>
          <w:color w:val="008000"/>
          <w:sz w:val="22"/>
          <w:lang w:eastAsia="en-US"/>
        </w:rPr>
      </w:pPr>
    </w:p>
    <w:p w14:paraId="7279B907" w14:textId="77777777" w:rsidR="00F9619A" w:rsidRPr="00CB5007" w:rsidRDefault="00F9619A" w:rsidP="00F9619A">
      <w:pPr>
        <w:spacing w:after="0" w:line="360" w:lineRule="auto"/>
        <w:contextualSpacing/>
        <w:rPr>
          <w:rFonts w:ascii="Cambria" w:hAnsi="Cambria" w:cs="Times New Roman"/>
          <w:i/>
          <w:color w:val="C00000"/>
          <w:sz w:val="22"/>
          <w:lang w:eastAsia="en-US"/>
        </w:rPr>
      </w:pPr>
    </w:p>
    <w:p w14:paraId="38E5F639"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1D07D9BB"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03C46C6A"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3D09C05A"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3BF83647"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0F1B861B"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5B26CC01" w14:textId="77777777" w:rsidR="001442D1" w:rsidRPr="00CB5007" w:rsidRDefault="001442D1" w:rsidP="00F9619A">
      <w:pPr>
        <w:spacing w:after="0" w:line="360" w:lineRule="auto"/>
        <w:contextualSpacing/>
        <w:rPr>
          <w:rFonts w:ascii="Cambria" w:hAnsi="Cambria"/>
          <w:i/>
          <w:color w:val="C00000"/>
          <w:sz w:val="28"/>
          <w:lang w:eastAsia="en-US"/>
        </w:rPr>
      </w:pPr>
    </w:p>
    <w:p w14:paraId="13F4C7FF" w14:textId="77777777" w:rsidR="001442D1" w:rsidRPr="00CB5007" w:rsidRDefault="001442D1" w:rsidP="00F9619A">
      <w:pPr>
        <w:spacing w:after="0" w:line="360" w:lineRule="auto"/>
        <w:contextualSpacing/>
        <w:rPr>
          <w:rFonts w:ascii="Cambria" w:hAnsi="Cambria"/>
          <w:i/>
          <w:color w:val="C00000"/>
          <w:sz w:val="28"/>
          <w:lang w:eastAsia="en-US"/>
        </w:rPr>
      </w:pPr>
    </w:p>
    <w:p w14:paraId="69FC61F3" w14:textId="77777777" w:rsidR="001442D1" w:rsidRPr="00CB5007" w:rsidRDefault="001442D1" w:rsidP="00F9619A">
      <w:pPr>
        <w:spacing w:after="0" w:line="360" w:lineRule="auto"/>
        <w:contextualSpacing/>
        <w:rPr>
          <w:rFonts w:ascii="Cambria" w:hAnsi="Cambria"/>
          <w:i/>
          <w:color w:val="C00000"/>
          <w:sz w:val="28"/>
          <w:lang w:eastAsia="en-US"/>
        </w:rPr>
      </w:pPr>
    </w:p>
    <w:p w14:paraId="24FA610B" w14:textId="77777777" w:rsidR="00757E2A" w:rsidRDefault="00757E2A" w:rsidP="00F9619A">
      <w:pPr>
        <w:spacing w:after="0" w:line="360" w:lineRule="auto"/>
        <w:contextualSpacing/>
        <w:rPr>
          <w:rFonts w:ascii="Cambria" w:hAnsi="Cambria"/>
          <w:i/>
          <w:color w:val="C00000"/>
          <w:sz w:val="28"/>
          <w:lang w:eastAsia="en-US"/>
        </w:rPr>
      </w:pPr>
    </w:p>
    <w:p w14:paraId="482C8127" w14:textId="77777777" w:rsidR="00C640C7" w:rsidRPr="00CB5007" w:rsidRDefault="00C640C7" w:rsidP="00F9619A">
      <w:pPr>
        <w:spacing w:after="0" w:line="360" w:lineRule="auto"/>
        <w:contextualSpacing/>
        <w:rPr>
          <w:rFonts w:ascii="Cambria" w:hAnsi="Cambria"/>
          <w:i/>
          <w:color w:val="C00000"/>
          <w:sz w:val="28"/>
          <w:lang w:eastAsia="en-US"/>
        </w:rPr>
      </w:pPr>
    </w:p>
    <w:p w14:paraId="02CECFEA" w14:textId="632ADC56" w:rsidR="007F10C0" w:rsidRPr="00CB5007" w:rsidRDefault="00193A9C" w:rsidP="00F9619A">
      <w:pPr>
        <w:spacing w:after="0" w:line="360" w:lineRule="auto"/>
        <w:contextualSpacing/>
        <w:rPr>
          <w:rFonts w:ascii="Cambria" w:hAnsi="Cambria"/>
          <w:i/>
          <w:color w:val="C00000"/>
          <w:sz w:val="28"/>
          <w:lang w:eastAsia="en-US"/>
        </w:rPr>
      </w:pPr>
      <w:r w:rsidRPr="00CB5007">
        <w:rPr>
          <w:rFonts w:ascii="Cambria" w:hAnsi="Cambria"/>
          <w:i/>
          <w:color w:val="C00000"/>
          <w:sz w:val="28"/>
          <w:lang w:eastAsia="en-US"/>
        </w:rPr>
        <w:t xml:space="preserve">   </w:t>
      </w:r>
    </w:p>
    <w:p w14:paraId="48BD8A61" w14:textId="2073A411" w:rsidR="00356D03" w:rsidRPr="00CB5007" w:rsidRDefault="00356D03" w:rsidP="005D550F">
      <w:pPr>
        <w:spacing w:after="0" w:line="360" w:lineRule="auto"/>
        <w:contextualSpacing/>
        <w:jc w:val="center"/>
        <w:rPr>
          <w:rFonts w:ascii="Cambria" w:hAnsi="Cambria"/>
          <w:i/>
          <w:color w:val="C00000"/>
          <w:sz w:val="28"/>
          <w:lang w:eastAsia="en-US"/>
        </w:rPr>
      </w:pPr>
      <w:r w:rsidRPr="00CB5007">
        <w:rPr>
          <w:rFonts w:ascii="Cambria" w:hAnsi="Cambria"/>
          <w:i/>
          <w:color w:val="C00000"/>
          <w:sz w:val="28"/>
          <w:lang w:eastAsia="en-US"/>
        </w:rPr>
        <w:t>J3010719/J3010819 : Histoire de l'Empire romain</w:t>
      </w:r>
    </w:p>
    <w:p w14:paraId="509FC8AF" w14:textId="77777777" w:rsidR="0041613F" w:rsidRPr="00CB5007" w:rsidRDefault="0041613F" w:rsidP="005D550F">
      <w:pPr>
        <w:spacing w:after="0" w:line="360" w:lineRule="auto"/>
        <w:contextualSpacing/>
        <w:jc w:val="center"/>
        <w:rPr>
          <w:rFonts w:ascii="Cambria" w:hAnsi="Cambria"/>
          <w:i/>
          <w:color w:val="C00000"/>
          <w:sz w:val="28"/>
          <w:lang w:eastAsia="en-US"/>
        </w:rPr>
      </w:pPr>
    </w:p>
    <w:p w14:paraId="39AEFE99" w14:textId="3A2E6F3D" w:rsidR="00E47587" w:rsidRPr="00CB5007" w:rsidRDefault="00E47587" w:rsidP="005D550F">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François Chausson (CM), Zheira </w:t>
      </w:r>
      <w:r w:rsidR="009473F2" w:rsidRPr="00CB5007">
        <w:rPr>
          <w:rFonts w:ascii="Cambria" w:hAnsi="Cambria" w:cs="Times New Roman"/>
          <w:sz w:val="22"/>
          <w:lang w:eastAsia="en-US"/>
        </w:rPr>
        <w:t>Kasdi</w:t>
      </w:r>
      <w:r w:rsidR="00C6487C">
        <w:rPr>
          <w:rFonts w:ascii="Cambria" w:hAnsi="Cambria" w:cs="Times New Roman"/>
          <w:sz w:val="22"/>
          <w:lang w:eastAsia="en-US"/>
        </w:rPr>
        <w:t>, Rémi Lafontaine</w:t>
      </w:r>
      <w:r w:rsidR="009473F2" w:rsidRPr="00CB5007">
        <w:rPr>
          <w:rFonts w:ascii="Cambria" w:hAnsi="Cambria" w:cs="Times New Roman"/>
          <w:sz w:val="22"/>
          <w:lang w:eastAsia="en-US"/>
        </w:rPr>
        <w:t xml:space="preserve"> (</w:t>
      </w:r>
      <w:r w:rsidRPr="00CB5007">
        <w:rPr>
          <w:rFonts w:ascii="Cambria" w:hAnsi="Cambria" w:cs="Times New Roman"/>
          <w:sz w:val="22"/>
          <w:lang w:eastAsia="en-US"/>
        </w:rPr>
        <w:t>TD)</w:t>
      </w:r>
    </w:p>
    <w:p w14:paraId="6E560C62" w14:textId="77777777" w:rsidR="005D550F" w:rsidRPr="00CB5007" w:rsidRDefault="005D550F" w:rsidP="005D550F">
      <w:pPr>
        <w:spacing w:after="0" w:line="360" w:lineRule="auto"/>
        <w:contextualSpacing/>
        <w:jc w:val="center"/>
        <w:rPr>
          <w:rFonts w:ascii="Cambria" w:hAnsi="Cambria" w:cs="Times New Roman"/>
          <w:sz w:val="22"/>
          <w:lang w:eastAsia="en-US"/>
        </w:rPr>
      </w:pPr>
    </w:p>
    <w:p w14:paraId="096A124C" w14:textId="77777777" w:rsidR="00E47587" w:rsidRPr="009C19B8" w:rsidRDefault="00E47587" w:rsidP="005D550F">
      <w:pPr>
        <w:spacing w:after="0" w:line="360" w:lineRule="auto"/>
        <w:contextualSpacing/>
        <w:rPr>
          <w:rFonts w:ascii="Cambria" w:hAnsi="Cambria" w:cs="Times New Roman"/>
          <w:color w:val="C00000"/>
          <w:sz w:val="22"/>
        </w:rPr>
      </w:pPr>
      <w:r w:rsidRPr="009C19B8">
        <w:rPr>
          <w:rFonts w:ascii="Cambria" w:hAnsi="Cambria" w:cs="Times New Roman"/>
          <w:color w:val="C00000"/>
          <w:sz w:val="22"/>
          <w:u w:val="single"/>
        </w:rPr>
        <w:t>Sujet du cours</w:t>
      </w:r>
      <w:r w:rsidRPr="009C19B8">
        <w:rPr>
          <w:rFonts w:ascii="Cambria" w:hAnsi="Cambria" w:cs="Times New Roman"/>
          <w:color w:val="C00000"/>
          <w:sz w:val="22"/>
        </w:rPr>
        <w:t> : L’empereur romain sous les Antonins et les Sévères</w:t>
      </w:r>
    </w:p>
    <w:p w14:paraId="2576B591" w14:textId="6A6D9F3C" w:rsidR="00E47587" w:rsidRPr="009C19B8" w:rsidRDefault="00E47587" w:rsidP="005D550F">
      <w:pPr>
        <w:spacing w:after="0" w:line="360" w:lineRule="auto"/>
        <w:contextualSpacing/>
        <w:rPr>
          <w:rFonts w:ascii="Cambria" w:hAnsi="Cambria" w:cs="Times New Roman"/>
          <w:color w:val="C00000"/>
          <w:sz w:val="22"/>
        </w:rPr>
      </w:pPr>
      <w:r w:rsidRPr="009C19B8">
        <w:rPr>
          <w:rFonts w:ascii="Cambria" w:hAnsi="Cambria" w:cs="Times New Roman"/>
          <w:color w:val="C00000"/>
          <w:sz w:val="22"/>
        </w:rPr>
        <w:t>(96-235 ap. J.-C.) </w:t>
      </w:r>
    </w:p>
    <w:p w14:paraId="56203BE3"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Les dynasties antonine (96-192 ap. J.-C.) et sévérienne (193-235 ap. J.-C.) offrent un point privilégié d’étude de l’Empire romain à travers la figure du pouvoir suprême, l’empereur. Ces dynasties souffrent d’une historiographie souvent déformante, parfois depuis l’Antiquité même : les Antonins sont idéalisés, comme étant de bons princes procédant au « choix du meilleur » pour assurer la succession impériale, tandis que la famille sévérienne, mi-africaine mi- syrienne, aurait pris et conservé le pouvoir à grands renforts d’intrigues.</w:t>
      </w:r>
    </w:p>
    <w:p w14:paraId="2DA666DB"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Pourtant une analyse précise des événements politiques et de l’exercice des formes du pouvoir impérial met à mal ces idées reçues, souvent bâties intentionnellement par des auteurs antiques et partisans.</w:t>
      </w:r>
    </w:p>
    <w:p w14:paraId="63C4AEE8"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À la fois magistrat et autocrate, l’empereur romain domine la vie d’un Empire mondial. Il assure la guerre, l’administration d’une bonne partie des provinces. Il contrôle les aristocraties de gouvernement (sénateurs, chevaliers). Garant du bon fonctionnement de la vie religieuse, il fait aussi l’objet de formes cultuelles, à Rome, en Italie et dans les provinces.</w:t>
      </w:r>
    </w:p>
    <w:p w14:paraId="0B76E1D6"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6AC28344" w14:textId="77777777" w:rsidR="00E47587" w:rsidRPr="00CB5007" w:rsidRDefault="00E47587" w:rsidP="00E47587">
      <w:pPr>
        <w:tabs>
          <w:tab w:val="left" w:pos="5103"/>
        </w:tabs>
        <w:spacing w:after="0" w:line="240" w:lineRule="auto"/>
        <w:contextualSpacing/>
        <w:rPr>
          <w:rFonts w:ascii="Cambria" w:hAnsi="Cambria" w:cs="Times New Roman"/>
          <w:color w:val="C00000"/>
          <w:sz w:val="22"/>
        </w:rPr>
      </w:pPr>
      <w:r w:rsidRPr="00CB5007">
        <w:rPr>
          <w:rFonts w:ascii="Cambria" w:hAnsi="Cambria" w:cs="Times New Roman"/>
          <w:color w:val="C00000"/>
          <w:sz w:val="22"/>
        </w:rPr>
        <w:t>Semestre 1 : L’empereur romain de l’avènement de Nerva à la mort d’Antonin le Pieux (96-161 ap. J.-C.)</w:t>
      </w:r>
    </w:p>
    <w:p w14:paraId="4332AE35"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0A51ED51"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 xml:space="preserve">La période couvrant les règnes de Nerva (96-98), Trajan (98-117), Hadrien (117-138), Antonin le Pieux (138-161), s’ouvre en 96 par une transition impériale au sein d’un même groupe de favoris de Domitien (dernier empereur flavien) et la mise en place progressive d’une dynastie très particulière, à la fois italienne, espagnole et gauloise. Guerres aux frontières, menaces intérieures, rivalités dynastiques, séjours provinciaux ou concentration sur l’Italie, innovations religieuses marquent l’activité du prince, lors d’une </w:t>
      </w:r>
      <w:r w:rsidRPr="00CB5007">
        <w:rPr>
          <w:rFonts w:ascii="Cambria" w:hAnsi="Cambria" w:cs="Times New Roman"/>
          <w:b w:val="0"/>
          <w:i/>
          <w:iCs/>
          <w:sz w:val="22"/>
          <w:lang w:eastAsia="en-US"/>
        </w:rPr>
        <w:t>pax Romana</w:t>
      </w:r>
      <w:r w:rsidRPr="00CB5007">
        <w:rPr>
          <w:rFonts w:ascii="Cambria" w:hAnsi="Cambria" w:cs="Times New Roman"/>
          <w:b w:val="0"/>
          <w:sz w:val="22"/>
          <w:lang w:eastAsia="en-US"/>
        </w:rPr>
        <w:t xml:space="preserve"> relevant du mythe historiographique.</w:t>
      </w:r>
    </w:p>
    <w:p w14:paraId="0409E989"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0B50ED96"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3AB74B8A" w14:textId="0A82B77D" w:rsidR="00E47587" w:rsidRDefault="00E47587" w:rsidP="00E47587">
      <w:pPr>
        <w:tabs>
          <w:tab w:val="left" w:pos="5103"/>
        </w:tabs>
        <w:spacing w:after="0" w:line="240" w:lineRule="auto"/>
        <w:contextualSpacing/>
        <w:rPr>
          <w:rFonts w:ascii="Cambria" w:hAnsi="Cambria" w:cs="Times New Roman"/>
          <w:color w:val="B71E42" w:themeColor="accent1"/>
          <w:sz w:val="22"/>
        </w:rPr>
      </w:pPr>
      <w:r w:rsidRPr="00CB5007">
        <w:rPr>
          <w:rFonts w:ascii="Cambria" w:hAnsi="Cambria" w:cs="Times New Roman"/>
          <w:color w:val="B71E42" w:themeColor="accent1"/>
          <w:sz w:val="22"/>
        </w:rPr>
        <w:t>Semestre 2 : L’empereur romain de l’avènement de Marc Aurèle à la mort de Sévère Alexandre (161-235 ap. J.-C.)</w:t>
      </w:r>
      <w:r w:rsidR="005D550F" w:rsidRPr="00CB5007">
        <w:rPr>
          <w:rFonts w:ascii="Cambria" w:hAnsi="Cambria" w:cs="Times New Roman"/>
          <w:color w:val="B71E42" w:themeColor="accent1"/>
          <w:sz w:val="22"/>
        </w:rPr>
        <w:t> </w:t>
      </w:r>
    </w:p>
    <w:p w14:paraId="690C8DC2" w14:textId="77777777" w:rsidR="009C19B8" w:rsidRPr="00CB5007" w:rsidRDefault="009C19B8" w:rsidP="00E47587">
      <w:pPr>
        <w:tabs>
          <w:tab w:val="left" w:pos="5103"/>
        </w:tabs>
        <w:spacing w:after="0" w:line="240" w:lineRule="auto"/>
        <w:contextualSpacing/>
        <w:rPr>
          <w:rFonts w:ascii="Cambria" w:hAnsi="Cambria" w:cs="Times New Roman"/>
          <w:color w:val="B71E42" w:themeColor="accent1"/>
          <w:sz w:val="22"/>
        </w:rPr>
      </w:pPr>
    </w:p>
    <w:p w14:paraId="24D9C1E1" w14:textId="55AA0BA9"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La dynastie antonine se poursuit de manière plus mouvementée avec les nombreuses guerres de Marc Aurèle (161-180) et les troubles politiques auxquels est confronté son fils Commode (180-192). L’assassinat de Commode ouvre une série de règnes rivaux comme Pertinax (193), Didius Julianus (193), Pescennius Niger (193-194), Clodius Albinus (193-197), pendant quatre années de phases de guerres civiles au bout desquels s’impose l’Africain Septime Sévère (193-211), époux de la Syrienne Julia Domna. Leurs fils Caracalla (211-217) et Géta (211) maintiennent la dynastie sévérienne, un temps interrompu par l’usurpation victorieuse du Maure Macrin (217-218). La branche syrienne reprend le pouvoir en portant au pouvoir le jeune Héliogabale (218-222), puis son cousin Sévère Alexandre (222-235) finalement éliminé par une révolte sur le Rhin. La dynastie sévérienne revendique un rattachement dynastique aux Antonins, ce qui justifie l’étude conjointe des deux groupes familiaux pour observer l’évolution du pouvoir impérial.</w:t>
      </w:r>
    </w:p>
    <w:p w14:paraId="50EF98EC"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12CA7AD1" w14:textId="77777777" w:rsidR="00E47587" w:rsidRPr="00CB5007" w:rsidRDefault="00E47587" w:rsidP="00E47587">
      <w:pPr>
        <w:tabs>
          <w:tab w:val="left" w:pos="5103"/>
        </w:tabs>
        <w:spacing w:line="240" w:lineRule="auto"/>
        <w:jc w:val="both"/>
        <w:rPr>
          <w:rFonts w:ascii="Cambria" w:hAnsi="Cambria" w:cs="Times New Roman"/>
          <w:sz w:val="22"/>
          <w:lang w:eastAsia="en-US"/>
        </w:rPr>
      </w:pPr>
      <w:r w:rsidRPr="00CB5007">
        <w:rPr>
          <w:rFonts w:ascii="Cambria" w:hAnsi="Cambria" w:cs="Times New Roman"/>
          <w:sz w:val="22"/>
          <w:lang w:eastAsia="en-US"/>
        </w:rPr>
        <w:t xml:space="preserve">Pistes de lecture : </w:t>
      </w:r>
    </w:p>
    <w:p w14:paraId="7CD658AC"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M. </w:t>
      </w:r>
      <w:r w:rsidRPr="00CB5007">
        <w:rPr>
          <w:rFonts w:ascii="Cambria" w:hAnsi="Cambria" w:cs="Times New Roman"/>
          <w:b w:val="0"/>
          <w:bCs/>
          <w:smallCaps/>
          <w:sz w:val="22"/>
        </w:rPr>
        <w:t>Christol</w:t>
      </w:r>
      <w:r w:rsidRPr="00CB5007">
        <w:rPr>
          <w:rFonts w:ascii="Cambria" w:hAnsi="Cambria" w:cs="Times New Roman"/>
          <w:b w:val="0"/>
          <w:bCs/>
          <w:sz w:val="22"/>
        </w:rPr>
        <w:t xml:space="preserve">, </w:t>
      </w:r>
      <w:r w:rsidRPr="00CB5007">
        <w:rPr>
          <w:rFonts w:ascii="Cambria" w:hAnsi="Cambria" w:cs="Times New Roman"/>
          <w:b w:val="0"/>
          <w:bCs/>
          <w:smallCaps/>
          <w:sz w:val="22"/>
        </w:rPr>
        <w:t>D. Nony</w:t>
      </w:r>
      <w:r w:rsidRPr="00CB5007">
        <w:rPr>
          <w:rFonts w:ascii="Cambria" w:hAnsi="Cambria" w:cs="Times New Roman"/>
          <w:b w:val="0"/>
          <w:bCs/>
          <w:sz w:val="22"/>
        </w:rPr>
        <w:t xml:space="preserve">, </w:t>
      </w:r>
      <w:r w:rsidRPr="00CB5007">
        <w:rPr>
          <w:rFonts w:ascii="Cambria" w:hAnsi="Cambria" w:cs="Times New Roman"/>
          <w:b w:val="0"/>
          <w:bCs/>
          <w:i/>
          <w:iCs/>
          <w:sz w:val="22"/>
        </w:rPr>
        <w:t>Rome et son empire, des origines aux invasions barbares</w:t>
      </w:r>
      <w:r w:rsidRPr="00CB5007">
        <w:rPr>
          <w:rFonts w:ascii="Cambria" w:hAnsi="Cambria" w:cs="Times New Roman"/>
          <w:b w:val="0"/>
          <w:bCs/>
          <w:sz w:val="22"/>
        </w:rPr>
        <w:t>, 3</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édition, Hachette, Paris, 2007.</w:t>
      </w:r>
    </w:p>
    <w:p w14:paraId="4614B9E4"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M. Christol, P. Cosme, F. Hurlet, J.-M. Roddaz</w:t>
      </w:r>
      <w:r w:rsidRPr="00CB5007">
        <w:rPr>
          <w:rFonts w:ascii="Cambria" w:hAnsi="Cambria" w:cs="Times New Roman"/>
          <w:b w:val="0"/>
          <w:bCs/>
          <w:sz w:val="22"/>
        </w:rPr>
        <w:t xml:space="preserve">, </w:t>
      </w:r>
      <w:r w:rsidRPr="00CB5007">
        <w:rPr>
          <w:rFonts w:ascii="Cambria" w:hAnsi="Cambria" w:cs="Times New Roman"/>
          <w:b w:val="0"/>
          <w:bCs/>
          <w:i/>
          <w:iCs/>
          <w:sz w:val="22"/>
        </w:rPr>
        <w:t>Histoire romaine, tome 2 : d’Auguste à Constantin</w:t>
      </w:r>
      <w:r w:rsidRPr="00CB5007">
        <w:rPr>
          <w:rFonts w:ascii="Cambria" w:hAnsi="Cambria" w:cs="Times New Roman"/>
          <w:b w:val="0"/>
          <w:bCs/>
          <w:sz w:val="22"/>
        </w:rPr>
        <w:t xml:space="preserve">, Pluriel, Paris, 2023. </w:t>
      </w:r>
    </w:p>
    <w:p w14:paraId="242C3FF7" w14:textId="77777777" w:rsidR="00E47587" w:rsidRPr="00CB5007" w:rsidRDefault="00E47587" w:rsidP="00E47587">
      <w:pPr>
        <w:tabs>
          <w:tab w:val="left" w:pos="5103"/>
        </w:tabs>
        <w:spacing w:line="240" w:lineRule="auto"/>
        <w:jc w:val="both"/>
        <w:rPr>
          <w:rFonts w:ascii="Cambria" w:hAnsi="Cambria" w:cs="Times New Roman"/>
          <w:b w:val="0"/>
          <w:bCs/>
          <w:sz w:val="22"/>
          <w:lang w:eastAsia="en-US"/>
        </w:rPr>
      </w:pPr>
      <w:r w:rsidRPr="00CB5007">
        <w:rPr>
          <w:rFonts w:ascii="Cambria" w:hAnsi="Cambria" w:cs="Times New Roman"/>
          <w:b w:val="0"/>
          <w:bCs/>
          <w:sz w:val="22"/>
        </w:rPr>
        <w:t>- M. </w:t>
      </w:r>
      <w:r w:rsidRPr="00CB5007">
        <w:rPr>
          <w:rFonts w:ascii="Cambria" w:hAnsi="Cambria" w:cs="Times New Roman"/>
          <w:b w:val="0"/>
          <w:bCs/>
          <w:smallCaps/>
          <w:sz w:val="22"/>
        </w:rPr>
        <w:t>Christol</w:t>
      </w:r>
      <w:r w:rsidRPr="00CB5007">
        <w:rPr>
          <w:rFonts w:ascii="Cambria" w:hAnsi="Cambria" w:cs="Times New Roman"/>
          <w:b w:val="0"/>
          <w:bCs/>
          <w:sz w:val="22"/>
        </w:rPr>
        <w:t xml:space="preserve">, </w:t>
      </w:r>
      <w:r w:rsidRPr="00CB5007">
        <w:rPr>
          <w:rFonts w:ascii="Cambria" w:hAnsi="Cambria" w:cs="Times New Roman"/>
          <w:b w:val="0"/>
          <w:bCs/>
          <w:i/>
          <w:sz w:val="22"/>
        </w:rPr>
        <w:t>L'Empire romain du III</w:t>
      </w:r>
      <w:r w:rsidRPr="00CB5007">
        <w:rPr>
          <w:rFonts w:ascii="Cambria" w:hAnsi="Cambria" w:cs="Times New Roman"/>
          <w:b w:val="0"/>
          <w:bCs/>
          <w:i/>
          <w:sz w:val="22"/>
          <w:vertAlign w:val="superscript"/>
        </w:rPr>
        <w:t>e</w:t>
      </w:r>
      <w:r w:rsidRPr="00CB5007">
        <w:rPr>
          <w:rFonts w:ascii="Cambria" w:hAnsi="Cambria" w:cs="Times New Roman"/>
          <w:b w:val="0"/>
          <w:bCs/>
          <w:i/>
          <w:sz w:val="22"/>
        </w:rPr>
        <w:t xml:space="preserve"> siècle. Histoire politique (de 192, mort de Commode, à 325, Concile de Nicée)</w:t>
      </w:r>
      <w:r w:rsidRPr="00CB5007">
        <w:rPr>
          <w:rFonts w:ascii="Cambria" w:hAnsi="Cambria" w:cs="Times New Roman"/>
          <w:b w:val="0"/>
          <w:bCs/>
          <w:sz w:val="22"/>
        </w:rPr>
        <w:t>, Paris, éd. Errance, 2</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édition, 2006.</w:t>
      </w:r>
    </w:p>
    <w:p w14:paraId="509E9BEE"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P. </w:t>
      </w:r>
      <w:r w:rsidRPr="00CB5007">
        <w:rPr>
          <w:rFonts w:ascii="Cambria" w:hAnsi="Cambria" w:cs="Times New Roman"/>
          <w:b w:val="0"/>
          <w:bCs/>
          <w:smallCaps/>
          <w:sz w:val="22"/>
        </w:rPr>
        <w:t>Cosme</w:t>
      </w:r>
      <w:r w:rsidRPr="00CB5007">
        <w:rPr>
          <w:rFonts w:ascii="Cambria" w:hAnsi="Cambria" w:cs="Times New Roman"/>
          <w:b w:val="0"/>
          <w:bCs/>
          <w:sz w:val="22"/>
        </w:rPr>
        <w:t xml:space="preserve">, </w:t>
      </w:r>
      <w:r w:rsidRPr="00CB5007">
        <w:rPr>
          <w:rFonts w:ascii="Cambria" w:hAnsi="Cambria" w:cs="Times New Roman"/>
          <w:b w:val="0"/>
          <w:bCs/>
          <w:i/>
          <w:sz w:val="22"/>
        </w:rPr>
        <w:t xml:space="preserve">Les empereurs romains, </w:t>
      </w:r>
      <w:r w:rsidRPr="00CB5007">
        <w:rPr>
          <w:rFonts w:ascii="Cambria" w:hAnsi="Cambria" w:cs="Times New Roman"/>
          <w:b w:val="0"/>
          <w:bCs/>
          <w:sz w:val="22"/>
        </w:rPr>
        <w:t>Quadrige Manuels, Presses Universitaires de France, Paris, 2016.</w:t>
      </w:r>
    </w:p>
    <w:p w14:paraId="6FD0D1F3"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A. Daguet-Gagey</w:t>
      </w:r>
      <w:r w:rsidRPr="00CB5007">
        <w:rPr>
          <w:rFonts w:ascii="Cambria" w:hAnsi="Cambria" w:cs="Times New Roman"/>
          <w:b w:val="0"/>
          <w:bCs/>
          <w:sz w:val="22"/>
        </w:rPr>
        <w:t xml:space="preserve">, </w:t>
      </w:r>
      <w:r w:rsidRPr="00CB5007">
        <w:rPr>
          <w:rFonts w:ascii="Cambria" w:hAnsi="Cambria" w:cs="Times New Roman"/>
          <w:b w:val="0"/>
          <w:bCs/>
          <w:i/>
          <w:iCs/>
          <w:sz w:val="22"/>
        </w:rPr>
        <w:t>Septime Sévère : Rome, l’Afrique et l’Orient</w:t>
      </w:r>
      <w:r w:rsidRPr="00CB5007">
        <w:rPr>
          <w:rFonts w:ascii="Cambria" w:hAnsi="Cambria" w:cs="Times New Roman"/>
          <w:b w:val="0"/>
          <w:bCs/>
          <w:sz w:val="22"/>
        </w:rPr>
        <w:t xml:space="preserve">, Payot, Paris, 2000. </w:t>
      </w:r>
    </w:p>
    <w:p w14:paraId="391344F9"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P. Faure, N. Tran, C. Virlouvet</w:t>
      </w:r>
      <w:r w:rsidRPr="00CB5007">
        <w:rPr>
          <w:rFonts w:ascii="Cambria" w:hAnsi="Cambria" w:cs="Times New Roman"/>
          <w:b w:val="0"/>
          <w:bCs/>
          <w:sz w:val="22"/>
        </w:rPr>
        <w:t xml:space="preserve">, </w:t>
      </w:r>
      <w:r w:rsidRPr="00CB5007">
        <w:rPr>
          <w:rFonts w:ascii="Cambria" w:hAnsi="Cambria" w:cs="Times New Roman"/>
          <w:b w:val="0"/>
          <w:bCs/>
          <w:i/>
          <w:iCs/>
          <w:sz w:val="22"/>
        </w:rPr>
        <w:t>Rome, cité universelle : de César à Caracalla : 70 av. J.-C. – 212 apr. J.-C.</w:t>
      </w:r>
      <w:r w:rsidRPr="00CB5007">
        <w:rPr>
          <w:rFonts w:ascii="Cambria" w:hAnsi="Cambria" w:cs="Times New Roman"/>
          <w:b w:val="0"/>
          <w:bCs/>
          <w:sz w:val="22"/>
        </w:rPr>
        <w:t>, Belin, Paris, 2018.</w:t>
      </w:r>
    </w:p>
    <w:p w14:paraId="3349DB4D"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i/>
          <w:sz w:val="22"/>
        </w:rPr>
        <w:t>-</w:t>
      </w:r>
      <w:r w:rsidRPr="00CB5007">
        <w:rPr>
          <w:rFonts w:ascii="Cambria" w:hAnsi="Cambria" w:cs="Times New Roman"/>
          <w:b w:val="0"/>
          <w:bCs/>
          <w:sz w:val="22"/>
        </w:rPr>
        <w:t xml:space="preserve"> F. </w:t>
      </w:r>
      <w:r w:rsidRPr="00CB5007">
        <w:rPr>
          <w:rFonts w:ascii="Cambria" w:hAnsi="Cambria" w:cs="Times New Roman"/>
          <w:b w:val="0"/>
          <w:bCs/>
          <w:smallCaps/>
          <w:sz w:val="22"/>
        </w:rPr>
        <w:t>Jacques</w:t>
      </w:r>
      <w:r w:rsidRPr="00CB5007">
        <w:rPr>
          <w:rFonts w:ascii="Cambria" w:hAnsi="Cambria" w:cs="Times New Roman"/>
          <w:b w:val="0"/>
          <w:bCs/>
          <w:sz w:val="22"/>
        </w:rPr>
        <w:t>, J. </w:t>
      </w:r>
      <w:r w:rsidRPr="00CB5007">
        <w:rPr>
          <w:rFonts w:ascii="Cambria" w:hAnsi="Cambria" w:cs="Times New Roman"/>
          <w:b w:val="0"/>
          <w:bCs/>
          <w:smallCaps/>
          <w:sz w:val="22"/>
        </w:rPr>
        <w:t>Scheid</w:t>
      </w:r>
      <w:r w:rsidRPr="00CB5007">
        <w:rPr>
          <w:rFonts w:ascii="Cambria" w:hAnsi="Cambria" w:cs="Times New Roman"/>
          <w:b w:val="0"/>
          <w:bCs/>
          <w:sz w:val="22"/>
        </w:rPr>
        <w:t xml:space="preserve">, </w:t>
      </w:r>
      <w:r w:rsidRPr="00CB5007">
        <w:rPr>
          <w:rFonts w:ascii="Cambria" w:hAnsi="Cambria" w:cs="Times New Roman"/>
          <w:b w:val="0"/>
          <w:bCs/>
          <w:i/>
          <w:sz w:val="22"/>
        </w:rPr>
        <w:t>Rome et l'intégration de l'Empire (44 av. J.-C. - 260 ap. J.-C.)</w:t>
      </w:r>
      <w:r w:rsidRPr="00CB5007">
        <w:rPr>
          <w:rFonts w:ascii="Cambria" w:hAnsi="Cambria" w:cs="Times New Roman"/>
          <w:b w:val="0"/>
          <w:bCs/>
          <w:sz w:val="22"/>
        </w:rPr>
        <w:t>, vol. I,</w:t>
      </w:r>
      <w:r w:rsidRPr="00CB5007">
        <w:rPr>
          <w:rFonts w:ascii="Cambria" w:hAnsi="Cambria" w:cs="Times New Roman"/>
          <w:b w:val="0"/>
          <w:bCs/>
          <w:i/>
          <w:iCs/>
          <w:sz w:val="22"/>
        </w:rPr>
        <w:t xml:space="preserve"> Les structures de l'Empire romain</w:t>
      </w:r>
      <w:r w:rsidRPr="00CB5007">
        <w:rPr>
          <w:rFonts w:ascii="Cambria" w:hAnsi="Cambria" w:cs="Times New Roman"/>
          <w:b w:val="0"/>
          <w:bCs/>
          <w:sz w:val="22"/>
        </w:rPr>
        <w:t>, coll. Nouvelle Clio, Presses Universitaires de France, Paris, 1990.</w:t>
      </w:r>
    </w:p>
    <w:p w14:paraId="336EE075" w14:textId="77777777" w:rsidR="00E47587" w:rsidRPr="00CB5007" w:rsidRDefault="00E47587" w:rsidP="00E47587">
      <w:pPr>
        <w:tabs>
          <w:tab w:val="left" w:pos="5103"/>
        </w:tabs>
        <w:spacing w:line="240" w:lineRule="auto"/>
        <w:jc w:val="both"/>
        <w:rPr>
          <w:rFonts w:ascii="Cambria" w:hAnsi="Cambria" w:cs="Times New Roman"/>
          <w:b w:val="0"/>
          <w:bCs/>
          <w:i/>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S. Lefebvre</w:t>
      </w:r>
      <w:r w:rsidRPr="00CB5007">
        <w:rPr>
          <w:rFonts w:ascii="Cambria" w:hAnsi="Cambria" w:cs="Times New Roman"/>
          <w:b w:val="0"/>
          <w:bCs/>
          <w:sz w:val="22"/>
        </w:rPr>
        <w:t xml:space="preserve">, </w:t>
      </w:r>
      <w:r w:rsidRPr="00CB5007">
        <w:rPr>
          <w:rFonts w:ascii="Cambria" w:hAnsi="Cambria" w:cs="Times New Roman"/>
          <w:b w:val="0"/>
          <w:bCs/>
          <w:i/>
          <w:iCs/>
          <w:sz w:val="22"/>
        </w:rPr>
        <w:t>L’administration de l’empire romain, d’Auguste à Dioclétien</w:t>
      </w:r>
      <w:r w:rsidRPr="00CB5007">
        <w:rPr>
          <w:rFonts w:ascii="Cambria" w:hAnsi="Cambria" w:cs="Times New Roman"/>
          <w:b w:val="0"/>
          <w:bCs/>
          <w:sz w:val="22"/>
        </w:rPr>
        <w:t xml:space="preserve">, Armand Colin, Paris, 2011. </w:t>
      </w:r>
    </w:p>
    <w:p w14:paraId="3FA5A6EB"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C. </w:t>
      </w:r>
      <w:r w:rsidRPr="00CB5007">
        <w:rPr>
          <w:rFonts w:ascii="Cambria" w:hAnsi="Cambria" w:cs="Times New Roman"/>
          <w:b w:val="0"/>
          <w:bCs/>
          <w:smallCaps/>
          <w:sz w:val="22"/>
        </w:rPr>
        <w:t>Lepelley</w:t>
      </w:r>
      <w:r w:rsidRPr="00CB5007">
        <w:rPr>
          <w:rFonts w:ascii="Cambria" w:hAnsi="Cambria" w:cs="Times New Roman"/>
          <w:b w:val="0"/>
          <w:bCs/>
          <w:sz w:val="22"/>
        </w:rPr>
        <w:t xml:space="preserve">, </w:t>
      </w:r>
      <w:r w:rsidRPr="00CB5007">
        <w:rPr>
          <w:rFonts w:ascii="Cambria" w:hAnsi="Cambria" w:cs="Times New Roman"/>
          <w:b w:val="0"/>
          <w:bCs/>
          <w:i/>
          <w:iCs/>
          <w:sz w:val="22"/>
        </w:rPr>
        <w:t>Rome et l'intégration de l'Empire (44 av. J.-C. - 260 ap. J.-C.)</w:t>
      </w:r>
      <w:r w:rsidRPr="00CB5007">
        <w:rPr>
          <w:rFonts w:ascii="Cambria" w:hAnsi="Cambria" w:cs="Times New Roman"/>
          <w:b w:val="0"/>
          <w:bCs/>
          <w:sz w:val="22"/>
        </w:rPr>
        <w:t xml:space="preserve">, vol. II, </w:t>
      </w:r>
      <w:r w:rsidRPr="00CB5007">
        <w:rPr>
          <w:rFonts w:ascii="Cambria" w:hAnsi="Cambria" w:cs="Times New Roman"/>
          <w:b w:val="0"/>
          <w:bCs/>
          <w:i/>
          <w:sz w:val="22"/>
        </w:rPr>
        <w:t>Approches régionales du Haut-Empire romain</w:t>
      </w:r>
      <w:r w:rsidRPr="00CB5007">
        <w:rPr>
          <w:rFonts w:ascii="Cambria" w:hAnsi="Cambria" w:cs="Times New Roman"/>
          <w:b w:val="0"/>
          <w:bCs/>
          <w:sz w:val="22"/>
        </w:rPr>
        <w:t>, coll. Nouvelle Clio, Presses Universitaires de France, Paris, 1998.</w:t>
      </w:r>
    </w:p>
    <w:p w14:paraId="51016AF9"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lang w:eastAsia="en-US"/>
        </w:rPr>
        <w:t>-</w:t>
      </w:r>
      <w:r w:rsidRPr="00CB5007">
        <w:rPr>
          <w:rFonts w:ascii="Cambria" w:hAnsi="Cambria" w:cs="Times New Roman"/>
          <w:b w:val="0"/>
          <w:bCs/>
          <w:sz w:val="22"/>
        </w:rPr>
        <w:t xml:space="preserve"> B. </w:t>
      </w:r>
      <w:r w:rsidRPr="00CB5007">
        <w:rPr>
          <w:rFonts w:ascii="Cambria" w:hAnsi="Cambria" w:cs="Times New Roman"/>
          <w:b w:val="0"/>
          <w:bCs/>
          <w:smallCaps/>
          <w:sz w:val="22"/>
        </w:rPr>
        <w:t>Rossignol</w:t>
      </w:r>
      <w:r w:rsidRPr="00CB5007">
        <w:rPr>
          <w:rFonts w:ascii="Cambria" w:hAnsi="Cambria" w:cs="Times New Roman"/>
          <w:b w:val="0"/>
          <w:bCs/>
          <w:sz w:val="22"/>
        </w:rPr>
        <w:t xml:space="preserve">, </w:t>
      </w:r>
      <w:r w:rsidRPr="00CB5007">
        <w:rPr>
          <w:rFonts w:ascii="Cambria" w:hAnsi="Cambria" w:cs="Times New Roman"/>
          <w:b w:val="0"/>
          <w:bCs/>
          <w:i/>
          <w:iCs/>
          <w:sz w:val="22"/>
        </w:rPr>
        <w:t xml:space="preserve">Marc Aurèle, </w:t>
      </w:r>
      <w:r w:rsidRPr="00CB5007">
        <w:rPr>
          <w:rFonts w:ascii="Cambria" w:hAnsi="Cambria" w:cs="Times New Roman"/>
          <w:b w:val="0"/>
          <w:bCs/>
          <w:sz w:val="22"/>
        </w:rPr>
        <w:t>Perrin, Paris, 2020.</w:t>
      </w:r>
    </w:p>
    <w:p w14:paraId="3E71B7FC" w14:textId="77777777" w:rsidR="00E47587" w:rsidRPr="00CB5007" w:rsidRDefault="00E47587" w:rsidP="00E47587">
      <w:pPr>
        <w:tabs>
          <w:tab w:val="left" w:pos="5103"/>
        </w:tabs>
        <w:spacing w:line="240" w:lineRule="auto"/>
        <w:jc w:val="both"/>
        <w:rPr>
          <w:rFonts w:ascii="Cambria" w:hAnsi="Cambria" w:cs="Times New Roman"/>
          <w:b w:val="0"/>
          <w:bCs/>
          <w:sz w:val="22"/>
          <w:lang w:eastAsia="en-US"/>
        </w:rPr>
      </w:pPr>
      <w:r w:rsidRPr="00CB5007">
        <w:rPr>
          <w:rFonts w:ascii="Cambria" w:hAnsi="Cambria" w:cs="Times New Roman"/>
          <w:b w:val="0"/>
          <w:bCs/>
          <w:sz w:val="22"/>
          <w:lang w:eastAsia="en-US"/>
        </w:rPr>
        <w:t xml:space="preserve">- J. </w:t>
      </w:r>
      <w:r w:rsidRPr="00CB5007">
        <w:rPr>
          <w:rFonts w:ascii="Cambria" w:hAnsi="Cambria" w:cs="Times New Roman"/>
          <w:b w:val="0"/>
          <w:bCs/>
          <w:smallCaps/>
          <w:sz w:val="22"/>
        </w:rPr>
        <w:t>Scheid</w:t>
      </w:r>
      <w:r w:rsidRPr="00CB5007">
        <w:rPr>
          <w:rFonts w:ascii="Cambria" w:hAnsi="Cambria" w:cs="Times New Roman"/>
          <w:b w:val="0"/>
          <w:bCs/>
          <w:sz w:val="22"/>
          <w:lang w:eastAsia="en-US"/>
        </w:rPr>
        <w:t xml:space="preserve">, </w:t>
      </w:r>
      <w:r w:rsidRPr="00CB5007">
        <w:rPr>
          <w:rFonts w:ascii="Cambria" w:hAnsi="Cambria" w:cs="Times New Roman"/>
          <w:b w:val="0"/>
          <w:bCs/>
          <w:i/>
          <w:iCs/>
          <w:sz w:val="22"/>
          <w:lang w:eastAsia="en-US"/>
        </w:rPr>
        <w:t>La religion des Romains</w:t>
      </w:r>
      <w:r w:rsidRPr="00CB5007">
        <w:rPr>
          <w:rFonts w:ascii="Cambria" w:hAnsi="Cambria" w:cs="Times New Roman"/>
          <w:b w:val="0"/>
          <w:bCs/>
          <w:sz w:val="22"/>
          <w:lang w:eastAsia="en-US"/>
        </w:rPr>
        <w:t>, Paris, Armand Colin, Coll. Cursus, 1998.</w:t>
      </w:r>
    </w:p>
    <w:p w14:paraId="68414D44" w14:textId="77777777" w:rsidR="00CD504B" w:rsidRPr="00CB5007" w:rsidRDefault="00CD504B" w:rsidP="008C18B6">
      <w:pPr>
        <w:spacing w:after="0" w:line="360" w:lineRule="auto"/>
        <w:contextualSpacing/>
        <w:rPr>
          <w:rFonts w:ascii="Cambria" w:hAnsi="Cambria"/>
          <w:lang w:eastAsia="fr-FR"/>
        </w:rPr>
      </w:pPr>
    </w:p>
    <w:p w14:paraId="6484C15C" w14:textId="77777777" w:rsidR="00CD504B" w:rsidRPr="00CB5007" w:rsidRDefault="00CD504B" w:rsidP="008C18B6">
      <w:pPr>
        <w:spacing w:after="0" w:line="360" w:lineRule="auto"/>
        <w:contextualSpacing/>
        <w:rPr>
          <w:rFonts w:ascii="Cambria" w:hAnsi="Cambria"/>
          <w:lang w:eastAsia="fr-FR"/>
        </w:rPr>
      </w:pPr>
    </w:p>
    <w:p w14:paraId="5AD040E9" w14:textId="77777777" w:rsidR="00CD504B" w:rsidRPr="00CB5007" w:rsidRDefault="00CD504B" w:rsidP="008C18B6">
      <w:pPr>
        <w:spacing w:after="0" w:line="360" w:lineRule="auto"/>
        <w:contextualSpacing/>
        <w:rPr>
          <w:rFonts w:ascii="Cambria" w:hAnsi="Cambria"/>
          <w:lang w:eastAsia="fr-FR"/>
        </w:rPr>
      </w:pPr>
    </w:p>
    <w:p w14:paraId="5EBB8192" w14:textId="77777777" w:rsidR="00CD504B" w:rsidRPr="00CB5007" w:rsidRDefault="00CD504B" w:rsidP="008C18B6">
      <w:pPr>
        <w:spacing w:after="0" w:line="360" w:lineRule="auto"/>
        <w:contextualSpacing/>
        <w:rPr>
          <w:rFonts w:ascii="Cambria" w:hAnsi="Cambria"/>
          <w:lang w:eastAsia="fr-FR"/>
        </w:rPr>
      </w:pPr>
    </w:p>
    <w:p w14:paraId="30C8AE48" w14:textId="77777777" w:rsidR="00CD504B" w:rsidRPr="00CB5007" w:rsidRDefault="00CD504B" w:rsidP="008C18B6">
      <w:pPr>
        <w:spacing w:after="0" w:line="360" w:lineRule="auto"/>
        <w:contextualSpacing/>
        <w:rPr>
          <w:rFonts w:ascii="Cambria" w:hAnsi="Cambria"/>
          <w:lang w:eastAsia="fr-FR"/>
        </w:rPr>
      </w:pPr>
    </w:p>
    <w:p w14:paraId="38C34E32" w14:textId="77777777" w:rsidR="00CD504B" w:rsidRPr="00CB5007" w:rsidRDefault="00CD504B" w:rsidP="008C18B6">
      <w:pPr>
        <w:spacing w:after="0" w:line="360" w:lineRule="auto"/>
        <w:contextualSpacing/>
        <w:rPr>
          <w:rFonts w:ascii="Cambria" w:hAnsi="Cambria"/>
          <w:lang w:eastAsia="fr-FR"/>
        </w:rPr>
      </w:pPr>
    </w:p>
    <w:p w14:paraId="681948EF" w14:textId="77777777" w:rsidR="00CD504B" w:rsidRPr="00CB5007" w:rsidRDefault="00CD504B" w:rsidP="008C18B6">
      <w:pPr>
        <w:spacing w:after="0" w:line="360" w:lineRule="auto"/>
        <w:contextualSpacing/>
        <w:rPr>
          <w:rFonts w:ascii="Cambria" w:hAnsi="Cambria"/>
          <w:lang w:eastAsia="fr-FR"/>
        </w:rPr>
      </w:pPr>
    </w:p>
    <w:p w14:paraId="54FA3F71" w14:textId="77777777" w:rsidR="00CD504B" w:rsidRPr="00CB5007" w:rsidRDefault="00CD504B" w:rsidP="008C18B6">
      <w:pPr>
        <w:spacing w:after="0" w:line="360" w:lineRule="auto"/>
        <w:contextualSpacing/>
        <w:rPr>
          <w:rFonts w:ascii="Cambria" w:hAnsi="Cambria"/>
          <w:lang w:eastAsia="fr-FR"/>
        </w:rPr>
      </w:pPr>
    </w:p>
    <w:p w14:paraId="5EDC6B64" w14:textId="77777777" w:rsidR="00CD504B" w:rsidRPr="00CB5007" w:rsidRDefault="00CD504B" w:rsidP="008C18B6">
      <w:pPr>
        <w:spacing w:after="0" w:line="360" w:lineRule="auto"/>
        <w:contextualSpacing/>
        <w:rPr>
          <w:rFonts w:ascii="Cambria" w:hAnsi="Cambria"/>
          <w:lang w:eastAsia="fr-FR"/>
        </w:rPr>
      </w:pPr>
    </w:p>
    <w:p w14:paraId="212B427C" w14:textId="77777777" w:rsidR="00CD504B" w:rsidRPr="00CB5007" w:rsidRDefault="00CD504B" w:rsidP="008C18B6">
      <w:pPr>
        <w:spacing w:after="0" w:line="360" w:lineRule="auto"/>
        <w:contextualSpacing/>
        <w:rPr>
          <w:rFonts w:ascii="Cambria" w:hAnsi="Cambria"/>
          <w:lang w:eastAsia="fr-FR"/>
        </w:rPr>
      </w:pPr>
    </w:p>
    <w:p w14:paraId="55A7C047" w14:textId="77777777" w:rsidR="00CD504B" w:rsidRPr="00CB5007" w:rsidRDefault="00CD504B" w:rsidP="008C18B6">
      <w:pPr>
        <w:spacing w:after="0" w:line="360" w:lineRule="auto"/>
        <w:contextualSpacing/>
        <w:rPr>
          <w:rFonts w:ascii="Cambria" w:hAnsi="Cambria"/>
          <w:lang w:eastAsia="fr-FR"/>
        </w:rPr>
      </w:pPr>
    </w:p>
    <w:p w14:paraId="4AB0EA81" w14:textId="77777777" w:rsidR="00CD504B" w:rsidRPr="00CB5007" w:rsidRDefault="00CD504B" w:rsidP="008C18B6">
      <w:pPr>
        <w:spacing w:after="0" w:line="360" w:lineRule="auto"/>
        <w:contextualSpacing/>
        <w:rPr>
          <w:rFonts w:ascii="Cambria" w:hAnsi="Cambria"/>
          <w:lang w:eastAsia="fr-FR"/>
        </w:rPr>
      </w:pPr>
    </w:p>
    <w:p w14:paraId="1392C3DC" w14:textId="77777777" w:rsidR="00CD504B" w:rsidRPr="00CB5007" w:rsidRDefault="00CD504B" w:rsidP="008C18B6">
      <w:pPr>
        <w:spacing w:after="0" w:line="360" w:lineRule="auto"/>
        <w:contextualSpacing/>
        <w:rPr>
          <w:rFonts w:ascii="Cambria" w:hAnsi="Cambria"/>
          <w:lang w:eastAsia="fr-FR"/>
        </w:rPr>
      </w:pPr>
    </w:p>
    <w:p w14:paraId="78F68FB1" w14:textId="77777777" w:rsidR="00CD504B" w:rsidRPr="00CB5007" w:rsidRDefault="00CD504B" w:rsidP="008C18B6">
      <w:pPr>
        <w:spacing w:after="0" w:line="360" w:lineRule="auto"/>
        <w:contextualSpacing/>
        <w:rPr>
          <w:rFonts w:ascii="Cambria" w:hAnsi="Cambria"/>
          <w:lang w:eastAsia="fr-FR"/>
        </w:rPr>
      </w:pPr>
    </w:p>
    <w:p w14:paraId="0846522E" w14:textId="77777777" w:rsidR="00CD504B" w:rsidRPr="00CB5007" w:rsidRDefault="00CD504B" w:rsidP="008C18B6">
      <w:pPr>
        <w:spacing w:after="0" w:line="360" w:lineRule="auto"/>
        <w:contextualSpacing/>
        <w:rPr>
          <w:rFonts w:ascii="Cambria" w:hAnsi="Cambria"/>
          <w:lang w:eastAsia="fr-FR"/>
        </w:rPr>
      </w:pPr>
    </w:p>
    <w:p w14:paraId="6FB3D1EE" w14:textId="77777777" w:rsidR="00CD504B" w:rsidRPr="00CB5007" w:rsidRDefault="00CD504B" w:rsidP="008C18B6">
      <w:pPr>
        <w:spacing w:after="0" w:line="360" w:lineRule="auto"/>
        <w:contextualSpacing/>
        <w:rPr>
          <w:rFonts w:ascii="Cambria" w:hAnsi="Cambria"/>
          <w:lang w:eastAsia="fr-FR"/>
        </w:rPr>
      </w:pPr>
    </w:p>
    <w:p w14:paraId="156D35E5" w14:textId="77777777" w:rsidR="00CD504B" w:rsidRPr="00CB5007" w:rsidRDefault="00CD504B" w:rsidP="008C18B6">
      <w:pPr>
        <w:spacing w:after="0" w:line="360" w:lineRule="auto"/>
        <w:contextualSpacing/>
        <w:rPr>
          <w:rFonts w:ascii="Cambria" w:hAnsi="Cambria"/>
          <w:lang w:eastAsia="fr-FR"/>
        </w:rPr>
      </w:pPr>
    </w:p>
    <w:p w14:paraId="76110781" w14:textId="77777777" w:rsidR="00CD504B" w:rsidRPr="00CB5007" w:rsidRDefault="00CD504B" w:rsidP="008C18B6">
      <w:pPr>
        <w:spacing w:after="0" w:line="360" w:lineRule="auto"/>
        <w:contextualSpacing/>
        <w:rPr>
          <w:rFonts w:ascii="Cambria" w:hAnsi="Cambria"/>
          <w:lang w:eastAsia="fr-FR"/>
        </w:rPr>
      </w:pPr>
    </w:p>
    <w:p w14:paraId="3D104AB9" w14:textId="77777777" w:rsidR="00CD504B" w:rsidRPr="00CB5007" w:rsidRDefault="00CD504B" w:rsidP="008C18B6">
      <w:pPr>
        <w:spacing w:after="0" w:line="360" w:lineRule="auto"/>
        <w:contextualSpacing/>
        <w:rPr>
          <w:rFonts w:ascii="Cambria" w:hAnsi="Cambria"/>
          <w:lang w:eastAsia="fr-FR"/>
        </w:rPr>
      </w:pPr>
    </w:p>
    <w:p w14:paraId="2E8E2D93" w14:textId="77777777" w:rsidR="00CD504B" w:rsidRPr="00CB5007" w:rsidRDefault="00CD504B" w:rsidP="008C18B6">
      <w:pPr>
        <w:spacing w:after="0" w:line="360" w:lineRule="auto"/>
        <w:contextualSpacing/>
        <w:rPr>
          <w:rFonts w:ascii="Cambria" w:hAnsi="Cambria"/>
          <w:lang w:eastAsia="fr-FR"/>
        </w:rPr>
      </w:pPr>
    </w:p>
    <w:p w14:paraId="390E3035" w14:textId="77777777" w:rsidR="00CD504B" w:rsidRPr="00CB5007" w:rsidRDefault="00CD504B" w:rsidP="008C18B6">
      <w:pPr>
        <w:spacing w:after="0" w:line="360" w:lineRule="auto"/>
        <w:contextualSpacing/>
        <w:rPr>
          <w:rFonts w:ascii="Cambria" w:hAnsi="Cambria"/>
          <w:lang w:eastAsia="fr-FR"/>
        </w:rPr>
      </w:pPr>
    </w:p>
    <w:p w14:paraId="1EB5697C" w14:textId="77777777" w:rsidR="00CD504B" w:rsidRPr="00CB5007" w:rsidRDefault="00CD504B" w:rsidP="008C18B6">
      <w:pPr>
        <w:spacing w:after="0" w:line="360" w:lineRule="auto"/>
        <w:contextualSpacing/>
        <w:rPr>
          <w:rFonts w:ascii="Cambria" w:hAnsi="Cambria"/>
          <w:lang w:eastAsia="fr-FR"/>
        </w:rPr>
      </w:pPr>
    </w:p>
    <w:p w14:paraId="009A8BE2" w14:textId="77777777" w:rsidR="00CD504B" w:rsidRPr="00CB5007" w:rsidRDefault="00CD504B" w:rsidP="008C18B6">
      <w:pPr>
        <w:spacing w:after="0" w:line="360" w:lineRule="auto"/>
        <w:contextualSpacing/>
        <w:rPr>
          <w:rFonts w:ascii="Cambria" w:hAnsi="Cambria"/>
          <w:lang w:eastAsia="fr-FR"/>
        </w:rPr>
      </w:pPr>
    </w:p>
    <w:p w14:paraId="2CE2BFEC" w14:textId="77777777" w:rsidR="00CD504B" w:rsidRPr="00CB5007" w:rsidRDefault="00CD504B" w:rsidP="008C18B6">
      <w:pPr>
        <w:spacing w:after="0" w:line="360" w:lineRule="auto"/>
        <w:contextualSpacing/>
        <w:rPr>
          <w:rFonts w:ascii="Cambria" w:hAnsi="Cambria"/>
          <w:lang w:eastAsia="fr-FR"/>
        </w:rPr>
      </w:pPr>
    </w:p>
    <w:p w14:paraId="46639309" w14:textId="77777777" w:rsidR="00CD504B" w:rsidRPr="00CB5007" w:rsidRDefault="00CD504B" w:rsidP="008C18B6">
      <w:pPr>
        <w:spacing w:after="0" w:line="360" w:lineRule="auto"/>
        <w:contextualSpacing/>
        <w:rPr>
          <w:rFonts w:ascii="Cambria" w:hAnsi="Cambria"/>
          <w:lang w:eastAsia="fr-FR"/>
        </w:rPr>
      </w:pPr>
    </w:p>
    <w:p w14:paraId="008C49D2" w14:textId="77777777" w:rsidR="00CD504B" w:rsidRPr="00CB5007" w:rsidRDefault="00CD504B" w:rsidP="008C18B6">
      <w:pPr>
        <w:spacing w:after="0" w:line="360" w:lineRule="auto"/>
        <w:contextualSpacing/>
        <w:rPr>
          <w:rFonts w:ascii="Cambria" w:hAnsi="Cambria"/>
          <w:lang w:eastAsia="fr-FR"/>
        </w:rPr>
      </w:pPr>
    </w:p>
    <w:p w14:paraId="7FA220DF" w14:textId="77777777" w:rsidR="00CD504B" w:rsidRPr="00CB5007" w:rsidRDefault="00CD504B" w:rsidP="008C18B6">
      <w:pPr>
        <w:spacing w:after="0" w:line="360" w:lineRule="auto"/>
        <w:contextualSpacing/>
        <w:rPr>
          <w:rFonts w:ascii="Cambria" w:hAnsi="Cambria"/>
          <w:lang w:eastAsia="fr-FR"/>
        </w:rPr>
      </w:pPr>
    </w:p>
    <w:p w14:paraId="28670BB1" w14:textId="77777777" w:rsidR="00CD504B" w:rsidRPr="00CB5007" w:rsidRDefault="00CD504B" w:rsidP="008C18B6">
      <w:pPr>
        <w:spacing w:after="0" w:line="360" w:lineRule="auto"/>
        <w:contextualSpacing/>
        <w:rPr>
          <w:rFonts w:ascii="Cambria" w:hAnsi="Cambria"/>
          <w:lang w:eastAsia="fr-FR"/>
        </w:rPr>
      </w:pPr>
    </w:p>
    <w:p w14:paraId="4E4B406B" w14:textId="77777777" w:rsidR="00CD504B" w:rsidRPr="00CB5007" w:rsidRDefault="00CD504B" w:rsidP="008C18B6">
      <w:pPr>
        <w:spacing w:after="0" w:line="360" w:lineRule="auto"/>
        <w:contextualSpacing/>
        <w:rPr>
          <w:rFonts w:ascii="Cambria" w:hAnsi="Cambria"/>
          <w:lang w:eastAsia="fr-FR"/>
        </w:rPr>
      </w:pPr>
    </w:p>
    <w:p w14:paraId="06258AAE" w14:textId="77777777" w:rsidR="00CD504B" w:rsidRPr="00CB5007" w:rsidRDefault="00CD504B" w:rsidP="008C18B6">
      <w:pPr>
        <w:spacing w:after="0" w:line="360" w:lineRule="auto"/>
        <w:contextualSpacing/>
        <w:rPr>
          <w:rFonts w:ascii="Cambria" w:hAnsi="Cambria"/>
          <w:lang w:eastAsia="fr-FR"/>
        </w:rPr>
      </w:pPr>
    </w:p>
    <w:p w14:paraId="3A72544F" w14:textId="77777777" w:rsidR="00CD504B" w:rsidRPr="00CB5007" w:rsidRDefault="00CD504B" w:rsidP="008C18B6">
      <w:pPr>
        <w:spacing w:after="0" w:line="360" w:lineRule="auto"/>
        <w:contextualSpacing/>
        <w:rPr>
          <w:rFonts w:ascii="Cambria" w:hAnsi="Cambria"/>
          <w:lang w:eastAsia="fr-FR"/>
        </w:rPr>
      </w:pPr>
    </w:p>
    <w:p w14:paraId="129D1F5B" w14:textId="77777777" w:rsidR="00CD504B" w:rsidRPr="00CB5007" w:rsidRDefault="00CD504B" w:rsidP="008C18B6">
      <w:pPr>
        <w:spacing w:after="0" w:line="360" w:lineRule="auto"/>
        <w:contextualSpacing/>
        <w:rPr>
          <w:rFonts w:ascii="Cambria" w:hAnsi="Cambria"/>
          <w:lang w:eastAsia="fr-FR"/>
        </w:rPr>
      </w:pPr>
    </w:p>
    <w:p w14:paraId="19F6571C" w14:textId="77777777" w:rsidR="00CD504B" w:rsidRPr="00CB5007" w:rsidRDefault="00CD504B" w:rsidP="008C18B6">
      <w:pPr>
        <w:spacing w:after="0" w:line="360" w:lineRule="auto"/>
        <w:contextualSpacing/>
        <w:rPr>
          <w:rFonts w:ascii="Cambria" w:hAnsi="Cambria"/>
          <w:lang w:eastAsia="fr-FR"/>
        </w:rPr>
      </w:pPr>
    </w:p>
    <w:p w14:paraId="1CFD45B1" w14:textId="77777777" w:rsidR="00CD504B" w:rsidRPr="00CB5007" w:rsidRDefault="00CD504B" w:rsidP="008C18B6">
      <w:pPr>
        <w:spacing w:after="0" w:line="360" w:lineRule="auto"/>
        <w:contextualSpacing/>
        <w:rPr>
          <w:rFonts w:ascii="Cambria" w:hAnsi="Cambria"/>
          <w:lang w:eastAsia="fr-FR"/>
        </w:rPr>
      </w:pPr>
    </w:p>
    <w:p w14:paraId="092D321C" w14:textId="77777777" w:rsidR="00CD504B" w:rsidRPr="00CB5007" w:rsidRDefault="00CD504B" w:rsidP="008C18B6">
      <w:pPr>
        <w:spacing w:after="0" w:line="360" w:lineRule="auto"/>
        <w:contextualSpacing/>
        <w:rPr>
          <w:rFonts w:ascii="Cambria" w:hAnsi="Cambria"/>
          <w:lang w:eastAsia="fr-FR"/>
        </w:rPr>
      </w:pPr>
    </w:p>
    <w:p w14:paraId="522BCACC" w14:textId="77777777" w:rsidR="00CD504B" w:rsidRPr="00CB5007" w:rsidRDefault="00CD504B" w:rsidP="008C18B6">
      <w:pPr>
        <w:spacing w:after="0" w:line="360" w:lineRule="auto"/>
        <w:contextualSpacing/>
        <w:rPr>
          <w:rFonts w:ascii="Cambria" w:hAnsi="Cambria"/>
          <w:lang w:eastAsia="fr-FR"/>
        </w:rPr>
      </w:pPr>
    </w:p>
    <w:p w14:paraId="795720B7" w14:textId="77777777" w:rsidR="00CD504B" w:rsidRPr="00CB5007" w:rsidRDefault="00CD504B" w:rsidP="008C18B6">
      <w:pPr>
        <w:spacing w:after="0" w:line="360" w:lineRule="auto"/>
        <w:contextualSpacing/>
        <w:rPr>
          <w:rFonts w:ascii="Cambria" w:hAnsi="Cambria"/>
          <w:lang w:eastAsia="fr-FR"/>
        </w:rPr>
      </w:pPr>
    </w:p>
    <w:p w14:paraId="417CB58E" w14:textId="77777777" w:rsidR="002455A3" w:rsidRPr="00CB5007" w:rsidRDefault="002455A3" w:rsidP="008C18B6">
      <w:pPr>
        <w:spacing w:after="0" w:line="360" w:lineRule="auto"/>
        <w:contextualSpacing/>
        <w:rPr>
          <w:rFonts w:ascii="Cambria" w:hAnsi="Cambria"/>
          <w:lang w:eastAsia="fr-FR"/>
        </w:rPr>
      </w:pPr>
    </w:p>
    <w:p w14:paraId="6B78F190" w14:textId="77777777" w:rsidR="00952AF3" w:rsidRPr="00CB5007" w:rsidRDefault="00952AF3" w:rsidP="008C18B6">
      <w:pPr>
        <w:spacing w:after="0" w:line="360" w:lineRule="auto"/>
        <w:contextualSpacing/>
        <w:rPr>
          <w:rFonts w:ascii="Cambria" w:hAnsi="Cambria"/>
          <w:lang w:eastAsia="fr-FR"/>
        </w:rPr>
      </w:pPr>
    </w:p>
    <w:p w14:paraId="70312BD9" w14:textId="77777777" w:rsidR="00C5504C" w:rsidRPr="00CB5007" w:rsidRDefault="00C5504C" w:rsidP="008C18B6">
      <w:pPr>
        <w:spacing w:after="0" w:line="360" w:lineRule="auto"/>
        <w:contextualSpacing/>
        <w:rPr>
          <w:rFonts w:ascii="Cambria" w:hAnsi="Cambria"/>
          <w:lang w:eastAsia="fr-FR"/>
        </w:rPr>
      </w:pPr>
    </w:p>
    <w:p w14:paraId="55D0A253" w14:textId="77777777" w:rsidR="00CD504B" w:rsidRPr="00CB5007" w:rsidRDefault="00CD504B" w:rsidP="008C18B6">
      <w:pPr>
        <w:spacing w:after="0" w:line="360" w:lineRule="auto"/>
        <w:contextualSpacing/>
        <w:rPr>
          <w:rFonts w:ascii="Cambria" w:hAnsi="Cambria"/>
          <w:lang w:eastAsia="fr-FR"/>
        </w:rPr>
      </w:pPr>
    </w:p>
    <w:p w14:paraId="4428230F" w14:textId="79ED9BFB" w:rsidR="00E81066" w:rsidRPr="00FD2CB8" w:rsidRDefault="00E366D8" w:rsidP="007E041C">
      <w:pPr>
        <w:spacing w:after="0" w:line="360" w:lineRule="auto"/>
        <w:contextualSpacing/>
        <w:jc w:val="center"/>
        <w:rPr>
          <w:rFonts w:ascii="Cambria" w:hAnsi="Cambria"/>
          <w:i/>
          <w:color w:val="C00000"/>
          <w:sz w:val="28"/>
        </w:rPr>
      </w:pPr>
      <w:r w:rsidRPr="00FD2CB8">
        <w:rPr>
          <w:rFonts w:ascii="Cambria" w:hAnsi="Cambria"/>
          <w:i/>
          <w:color w:val="C00000"/>
          <w:sz w:val="28"/>
        </w:rPr>
        <w:t>J3010919</w:t>
      </w:r>
      <w:r w:rsidR="00E94CB3" w:rsidRPr="00FD2CB8">
        <w:rPr>
          <w:rFonts w:ascii="Cambria" w:hAnsi="Cambria"/>
          <w:i/>
          <w:color w:val="C00000"/>
          <w:sz w:val="28"/>
        </w:rPr>
        <w:t>/ </w:t>
      </w:r>
      <w:r w:rsidR="00E81066" w:rsidRPr="00FD2CB8">
        <w:rPr>
          <w:rFonts w:ascii="Cambria" w:hAnsi="Cambria"/>
          <w:i/>
          <w:color w:val="C00000"/>
          <w:sz w:val="28"/>
        </w:rPr>
        <w:t xml:space="preserve">3011019 </w:t>
      </w:r>
      <w:r w:rsidR="00E94CB3" w:rsidRPr="00FD2CB8">
        <w:rPr>
          <w:rFonts w:ascii="Cambria" w:hAnsi="Cambria"/>
          <w:i/>
          <w:color w:val="C00000"/>
          <w:sz w:val="28"/>
        </w:rPr>
        <w:t>: Histoire de la République romaine</w:t>
      </w:r>
    </w:p>
    <w:p w14:paraId="146E398B" w14:textId="77777777" w:rsidR="00F50F49" w:rsidRPr="00FD2CB8" w:rsidRDefault="00F50F49" w:rsidP="007E041C">
      <w:pPr>
        <w:spacing w:after="0" w:line="360" w:lineRule="auto"/>
        <w:contextualSpacing/>
        <w:jc w:val="center"/>
        <w:rPr>
          <w:rFonts w:ascii="Cambria" w:hAnsi="Cambria"/>
          <w:i/>
          <w:color w:val="C00000"/>
          <w:sz w:val="28"/>
        </w:rPr>
      </w:pPr>
    </w:p>
    <w:p w14:paraId="3BE8C6FD" w14:textId="5C60C473" w:rsidR="007F10C0" w:rsidRPr="00FD2CB8" w:rsidRDefault="002E3A72" w:rsidP="00641E80">
      <w:pPr>
        <w:spacing w:after="0" w:line="360" w:lineRule="auto"/>
        <w:contextualSpacing/>
        <w:jc w:val="center"/>
        <w:rPr>
          <w:rFonts w:ascii="Cambria" w:hAnsi="Cambria" w:cs="Times New Roman"/>
          <w:sz w:val="22"/>
        </w:rPr>
      </w:pPr>
      <w:r w:rsidRPr="00FD2CB8">
        <w:rPr>
          <w:rFonts w:ascii="Cambria" w:hAnsi="Cambria" w:cs="Times New Roman"/>
          <w:sz w:val="22"/>
        </w:rPr>
        <w:t>Sylvie Pittia (CM</w:t>
      </w:r>
      <w:r w:rsidR="009F5109" w:rsidRPr="00FD2CB8">
        <w:rPr>
          <w:rFonts w:ascii="Cambria" w:hAnsi="Cambria" w:cs="Times New Roman"/>
          <w:sz w:val="22"/>
        </w:rPr>
        <w:t>/TD</w:t>
      </w:r>
      <w:r w:rsidRPr="00FD2CB8">
        <w:rPr>
          <w:rFonts w:ascii="Cambria" w:hAnsi="Cambria" w:cs="Times New Roman"/>
          <w:sz w:val="22"/>
        </w:rPr>
        <w:t>)</w:t>
      </w:r>
      <w:r w:rsidR="00E94CB3" w:rsidRPr="00FD2CB8">
        <w:rPr>
          <w:rFonts w:ascii="Cambria" w:hAnsi="Cambria" w:cs="Times New Roman"/>
          <w:sz w:val="22"/>
        </w:rPr>
        <w:t xml:space="preserve">, </w:t>
      </w:r>
      <w:r w:rsidR="00CF12D3" w:rsidRPr="00FD2CB8">
        <w:rPr>
          <w:rFonts w:ascii="Cambria" w:hAnsi="Cambria" w:cs="Times New Roman"/>
          <w:sz w:val="22"/>
        </w:rPr>
        <w:t xml:space="preserve">Charles-Alban Horvais, </w:t>
      </w:r>
      <w:r w:rsidR="00DA3A55" w:rsidRPr="00FD2CB8">
        <w:rPr>
          <w:rFonts w:ascii="Cambria" w:hAnsi="Cambria" w:cs="Times New Roman"/>
          <w:sz w:val="22"/>
        </w:rPr>
        <w:t xml:space="preserve">Jean-Claude Lacam, </w:t>
      </w:r>
      <w:r w:rsidR="00CF12D3" w:rsidRPr="00FD2CB8">
        <w:rPr>
          <w:rFonts w:ascii="Cambria" w:hAnsi="Cambria" w:cs="Times New Roman"/>
          <w:sz w:val="22"/>
        </w:rPr>
        <w:t>Raphaëlle Laignoux</w:t>
      </w:r>
      <w:r w:rsidR="00234292" w:rsidRPr="00FD2CB8">
        <w:rPr>
          <w:rFonts w:ascii="Cambria" w:hAnsi="Cambria" w:cs="Times New Roman"/>
          <w:sz w:val="22"/>
        </w:rPr>
        <w:t xml:space="preserve"> (TD)</w:t>
      </w:r>
    </w:p>
    <w:p w14:paraId="493BD2A0" w14:textId="77777777" w:rsidR="002E3A72" w:rsidRPr="00FD2CB8" w:rsidRDefault="002E3A72" w:rsidP="008C18B6">
      <w:pPr>
        <w:spacing w:after="0" w:line="360" w:lineRule="auto"/>
        <w:contextualSpacing/>
        <w:jc w:val="center"/>
        <w:rPr>
          <w:rFonts w:ascii="Cambria" w:hAnsi="Cambria" w:cs="Times New Roman"/>
          <w:b w:val="0"/>
          <w:bCs/>
          <w:sz w:val="22"/>
        </w:rPr>
      </w:pPr>
    </w:p>
    <w:p w14:paraId="10B8DD6A" w14:textId="30941062" w:rsidR="00F50F49" w:rsidRPr="00FD2CB8" w:rsidRDefault="00F50F49" w:rsidP="00F50F49">
      <w:pPr>
        <w:rPr>
          <w:rFonts w:ascii="Cambria" w:hAnsi="Cambria"/>
          <w:color w:val="C00000"/>
          <w:sz w:val="22"/>
        </w:rPr>
      </w:pPr>
      <w:bookmarkStart w:id="4" w:name="_Hlk46125917"/>
      <w:r w:rsidRPr="00FD2CB8">
        <w:rPr>
          <w:rFonts w:ascii="Cambria" w:eastAsia="ArialNarrow,Bold" w:hAnsi="Cambria" w:cs="ArialNarrow,Bold"/>
          <w:color w:val="C00000"/>
          <w:kern w:val="0"/>
          <w:sz w:val="22"/>
          <w:u w:val="single"/>
          <w:lang w:eastAsia="en-US"/>
        </w:rPr>
        <w:t>Sujet du cours semestre 1</w:t>
      </w:r>
      <w:r w:rsidRPr="00FD2CB8">
        <w:rPr>
          <w:rFonts w:ascii="Cambria" w:eastAsia="ArialNarrow,Bold" w:hAnsi="Cambria" w:cs="ArialNarrow,Bold"/>
          <w:color w:val="C00000"/>
          <w:kern w:val="0"/>
          <w:sz w:val="22"/>
          <w:lang w:eastAsia="en-US"/>
        </w:rPr>
        <w:t xml:space="preserve"> : </w:t>
      </w:r>
      <w:bookmarkEnd w:id="4"/>
      <w:r w:rsidRPr="00FD2CB8">
        <w:rPr>
          <w:rFonts w:ascii="Cambria" w:hAnsi="Cambria"/>
          <w:color w:val="C00000"/>
          <w:sz w:val="22"/>
        </w:rPr>
        <w:t>« Une cité-Etat à la conquête de l’Italie » (396-270 av. n.è.)</w:t>
      </w:r>
    </w:p>
    <w:p w14:paraId="6C76C41C" w14:textId="5C559D57" w:rsidR="00F50F49" w:rsidRPr="00FD2CB8" w:rsidRDefault="00F50F49" w:rsidP="00F50F49">
      <w:pPr>
        <w:jc w:val="both"/>
        <w:rPr>
          <w:rFonts w:ascii="Cambria" w:hAnsi="Cambria"/>
          <w:b w:val="0"/>
          <w:bCs/>
          <w:sz w:val="22"/>
        </w:rPr>
      </w:pPr>
      <w:r w:rsidRPr="00FD2CB8">
        <w:rPr>
          <w:rFonts w:ascii="Cambria" w:hAnsi="Cambria"/>
          <w:b w:val="0"/>
          <w:bCs/>
          <w:sz w:val="22"/>
        </w:rPr>
        <w:t xml:space="preserve">En 396, la cité romaine achève victorieusement une « guerre de cent ans » contre sa rivale étrusque Veii, mais elle est ébranlée par des invasions gauloises. Le rétablissement rapide de la cité favorise des formes d’expansion territoriale, vers le nord comme vers le sud de la péninsule. Au plan institutionnel, le long conflit patricio-plébéien trouve des formes de résolution et une nouvelle aristocratie de gouvernement se constitue. Des tensions économico-sociales perdurent à propos du partage des terres, de l’endettement. Le cours traite des grandes étapes de l’évolution institutionnelle, des transformations de l’armée romaine et évoque les principaux ennemis successifs ou simultanés, en insistant sur les alliances romaines et la géopolitique italienne. Il aborde la documentation concernant des peuples d’Italie autres que latins. Après des années de conflits incertains, en particulier contre les Samnites mais aussi contre les cités grecques alliées du roi épirote Pyrrhus, la cité romaine impose son hégémonie sur la péninsule italienne et, à la toute fin de la période, sa classe dirigeante considère l’hypothèse d’une </w:t>
      </w:r>
      <w:r w:rsidRPr="00FD2CB8">
        <w:rPr>
          <w:rFonts w:ascii="Cambria" w:hAnsi="Cambria"/>
          <w:b w:val="0"/>
          <w:bCs/>
          <w:sz w:val="22"/>
          <w:lang w:eastAsia="en-US"/>
        </w:rPr>
        <w:t xml:space="preserve">expansion outre-mer. </w:t>
      </w:r>
      <w:r w:rsidRPr="00FD2CB8">
        <w:rPr>
          <w:rFonts w:ascii="Cambria" w:hAnsi="Cambria"/>
          <w:b w:val="0"/>
          <w:bCs/>
          <w:sz w:val="22"/>
        </w:rPr>
        <w:t>L’État romain a divisé les populations vaincues en plusieurs catégories, avec des droits et obligations spécifiques à son égard. C’est la création d’une sorte de « Roman commonwealth », fondé sur une hiérarchie des statuts juridiques qui concernent aussi bien les individus que l’organisation des territoires.</w:t>
      </w:r>
    </w:p>
    <w:p w14:paraId="79E33CDB" w14:textId="77777777" w:rsidR="00FD2CB8" w:rsidRDefault="00FD2CB8" w:rsidP="00F50F49">
      <w:pPr>
        <w:rPr>
          <w:rFonts w:ascii="Cambria" w:hAnsi="Cambria"/>
          <w:color w:val="B71E42" w:themeColor="accent1"/>
          <w:sz w:val="22"/>
          <w:u w:val="single"/>
          <w:lang w:eastAsia="en-US"/>
        </w:rPr>
      </w:pPr>
      <w:bookmarkStart w:id="5" w:name="_Hlk46125958"/>
    </w:p>
    <w:p w14:paraId="065E112A" w14:textId="77777777" w:rsidR="00FD2CB8" w:rsidRDefault="00FD2CB8" w:rsidP="00F50F49">
      <w:pPr>
        <w:rPr>
          <w:rFonts w:ascii="Cambria" w:hAnsi="Cambria"/>
          <w:color w:val="B71E42" w:themeColor="accent1"/>
          <w:sz w:val="22"/>
          <w:u w:val="single"/>
          <w:lang w:eastAsia="en-US"/>
        </w:rPr>
      </w:pPr>
    </w:p>
    <w:p w14:paraId="66E33DAB" w14:textId="77777777" w:rsidR="00FD2CB8" w:rsidRDefault="00FD2CB8" w:rsidP="00F50F49">
      <w:pPr>
        <w:rPr>
          <w:rFonts w:ascii="Cambria" w:hAnsi="Cambria"/>
          <w:color w:val="B71E42" w:themeColor="accent1"/>
          <w:sz w:val="22"/>
          <w:u w:val="single"/>
          <w:lang w:eastAsia="en-US"/>
        </w:rPr>
      </w:pPr>
    </w:p>
    <w:p w14:paraId="5AD24834" w14:textId="77777777" w:rsidR="00FD2CB8" w:rsidRDefault="00FD2CB8" w:rsidP="00F50F49">
      <w:pPr>
        <w:rPr>
          <w:rFonts w:ascii="Cambria" w:hAnsi="Cambria"/>
          <w:color w:val="B71E42" w:themeColor="accent1"/>
          <w:sz w:val="22"/>
          <w:u w:val="single"/>
          <w:lang w:eastAsia="en-US"/>
        </w:rPr>
      </w:pPr>
    </w:p>
    <w:p w14:paraId="15D0894D" w14:textId="77777777" w:rsidR="00FD2CB8" w:rsidRDefault="00FD2CB8" w:rsidP="00F50F49">
      <w:pPr>
        <w:rPr>
          <w:rFonts w:ascii="Cambria" w:hAnsi="Cambria"/>
          <w:color w:val="C00000"/>
          <w:sz w:val="22"/>
          <w:u w:val="single"/>
          <w:lang w:eastAsia="en-US"/>
        </w:rPr>
      </w:pPr>
    </w:p>
    <w:p w14:paraId="44B2797D" w14:textId="23EB52B4" w:rsidR="00F50F49" w:rsidRPr="00FD2CB8" w:rsidRDefault="00F50F49" w:rsidP="00F50F49">
      <w:pPr>
        <w:rPr>
          <w:rFonts w:ascii="Cambria" w:hAnsi="Cambria"/>
          <w:color w:val="C00000"/>
          <w:sz w:val="22"/>
        </w:rPr>
      </w:pPr>
      <w:r w:rsidRPr="00FD2CB8">
        <w:rPr>
          <w:rFonts w:ascii="Cambria" w:hAnsi="Cambria"/>
          <w:color w:val="C00000"/>
          <w:sz w:val="22"/>
          <w:u w:val="single"/>
          <w:lang w:eastAsia="en-US"/>
        </w:rPr>
        <w:t>Sujet du cours semestre 2</w:t>
      </w:r>
      <w:bookmarkEnd w:id="5"/>
      <w:r w:rsidRPr="00FD2CB8">
        <w:rPr>
          <w:rFonts w:ascii="Cambria" w:hAnsi="Cambria"/>
          <w:color w:val="C00000"/>
          <w:sz w:val="22"/>
          <w:lang w:eastAsia="en-US"/>
        </w:rPr>
        <w:t xml:space="preserve"> </w:t>
      </w:r>
      <w:r w:rsidRPr="00FD2CB8">
        <w:rPr>
          <w:rFonts w:ascii="Cambria" w:eastAsia="ArialNarrow,Bold" w:hAnsi="Cambria" w:cs="ArialNarrow,Bold"/>
          <w:color w:val="C00000"/>
          <w:kern w:val="0"/>
          <w:sz w:val="22"/>
          <w:lang w:eastAsia="en-US"/>
        </w:rPr>
        <w:t xml:space="preserve">: </w:t>
      </w:r>
      <w:r w:rsidRPr="00FD2CB8">
        <w:rPr>
          <w:rFonts w:ascii="Cambria" w:hAnsi="Cambria"/>
          <w:color w:val="C00000"/>
          <w:sz w:val="22"/>
        </w:rPr>
        <w:t>Une grande puissance en Méditerranée : la République romaine à son apogée (270-146 av. n.è.)</w:t>
      </w:r>
    </w:p>
    <w:p w14:paraId="2287CF61" w14:textId="7C301481" w:rsidR="00F50F49" w:rsidRPr="00FD2CB8" w:rsidRDefault="00F50F49" w:rsidP="00FD2CB8">
      <w:pPr>
        <w:jc w:val="both"/>
        <w:rPr>
          <w:rFonts w:ascii="Cambria" w:hAnsi="Cambria"/>
          <w:b w:val="0"/>
          <w:bCs/>
          <w:sz w:val="22"/>
        </w:rPr>
      </w:pPr>
      <w:r w:rsidRPr="00FD2CB8">
        <w:rPr>
          <w:rFonts w:ascii="Cambria" w:hAnsi="Cambria"/>
          <w:b w:val="0"/>
          <w:bCs/>
          <w:sz w:val="22"/>
        </w:rPr>
        <w:t>En 270 avant notre ère, Rome parachève avec la conquête de Tarente sa domination sur l’Italie péninsulaire. La poursuite d’une expansion territoriale implique désormais des expéditions outre-mer. La plus grande puissance de Méditerranée occidentale, Carthage, jusque-là alliée de Rome, devient le principal obstacle à son hégémonie. Cette lutte a pour enjeux successifs la Sicile, la Sardaigne et la Corse, puis la péninsule ibérique et les espaces maritimes en Méditerranée occidentale. Elle menace même la survie de Rome quand les armées d’Hannibal envahissent et occupent durablement l’Italie. Or la défaite militaire engage la souveraineté politique, sans laquelle la cité antique ne survit pas. Au-delà de la suprématie, Rome et Carthage jouent leur existence. Les victoires romaines permettent la mise en place progressive d’un système nouveau de domination des populations et des territoires conquis, les provinces. Leur exploitation économique est désormais orientée au profit du vainqueur romain. Rome doit aussi adapter son armée aux besoins nouveaux de sa sécurité et la nature même du commandement militaire évolue, encourageant du même coup les formes de personnalisation du pouvoir et le culte des chefs. Forte de ses succès, Rome se tourne alors vers l’Orient et entame sa conquête des Balkans ; elle vient à bout du royaume de Macédoine, où règnent les successeurs d’Alexandre, puis de Corinthe, dernière cité-phare du monde grec. Ces conquêtes ont aussi des conséquences culturelles, notamment dans les rapports de Rome à l’hellénisme. En 146, Rome a éliminé à l’ouest comme à l’est de la Méditerranée toutes les grandes puissances à sa mesure. La République est à son apogée.</w:t>
      </w:r>
    </w:p>
    <w:p w14:paraId="4F2B73D6" w14:textId="77777777" w:rsidR="00F50F49" w:rsidRPr="00FD2CB8" w:rsidRDefault="00F50F49" w:rsidP="00F50F49">
      <w:pPr>
        <w:rPr>
          <w:rFonts w:ascii="Cambria" w:hAnsi="Cambria"/>
          <w:sz w:val="22"/>
          <w:lang w:eastAsia="en-US"/>
        </w:rPr>
      </w:pPr>
      <w:r w:rsidRPr="00FD2CB8">
        <w:rPr>
          <w:rFonts w:ascii="Cambria" w:hAnsi="Cambria"/>
          <w:sz w:val="22"/>
          <w:lang w:eastAsia="en-US"/>
        </w:rPr>
        <w:t>Pistes bibliographiques</w:t>
      </w:r>
    </w:p>
    <w:p w14:paraId="5107AA0A"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-Pour la couverture chronologique des deux semestres :</w:t>
      </w:r>
    </w:p>
    <w:p w14:paraId="2E131E8C"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 xml:space="preserve">S. Bourdin, C. Virlouvet, </w:t>
      </w:r>
      <w:r w:rsidRPr="00FD2CB8">
        <w:rPr>
          <w:rFonts w:ascii="Cambria" w:hAnsi="Cambria"/>
          <w:b w:val="0"/>
          <w:bCs/>
          <w:i/>
          <w:sz w:val="22"/>
          <w:lang w:eastAsia="en-US"/>
        </w:rPr>
        <w:t>Rome naissance d’un empire. De Romulus à Pompée</w:t>
      </w:r>
      <w:r w:rsidRPr="00FD2CB8">
        <w:rPr>
          <w:rFonts w:ascii="Cambria" w:hAnsi="Cambria"/>
          <w:b w:val="0"/>
          <w:bCs/>
          <w:sz w:val="22"/>
          <w:lang w:eastAsia="en-US"/>
        </w:rPr>
        <w:t>, Paris, Belin, 2021 (version de poche, 2024).</w:t>
      </w:r>
    </w:p>
    <w:p w14:paraId="2E879D54"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 xml:space="preserve">Fr. Hinard (dir.), </w:t>
      </w:r>
      <w:r w:rsidRPr="00FD2CB8">
        <w:rPr>
          <w:rFonts w:ascii="Cambria" w:eastAsia="ArialNarrow,Italic" w:hAnsi="Cambria" w:cs="ArialNarrow,Italic"/>
          <w:b w:val="0"/>
          <w:bCs/>
          <w:i/>
          <w:iCs/>
          <w:sz w:val="22"/>
          <w:lang w:eastAsia="en-US"/>
        </w:rPr>
        <w:t>Histoire romaine</w:t>
      </w:r>
      <w:r w:rsidRPr="00FD2CB8">
        <w:rPr>
          <w:rFonts w:ascii="Cambria" w:hAnsi="Cambria"/>
          <w:b w:val="0"/>
          <w:bCs/>
          <w:sz w:val="22"/>
          <w:lang w:eastAsia="en-US"/>
        </w:rPr>
        <w:t xml:space="preserve">, 1, </w:t>
      </w:r>
      <w:r w:rsidRPr="00FD2CB8">
        <w:rPr>
          <w:rFonts w:ascii="Cambria" w:eastAsia="ArialNarrow,Italic" w:hAnsi="Cambria" w:cs="ArialNarrow,Italic"/>
          <w:b w:val="0"/>
          <w:bCs/>
          <w:i/>
          <w:iCs/>
          <w:sz w:val="22"/>
          <w:lang w:eastAsia="en-US"/>
        </w:rPr>
        <w:t>Des origines à Auguste</w:t>
      </w:r>
      <w:r w:rsidRPr="00FD2CB8">
        <w:rPr>
          <w:rFonts w:ascii="Cambria" w:hAnsi="Cambria"/>
          <w:b w:val="0"/>
          <w:bCs/>
          <w:sz w:val="22"/>
          <w:lang w:eastAsia="en-US"/>
        </w:rPr>
        <w:t>, Paris, Fayard, 2000 (nouveau tirage 2021).</w:t>
      </w:r>
    </w:p>
    <w:p w14:paraId="0A69B510" w14:textId="77777777" w:rsidR="00DA3A55" w:rsidRPr="00FD2CB8" w:rsidRDefault="00DA3A55" w:rsidP="00DA3A55">
      <w:pPr>
        <w:rPr>
          <w:b w:val="0"/>
          <w:bCs/>
          <w:szCs w:val="24"/>
          <w:lang w:eastAsia="en-US"/>
        </w:rPr>
      </w:pPr>
      <w:r w:rsidRPr="00FD2CB8">
        <w:rPr>
          <w:b w:val="0"/>
          <w:bCs/>
          <w:szCs w:val="24"/>
          <w:lang w:eastAsia="en-US"/>
        </w:rPr>
        <w:t xml:space="preserve">M. Humm, </w:t>
      </w:r>
      <w:r w:rsidRPr="00FD2CB8">
        <w:rPr>
          <w:b w:val="0"/>
          <w:bCs/>
          <w:i/>
          <w:iCs/>
          <w:szCs w:val="24"/>
          <w:lang w:eastAsia="en-US"/>
        </w:rPr>
        <w:t>La République romaine et son empire, de 509 à 31 av. J.-C</w:t>
      </w:r>
      <w:r w:rsidRPr="00FD2CB8">
        <w:rPr>
          <w:b w:val="0"/>
          <w:bCs/>
          <w:szCs w:val="24"/>
          <w:lang w:eastAsia="en-US"/>
        </w:rPr>
        <w:t xml:space="preserve">., Paris, A. Colin, U. Histoire, </w:t>
      </w:r>
      <w:r w:rsidRPr="00FD2CB8">
        <w:rPr>
          <w:b w:val="0"/>
          <w:bCs/>
          <w:color w:val="EE0000"/>
          <w:szCs w:val="24"/>
          <w:lang w:eastAsia="en-US"/>
        </w:rPr>
        <w:t>2</w:t>
      </w:r>
      <w:r w:rsidRPr="00FD2CB8">
        <w:rPr>
          <w:b w:val="0"/>
          <w:bCs/>
          <w:color w:val="EE0000"/>
          <w:szCs w:val="24"/>
          <w:vertAlign w:val="superscript"/>
          <w:lang w:eastAsia="en-US"/>
        </w:rPr>
        <w:t>e</w:t>
      </w:r>
      <w:r w:rsidRPr="00FD2CB8">
        <w:rPr>
          <w:b w:val="0"/>
          <w:bCs/>
          <w:color w:val="EE0000"/>
          <w:szCs w:val="24"/>
          <w:lang w:eastAsia="en-US"/>
        </w:rPr>
        <w:t xml:space="preserve"> éd., 2024 </w:t>
      </w:r>
      <w:r w:rsidRPr="00FD2CB8">
        <w:rPr>
          <w:b w:val="0"/>
          <w:bCs/>
          <w:szCs w:val="24"/>
          <w:lang w:eastAsia="en-US"/>
        </w:rPr>
        <w:t>(accessible en ligne sur le site de la BIS)</w:t>
      </w:r>
    </w:p>
    <w:p w14:paraId="01F72548" w14:textId="77777777" w:rsidR="00F50F49" w:rsidRPr="00FD2CB8" w:rsidRDefault="00F50F49" w:rsidP="00F50F49">
      <w:pPr>
        <w:rPr>
          <w:rFonts w:ascii="Cambria" w:hAnsi="Cambria"/>
          <w:b w:val="0"/>
          <w:bCs/>
          <w:sz w:val="22"/>
          <w:lang w:eastAsia="en-US"/>
        </w:rPr>
      </w:pPr>
    </w:p>
    <w:p w14:paraId="015DE99E"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-Pour l’étude de grands aspects du programme :</w:t>
      </w:r>
    </w:p>
    <w:p w14:paraId="0AD7F732"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J.-M. David, </w:t>
      </w:r>
      <w:r w:rsidRPr="00FD2CB8">
        <w:rPr>
          <w:rFonts w:ascii="Cambria" w:eastAsia="ArialNarrow,Italic" w:hAnsi="Cambria" w:cs="ArialNarrow,Italic"/>
          <w:b w:val="0"/>
          <w:bCs/>
          <w:i/>
          <w:iCs/>
          <w:sz w:val="22"/>
          <w:lang w:eastAsia="en-US"/>
        </w:rPr>
        <w:t>La romanisation de l’Italie</w:t>
      </w:r>
      <w:r w:rsidRPr="00FD2CB8">
        <w:rPr>
          <w:rFonts w:ascii="Cambria" w:hAnsi="Cambria"/>
          <w:b w:val="0"/>
          <w:bCs/>
          <w:sz w:val="22"/>
          <w:lang w:eastAsia="en-US"/>
        </w:rPr>
        <w:t>, Paris, Aubier, 1994 (nouveau tirage Flammarion, 2021).</w:t>
      </w:r>
    </w:p>
    <w:p w14:paraId="1A32E465"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E. Deniaux, Rome de la cité-État à l’Empire. Institutions et vie politique, 2</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éd., Paris, Hachette, 2013 (accessible en ligne sur le site BIS)</w:t>
      </w:r>
    </w:p>
    <w:p w14:paraId="2D70B5FD"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Cl. Nicolet, </w:t>
      </w:r>
      <w:r w:rsidRPr="00FD2CB8">
        <w:rPr>
          <w:rFonts w:ascii="Cambria" w:eastAsia="ArialNarrow,Italic" w:hAnsi="Cambria" w:cs="ArialNarrow,Italic"/>
          <w:b w:val="0"/>
          <w:bCs/>
          <w:i/>
          <w:iCs/>
          <w:sz w:val="22"/>
          <w:lang w:eastAsia="en-US"/>
        </w:rPr>
        <w:t>Le Métier de citoyen dans la Rome républicaine</w:t>
      </w:r>
      <w:r w:rsidRPr="00FD2CB8">
        <w:rPr>
          <w:rFonts w:ascii="Cambria" w:hAnsi="Cambria"/>
          <w:b w:val="0"/>
          <w:bCs/>
          <w:sz w:val="22"/>
          <w:lang w:eastAsia="en-US"/>
        </w:rPr>
        <w:t>, 2</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éd. revue et corrigée, Paris, Gallimard, 1979 (rééd. dans la coll. TEL, accessible en ligne sur le site BIS).</w:t>
      </w:r>
    </w:p>
    <w:p w14:paraId="580278E4"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Cl. Nicolet, </w:t>
      </w:r>
      <w:r w:rsidRPr="00FD2CB8">
        <w:rPr>
          <w:rFonts w:ascii="Cambria" w:eastAsia="ArialNarrow,Italic" w:hAnsi="Cambria" w:cs="ArialNarrow,Italic"/>
          <w:b w:val="0"/>
          <w:bCs/>
          <w:i/>
          <w:iCs/>
          <w:sz w:val="22"/>
          <w:lang w:eastAsia="en-US"/>
        </w:rPr>
        <w:t>Rome et la conquête du monde méditerranéen</w:t>
      </w:r>
      <w:r w:rsidRPr="00FD2CB8">
        <w:rPr>
          <w:rFonts w:ascii="Cambria" w:hAnsi="Cambria"/>
          <w:b w:val="0"/>
          <w:bCs/>
          <w:sz w:val="22"/>
          <w:lang w:eastAsia="en-US"/>
        </w:rPr>
        <w:t xml:space="preserve">, t. 1, </w:t>
      </w:r>
      <w:r w:rsidRPr="00FD2CB8">
        <w:rPr>
          <w:rFonts w:ascii="Cambria" w:hAnsi="Cambria"/>
          <w:b w:val="0"/>
          <w:bCs/>
          <w:i/>
          <w:sz w:val="22"/>
          <w:lang w:eastAsia="en-US"/>
        </w:rPr>
        <w:t>Les</w:t>
      </w:r>
      <w:r w:rsidRPr="00FD2CB8">
        <w:rPr>
          <w:rFonts w:ascii="Cambria" w:eastAsia="ArialNarrow,Italic" w:hAnsi="Cambria" w:cs="ArialNarrow,Italic"/>
          <w:b w:val="0"/>
          <w:bCs/>
          <w:i/>
          <w:iCs/>
          <w:sz w:val="22"/>
          <w:lang w:eastAsia="en-US"/>
        </w:rPr>
        <w:t xml:space="preserve"> structures de l'Italie romaine</w:t>
      </w:r>
      <w:r w:rsidRPr="00FD2CB8">
        <w:rPr>
          <w:rFonts w:ascii="Cambria" w:hAnsi="Cambria"/>
          <w:b w:val="0"/>
          <w:bCs/>
          <w:sz w:val="22"/>
          <w:lang w:eastAsia="en-US"/>
        </w:rPr>
        <w:t>, Paris, PUF, Nouvelle Clio, 1979 (10</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rééd. 2001 ; accessible en ligne sur le site BIS).</w:t>
      </w:r>
    </w:p>
    <w:p w14:paraId="71E4A7E7" w14:textId="77777777" w:rsidR="00F50F49" w:rsidRPr="00FD2CB8" w:rsidRDefault="00F50F49" w:rsidP="00DA3A55">
      <w:pPr>
        <w:jc w:val="both"/>
        <w:rPr>
          <w:rFonts w:ascii="Cambria" w:hAnsi="Cambria"/>
          <w:b w:val="0"/>
          <w:bCs/>
          <w:sz w:val="22"/>
          <w:lang w:eastAsia="en-US"/>
        </w:rPr>
      </w:pPr>
    </w:p>
    <w:p w14:paraId="6C0A4A64"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-À consulter :</w:t>
      </w:r>
    </w:p>
    <w:p w14:paraId="61D4D9BC"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A. Boissière, C. Grandjean, C. Virlouvet, </w:t>
      </w:r>
      <w:r w:rsidRPr="00FD2CB8">
        <w:rPr>
          <w:rFonts w:ascii="Cambria" w:hAnsi="Cambria"/>
          <w:b w:val="0"/>
          <w:bCs/>
          <w:i/>
          <w:iCs/>
          <w:sz w:val="22"/>
          <w:lang w:eastAsia="en-US"/>
        </w:rPr>
        <w:t>Atlas de la Méditerranée ancienne</w:t>
      </w:r>
      <w:r w:rsidRPr="00FD2CB8">
        <w:rPr>
          <w:rFonts w:ascii="Cambria" w:hAnsi="Cambria"/>
          <w:b w:val="0"/>
          <w:bCs/>
          <w:sz w:val="22"/>
          <w:lang w:eastAsia="en-US"/>
        </w:rPr>
        <w:t>, Paris, Belin, 2025</w:t>
      </w:r>
    </w:p>
    <w:p w14:paraId="57134A85" w14:textId="77777777" w:rsidR="00363032" w:rsidRPr="00FD2CB8" w:rsidRDefault="00363032" w:rsidP="005035FD">
      <w:pPr>
        <w:spacing w:after="0" w:line="360" w:lineRule="auto"/>
        <w:contextualSpacing/>
        <w:jc w:val="center"/>
        <w:rPr>
          <w:rFonts w:ascii="Cambria" w:hAnsi="Cambria"/>
          <w:i/>
          <w:color w:val="C00000"/>
          <w:sz w:val="28"/>
          <w:lang w:eastAsia="en-US"/>
        </w:rPr>
      </w:pPr>
    </w:p>
    <w:p w14:paraId="511922C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FFD6AB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33076D8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554D9C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29779CE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49971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5328C6D5"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3E49C2B5"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01EB2C7"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56FB7FF7"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EA3578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29C190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921564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2EC1A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F9A8D9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6C0E2CEC"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9BD2E7D"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7B9AD1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B32EB7C"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62318B2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C523AF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74BDFF9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20B1C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42671D2"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807798A"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268E9297" w14:textId="77777777" w:rsidR="00915648" w:rsidRPr="00FD2CB8" w:rsidRDefault="00915648" w:rsidP="005035FD">
      <w:pPr>
        <w:spacing w:after="0" w:line="360" w:lineRule="auto"/>
        <w:contextualSpacing/>
        <w:jc w:val="center"/>
        <w:rPr>
          <w:rFonts w:ascii="Cambria" w:hAnsi="Cambria"/>
          <w:i/>
          <w:color w:val="C00000"/>
          <w:sz w:val="28"/>
          <w:lang w:eastAsia="en-US"/>
        </w:rPr>
      </w:pPr>
    </w:p>
    <w:p w14:paraId="606F618F" w14:textId="77777777" w:rsidR="00641E80" w:rsidRPr="00FD2CB8" w:rsidRDefault="00641E80" w:rsidP="00A666CA">
      <w:pPr>
        <w:spacing w:after="0" w:line="360" w:lineRule="auto"/>
        <w:contextualSpacing/>
        <w:rPr>
          <w:rFonts w:ascii="Cambria" w:hAnsi="Cambria"/>
          <w:i/>
          <w:color w:val="C00000"/>
          <w:sz w:val="28"/>
          <w:lang w:eastAsia="en-US"/>
        </w:rPr>
      </w:pPr>
    </w:p>
    <w:p w14:paraId="3E1BDCBA" w14:textId="06120A0F" w:rsidR="00C5504C" w:rsidRPr="00A666CA" w:rsidRDefault="00E366D8" w:rsidP="00A666CA">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J3011119/J3011219</w:t>
      </w:r>
      <w:r w:rsidR="00A35799" w:rsidRPr="00FD2CB8">
        <w:rPr>
          <w:rFonts w:ascii="Cambria" w:hAnsi="Cambria"/>
          <w:i/>
          <w:color w:val="C00000"/>
          <w:sz w:val="28"/>
          <w:lang w:eastAsia="en-US"/>
        </w:rPr>
        <w:t xml:space="preserve"> : Les provinces </w:t>
      </w:r>
      <w:r w:rsidR="009E254B" w:rsidRPr="00FD2CB8">
        <w:rPr>
          <w:rFonts w:ascii="Cambria" w:hAnsi="Cambria"/>
          <w:i/>
          <w:color w:val="C00000"/>
          <w:sz w:val="28"/>
          <w:lang w:eastAsia="en-US"/>
        </w:rPr>
        <w:t>de l’Occident romain</w:t>
      </w:r>
    </w:p>
    <w:p w14:paraId="4189531E" w14:textId="6ED1EA2F" w:rsidR="00C5504C" w:rsidRDefault="00311672" w:rsidP="00A666CA">
      <w:pPr>
        <w:suppressAutoHyphens/>
        <w:spacing w:after="0" w:line="360" w:lineRule="auto"/>
        <w:contextualSpacing/>
        <w:jc w:val="center"/>
        <w:rPr>
          <w:rFonts w:ascii="Cambria" w:hAnsi="Cambria" w:cs="Times New Roman"/>
          <w:sz w:val="22"/>
        </w:rPr>
      </w:pPr>
      <w:r w:rsidRPr="00FD2CB8">
        <w:rPr>
          <w:rFonts w:ascii="Cambria" w:hAnsi="Cambria" w:cs="Times New Roman"/>
          <w:sz w:val="22"/>
        </w:rPr>
        <w:t>François Chausson (CM), Anne</w:t>
      </w:r>
      <w:r w:rsidR="002A2DE7" w:rsidRPr="00FD2CB8">
        <w:rPr>
          <w:rFonts w:ascii="Cambria" w:hAnsi="Cambria" w:cs="Times New Roman"/>
          <w:sz w:val="22"/>
        </w:rPr>
        <w:t>-Florence Baroni (TD)</w:t>
      </w:r>
    </w:p>
    <w:p w14:paraId="32F39B53" w14:textId="77777777" w:rsidR="00A666CA" w:rsidRPr="00FD2CB8" w:rsidRDefault="00A666CA" w:rsidP="00A666CA">
      <w:pPr>
        <w:suppressAutoHyphens/>
        <w:spacing w:after="0" w:line="360" w:lineRule="auto"/>
        <w:contextualSpacing/>
        <w:jc w:val="center"/>
        <w:rPr>
          <w:rFonts w:ascii="Cambria" w:hAnsi="Cambria" w:cs="Times New Roman"/>
          <w:sz w:val="22"/>
        </w:rPr>
      </w:pPr>
    </w:p>
    <w:p w14:paraId="7F94EED4" w14:textId="49E3ED35" w:rsidR="00C5504C" w:rsidRPr="00A666CA" w:rsidRDefault="00C5504C" w:rsidP="00C5504C">
      <w:pPr>
        <w:suppressAutoHyphens/>
        <w:spacing w:after="0" w:line="276" w:lineRule="auto"/>
        <w:contextualSpacing/>
        <w:rPr>
          <w:rFonts w:ascii="Cambria" w:hAnsi="Cambria" w:cs="Times New Roman"/>
          <w:color w:val="C00000"/>
          <w:sz w:val="22"/>
        </w:rPr>
      </w:pPr>
      <w:r w:rsidRPr="00A666CA">
        <w:rPr>
          <w:rFonts w:ascii="Cambria" w:hAnsi="Cambria" w:cs="Times New Roman"/>
          <w:color w:val="C00000"/>
          <w:sz w:val="22"/>
          <w:u w:val="single"/>
        </w:rPr>
        <w:t>Sujet du cours semestre 1</w:t>
      </w:r>
      <w:r w:rsidRPr="00A666CA">
        <w:rPr>
          <w:rFonts w:ascii="Cambria" w:hAnsi="Cambria" w:cs="Times New Roman"/>
          <w:color w:val="C00000"/>
          <w:sz w:val="22"/>
        </w:rPr>
        <w:t xml:space="preserve"> : Les provinces romaines d’Afrique du Nord, de César à l’édit de Caracalla (48 av. J.-C. - 212 ap. J.-C.)</w:t>
      </w:r>
    </w:p>
    <w:p w14:paraId="411EA9AC" w14:textId="77777777" w:rsidR="00A666CA" w:rsidRPr="00FD2CB8" w:rsidRDefault="00A666CA" w:rsidP="00C5504C">
      <w:pPr>
        <w:suppressAutoHyphens/>
        <w:spacing w:after="0" w:line="276" w:lineRule="auto"/>
        <w:contextualSpacing/>
        <w:rPr>
          <w:rFonts w:ascii="Cambria" w:hAnsi="Cambria" w:cs="Times New Roman"/>
          <w:color w:val="B71E42" w:themeColor="accent1"/>
          <w:sz w:val="22"/>
        </w:rPr>
      </w:pPr>
    </w:p>
    <w:p w14:paraId="0F9B39B9" w14:textId="77777777" w:rsidR="00C5504C" w:rsidRPr="00FD2CB8" w:rsidRDefault="00C5504C" w:rsidP="00C5504C">
      <w:pPr>
        <w:suppressAutoHyphens/>
        <w:spacing w:after="0" w:line="276" w:lineRule="auto"/>
        <w:contextualSpacing/>
        <w:jc w:val="both"/>
        <w:rPr>
          <w:rFonts w:ascii="Cambria" w:hAnsi="Cambria" w:cs="Times New Roman"/>
          <w:b w:val="0"/>
          <w:sz w:val="22"/>
        </w:rPr>
      </w:pPr>
      <w:r w:rsidRPr="00FD2CB8">
        <w:rPr>
          <w:rFonts w:ascii="Cambria" w:hAnsi="Cambria" w:cs="Times New Roman"/>
          <w:b w:val="0"/>
          <w:sz w:val="22"/>
        </w:rPr>
        <w:t>L'Afrique romaine comprend un vaste espace, s’étendant de l’Atlantique à la Tripolitaine : une variété de contrées, de peuples, de langues, de cultures s'y rencontrent. Politiquement, elle est découpée en provinces dont l’histoire s’écrit depuis l’entrée dans l’orbite de Rome ; les territoires provinciaux sont eux-mêmes composés d'une mosaïque de cités, tandis que subsistent des structures tribales dans diverses régions. En tenant compte des structures juridiques ayant présidé à l’établissement des provinces et des cités, et en mesurant l’apport des cultures locales et de l’implantation punique, on étudiera la spécificité propre de cette partie de l’Occident romain, répartie entre Maurétanies, Numidie et Afrique proconsulaire, entre Afrique côtière et Afrique de l’intérieur, chacune ayant une identité bien marquée. On accordera une attention particulière aux débats suscités par la notion de « romanisation », aussi bien dans le domaine de l’histoire politique que dans les formes de romanisation juridique ou encore dans l’établissement d’un cadre matériel de vie à la romaine, à travers la réalisation d’une parure urbaine dont les modèles sont importés d’Italie.</w:t>
      </w:r>
    </w:p>
    <w:p w14:paraId="510227AD" w14:textId="77777777" w:rsidR="00C5504C" w:rsidRPr="00FD2CB8" w:rsidRDefault="00C5504C" w:rsidP="00C5504C">
      <w:pPr>
        <w:suppressAutoHyphens/>
        <w:spacing w:after="0" w:line="276" w:lineRule="auto"/>
        <w:contextualSpacing/>
        <w:jc w:val="both"/>
        <w:rPr>
          <w:rFonts w:ascii="Cambria" w:hAnsi="Cambria" w:cs="Times New Roman"/>
          <w:b w:val="0"/>
          <w:sz w:val="22"/>
        </w:rPr>
      </w:pPr>
    </w:p>
    <w:p w14:paraId="5AB8FDE6"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sz w:val="22"/>
        </w:rPr>
        <w:t>Bibliographie</w:t>
      </w:r>
    </w:p>
    <w:p w14:paraId="05F14988"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r w:rsidRPr="00FD2CB8">
        <w:rPr>
          <w:rFonts w:ascii="Cambria" w:hAnsi="Cambria" w:cs="Times New Roman"/>
          <w:b w:val="0"/>
          <w:sz w:val="22"/>
        </w:rPr>
        <w:t>- M. </w:t>
      </w:r>
      <w:r w:rsidRPr="00FD2CB8">
        <w:rPr>
          <w:rFonts w:ascii="Cambria" w:hAnsi="Cambria" w:cs="Times New Roman"/>
          <w:b w:val="0"/>
          <w:smallCaps/>
          <w:sz w:val="22"/>
        </w:rPr>
        <w:t>Benabou</w:t>
      </w:r>
      <w:r w:rsidRPr="00FD2CB8">
        <w:rPr>
          <w:rFonts w:ascii="Cambria" w:hAnsi="Cambria" w:cs="Times New Roman"/>
          <w:b w:val="0"/>
          <w:sz w:val="22"/>
        </w:rPr>
        <w:t xml:space="preserve">, </w:t>
      </w:r>
      <w:r w:rsidRPr="00FD2CB8">
        <w:rPr>
          <w:rFonts w:ascii="Cambria" w:hAnsi="Cambria" w:cs="Times New Roman"/>
          <w:b w:val="0"/>
          <w:i/>
          <w:iCs/>
          <w:sz w:val="22"/>
        </w:rPr>
        <w:t>La Résistance africaine à la romanisation</w:t>
      </w:r>
      <w:r w:rsidRPr="00FD2CB8">
        <w:rPr>
          <w:rFonts w:ascii="Cambria" w:hAnsi="Cambria" w:cs="Times New Roman"/>
          <w:b w:val="0"/>
          <w:sz w:val="22"/>
        </w:rPr>
        <w:t>,</w:t>
      </w:r>
      <w:r w:rsidRPr="00FD2CB8">
        <w:rPr>
          <w:rFonts w:ascii="Cambria" w:hAnsi="Cambria" w:cs="Times New Roman"/>
          <w:b w:val="0"/>
          <w:i/>
          <w:sz w:val="22"/>
        </w:rPr>
        <w:t xml:space="preserve"> </w:t>
      </w:r>
      <w:r w:rsidRPr="00FD2CB8">
        <w:rPr>
          <w:rFonts w:ascii="Cambria" w:hAnsi="Cambria" w:cs="Times New Roman"/>
          <w:b w:val="0"/>
          <w:sz w:val="22"/>
        </w:rPr>
        <w:t>La Découverte, Paris, 2005, 2</w:t>
      </w:r>
      <w:r w:rsidRPr="00FD2CB8">
        <w:rPr>
          <w:rFonts w:ascii="Cambria" w:hAnsi="Cambria" w:cs="Times New Roman"/>
          <w:b w:val="0"/>
          <w:sz w:val="22"/>
          <w:vertAlign w:val="superscript"/>
        </w:rPr>
        <w:t>e</w:t>
      </w:r>
      <w:r w:rsidRPr="00FD2CB8">
        <w:rPr>
          <w:rFonts w:ascii="Cambria" w:hAnsi="Cambria" w:cs="Times New Roman"/>
          <w:b w:val="0"/>
          <w:sz w:val="22"/>
        </w:rPr>
        <w:t xml:space="preserve"> édition.</w:t>
      </w:r>
    </w:p>
    <w:p w14:paraId="149EAC3E"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bookmarkStart w:id="6" w:name="mla_FR"/>
      <w:bookmarkEnd w:id="6"/>
      <w:r w:rsidRPr="00FD2CB8">
        <w:rPr>
          <w:rFonts w:ascii="Cambria" w:hAnsi="Cambria" w:cs="Times New Roman"/>
          <w:b w:val="0"/>
          <w:sz w:val="22"/>
        </w:rPr>
        <w:t>- C. </w:t>
      </w:r>
      <w:r w:rsidRPr="00FD2CB8">
        <w:rPr>
          <w:rFonts w:ascii="Cambria" w:hAnsi="Cambria" w:cs="Times New Roman"/>
          <w:b w:val="0"/>
          <w:smallCaps/>
          <w:sz w:val="22"/>
        </w:rPr>
        <w:t>Briand-Ponsart</w:t>
      </w:r>
      <w:r w:rsidRPr="00FD2CB8">
        <w:rPr>
          <w:rFonts w:ascii="Cambria" w:hAnsi="Cambria" w:cs="Times New Roman"/>
          <w:b w:val="0"/>
          <w:sz w:val="22"/>
        </w:rPr>
        <w:t xml:space="preserve">, C. </w:t>
      </w:r>
      <w:r w:rsidRPr="00FD2CB8">
        <w:rPr>
          <w:rFonts w:ascii="Cambria" w:hAnsi="Cambria" w:cs="Times New Roman"/>
          <w:b w:val="0"/>
          <w:smallCaps/>
          <w:sz w:val="22"/>
        </w:rPr>
        <w:t>Hugoniot</w:t>
      </w:r>
      <w:r w:rsidRPr="00FD2CB8">
        <w:rPr>
          <w:rFonts w:ascii="Cambria" w:hAnsi="Cambria" w:cs="Times New Roman"/>
          <w:b w:val="0"/>
          <w:sz w:val="22"/>
        </w:rPr>
        <w:t xml:space="preserve">. </w:t>
      </w:r>
      <w:r w:rsidRPr="00FD2CB8">
        <w:rPr>
          <w:rFonts w:ascii="Cambria" w:hAnsi="Cambria" w:cs="Times New Roman"/>
          <w:b w:val="0"/>
          <w:i/>
          <w:sz w:val="22"/>
        </w:rPr>
        <w:t xml:space="preserve">L'Afrique romaine. De l’Atlantique à la Tripolitaine - 146 av. J.-C. - 533 ap. J.-C., </w:t>
      </w:r>
      <w:r w:rsidRPr="00FD2CB8">
        <w:rPr>
          <w:rFonts w:ascii="Cambria" w:hAnsi="Cambria" w:cs="Times New Roman"/>
          <w:b w:val="0"/>
          <w:sz w:val="22"/>
        </w:rPr>
        <w:t>Armand Colin, Paris, 2005.</w:t>
      </w:r>
    </w:p>
    <w:p w14:paraId="26428517"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M. </w:t>
      </w:r>
      <w:r w:rsidRPr="00FD2CB8">
        <w:rPr>
          <w:rFonts w:ascii="Cambria" w:hAnsi="Cambria" w:cs="Times New Roman"/>
          <w:b w:val="0"/>
          <w:smallCaps/>
          <w:sz w:val="22"/>
        </w:rPr>
        <w:t>Christol</w:t>
      </w:r>
      <w:r w:rsidRPr="00FD2CB8">
        <w:rPr>
          <w:rFonts w:ascii="Cambria" w:hAnsi="Cambria" w:cs="Times New Roman"/>
          <w:b w:val="0"/>
          <w:sz w:val="22"/>
        </w:rPr>
        <w:t xml:space="preserve">, </w:t>
      </w:r>
      <w:r w:rsidRPr="00FD2CB8">
        <w:rPr>
          <w:rFonts w:ascii="Cambria" w:hAnsi="Cambria" w:cs="Times New Roman"/>
          <w:b w:val="0"/>
          <w:i/>
          <w:sz w:val="22"/>
        </w:rPr>
        <w:t>Regards sur l'Afrique romaine</w:t>
      </w:r>
      <w:r w:rsidRPr="00FD2CB8">
        <w:rPr>
          <w:rFonts w:ascii="Cambria" w:hAnsi="Cambria" w:cs="Times New Roman"/>
          <w:b w:val="0"/>
          <w:sz w:val="22"/>
        </w:rPr>
        <w:t>, Paris, 2005.</w:t>
      </w:r>
    </w:p>
    <w:p w14:paraId="60F89088"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i/>
          <w:smallCaps/>
          <w:sz w:val="22"/>
        </w:rPr>
        <w:t>-</w:t>
      </w:r>
      <w:r w:rsidRPr="00FD2CB8">
        <w:rPr>
          <w:rFonts w:ascii="Cambria" w:hAnsi="Cambria" w:cs="Times New Roman"/>
          <w:b w:val="0"/>
          <w:smallCaps/>
          <w:sz w:val="22"/>
        </w:rPr>
        <w:t xml:space="preserve"> J. Gaudemet</w:t>
      </w:r>
      <w:r w:rsidRPr="00FD2CB8">
        <w:rPr>
          <w:rFonts w:ascii="Cambria" w:hAnsi="Cambria" w:cs="Times New Roman"/>
          <w:b w:val="0"/>
          <w:sz w:val="22"/>
        </w:rPr>
        <w:t xml:space="preserve">, </w:t>
      </w:r>
      <w:r w:rsidRPr="00FD2CB8">
        <w:rPr>
          <w:rFonts w:ascii="Cambria" w:hAnsi="Cambria" w:cs="Times New Roman"/>
          <w:b w:val="0"/>
          <w:i/>
          <w:sz w:val="22"/>
        </w:rPr>
        <w:t>Les institutions de l'antiquité</w:t>
      </w:r>
      <w:r w:rsidRPr="00FD2CB8">
        <w:rPr>
          <w:rFonts w:ascii="Cambria" w:hAnsi="Cambria" w:cs="Times New Roman"/>
          <w:b w:val="0"/>
          <w:sz w:val="22"/>
        </w:rPr>
        <w:t>, Précis Dormat, Éditions Montchrestien, 7</w:t>
      </w:r>
      <w:r w:rsidRPr="00FD2CB8">
        <w:rPr>
          <w:rFonts w:ascii="Cambria" w:hAnsi="Cambria" w:cs="Times New Roman"/>
          <w:b w:val="0"/>
          <w:position w:val="6"/>
          <w:sz w:val="22"/>
          <w:vertAlign w:val="superscript"/>
        </w:rPr>
        <w:t>e</w:t>
      </w:r>
      <w:r w:rsidRPr="00FD2CB8">
        <w:rPr>
          <w:rFonts w:ascii="Cambria" w:hAnsi="Cambria" w:cs="Times New Roman"/>
          <w:b w:val="0"/>
          <w:sz w:val="22"/>
        </w:rPr>
        <w:t xml:space="preserve"> édition, Paris, 2002.</w:t>
      </w:r>
    </w:p>
    <w:p w14:paraId="619D953B" w14:textId="4DEF93BA"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P. </w:t>
      </w:r>
      <w:r w:rsidRPr="00FD2CB8">
        <w:rPr>
          <w:rFonts w:ascii="Cambria" w:hAnsi="Cambria" w:cs="Times New Roman"/>
          <w:b w:val="0"/>
          <w:smallCaps/>
          <w:sz w:val="22"/>
        </w:rPr>
        <w:t>Gros</w:t>
      </w:r>
      <w:r w:rsidRPr="00FD2CB8">
        <w:rPr>
          <w:rFonts w:ascii="Cambria" w:hAnsi="Cambria" w:cs="Times New Roman"/>
          <w:b w:val="0"/>
          <w:sz w:val="22"/>
        </w:rPr>
        <w:t>,</w:t>
      </w:r>
      <w:r w:rsidRPr="00FD2CB8">
        <w:rPr>
          <w:rFonts w:ascii="Cambria" w:hAnsi="Cambria" w:cs="Times New Roman"/>
          <w:b w:val="0"/>
          <w:i/>
          <w:sz w:val="22"/>
        </w:rPr>
        <w:t xml:space="preserve"> L'architecture romaine, tome I, Les monuments publics</w:t>
      </w:r>
      <w:r w:rsidRPr="00FD2CB8">
        <w:rPr>
          <w:rFonts w:ascii="Cambria" w:hAnsi="Cambria" w:cs="Times New Roman"/>
          <w:b w:val="0"/>
          <w:sz w:val="22"/>
        </w:rPr>
        <w:t>, Picard, Paris, 1996.</w:t>
      </w:r>
    </w:p>
    <w:p w14:paraId="7572E8F9"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M. </w:t>
      </w:r>
      <w:r w:rsidRPr="00FD2CB8">
        <w:rPr>
          <w:rFonts w:ascii="Cambria" w:hAnsi="Cambria" w:cs="Times New Roman"/>
          <w:b w:val="0"/>
          <w:smallCaps/>
          <w:sz w:val="22"/>
        </w:rPr>
        <w:t>Humbert</w:t>
      </w:r>
      <w:r w:rsidRPr="00FD2CB8">
        <w:rPr>
          <w:rFonts w:ascii="Cambria" w:hAnsi="Cambria" w:cs="Times New Roman"/>
          <w:b w:val="0"/>
          <w:sz w:val="22"/>
        </w:rPr>
        <w:t xml:space="preserve">, </w:t>
      </w:r>
      <w:r w:rsidRPr="00FD2CB8">
        <w:rPr>
          <w:rFonts w:ascii="Cambria" w:hAnsi="Cambria" w:cs="Times New Roman"/>
          <w:b w:val="0"/>
          <w:i/>
          <w:sz w:val="22"/>
        </w:rPr>
        <w:t>Institutions politiques et sociales de l'antiquité</w:t>
      </w:r>
      <w:r w:rsidRPr="00FD2CB8">
        <w:rPr>
          <w:rFonts w:ascii="Cambria" w:hAnsi="Cambria" w:cs="Times New Roman"/>
          <w:b w:val="0"/>
          <w:sz w:val="22"/>
        </w:rPr>
        <w:t>, Dalloz, 5</w:t>
      </w:r>
      <w:r w:rsidRPr="00FD2CB8">
        <w:rPr>
          <w:rFonts w:ascii="Cambria" w:hAnsi="Cambria" w:cs="Times New Roman"/>
          <w:b w:val="0"/>
          <w:position w:val="6"/>
          <w:sz w:val="22"/>
        </w:rPr>
        <w:t>ème</w:t>
      </w:r>
      <w:r w:rsidRPr="00FD2CB8">
        <w:rPr>
          <w:rFonts w:ascii="Cambria" w:hAnsi="Cambria" w:cs="Times New Roman"/>
          <w:b w:val="0"/>
          <w:sz w:val="22"/>
        </w:rPr>
        <w:t xml:space="preserve"> édition, Paris, 1994.</w:t>
      </w:r>
    </w:p>
    <w:p w14:paraId="546091E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A. </w:t>
      </w:r>
      <w:r w:rsidRPr="00FD2CB8">
        <w:rPr>
          <w:rFonts w:ascii="Cambria" w:hAnsi="Cambria" w:cs="Times New Roman"/>
          <w:b w:val="0"/>
          <w:smallCaps/>
          <w:sz w:val="22"/>
        </w:rPr>
        <w:t>Ibba</w:t>
      </w:r>
      <w:r w:rsidRPr="00FD2CB8">
        <w:rPr>
          <w:rFonts w:ascii="Cambria" w:hAnsi="Cambria" w:cs="Times New Roman"/>
          <w:b w:val="0"/>
          <w:sz w:val="22"/>
        </w:rPr>
        <w:t>, G. </w:t>
      </w:r>
      <w:r w:rsidRPr="00FD2CB8">
        <w:rPr>
          <w:rFonts w:ascii="Cambria" w:hAnsi="Cambria" w:cs="Times New Roman"/>
          <w:b w:val="0"/>
          <w:smallCaps/>
          <w:sz w:val="22"/>
        </w:rPr>
        <w:t>Traiana</w:t>
      </w:r>
      <w:r w:rsidRPr="00FD2CB8">
        <w:rPr>
          <w:rFonts w:ascii="Cambria" w:hAnsi="Cambria" w:cs="Times New Roman"/>
          <w:b w:val="0"/>
          <w:sz w:val="22"/>
        </w:rPr>
        <w:t>,</w:t>
      </w:r>
      <w:r w:rsidRPr="00FD2CB8">
        <w:rPr>
          <w:rFonts w:ascii="Cambria" w:hAnsi="Cambria" w:cs="Times New Roman"/>
          <w:b w:val="0"/>
          <w:i/>
          <w:sz w:val="22"/>
        </w:rPr>
        <w:t xml:space="preserve"> L’Afrique romaine de l’Atlantique à la Tripolitaine (69-439 ap. J.-C.)</w:t>
      </w:r>
      <w:r w:rsidRPr="00FD2CB8">
        <w:rPr>
          <w:rFonts w:ascii="Cambria" w:hAnsi="Cambria" w:cs="Times New Roman"/>
          <w:b w:val="0"/>
          <w:sz w:val="22"/>
        </w:rPr>
        <w:t>, Paris, 2006.</w:t>
      </w:r>
    </w:p>
    <w:p w14:paraId="17CAA8C9"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i/>
          <w:sz w:val="22"/>
        </w:rPr>
        <w:t>-</w:t>
      </w:r>
      <w:r w:rsidRPr="00FD2CB8">
        <w:rPr>
          <w:rFonts w:ascii="Cambria" w:hAnsi="Cambria" w:cs="Times New Roman"/>
          <w:b w:val="0"/>
          <w:sz w:val="22"/>
        </w:rPr>
        <w:t xml:space="preserve"> F. </w:t>
      </w:r>
      <w:r w:rsidRPr="00FD2CB8">
        <w:rPr>
          <w:rFonts w:ascii="Cambria" w:hAnsi="Cambria" w:cs="Times New Roman"/>
          <w:b w:val="0"/>
          <w:smallCaps/>
          <w:sz w:val="22"/>
        </w:rPr>
        <w:t>Jacques</w:t>
      </w:r>
      <w:r w:rsidRPr="00FD2CB8">
        <w:rPr>
          <w:rFonts w:ascii="Cambria" w:hAnsi="Cambria" w:cs="Times New Roman"/>
          <w:b w:val="0"/>
          <w:sz w:val="22"/>
        </w:rPr>
        <w:t>, J. </w:t>
      </w:r>
      <w:r w:rsidRPr="00FD2CB8">
        <w:rPr>
          <w:rFonts w:ascii="Cambria" w:hAnsi="Cambria" w:cs="Times New Roman"/>
          <w:b w:val="0"/>
          <w:smallCaps/>
          <w:sz w:val="22"/>
        </w:rPr>
        <w:t>Scheid</w:t>
      </w:r>
      <w:r w:rsidRPr="00FD2CB8">
        <w:rPr>
          <w:rFonts w:ascii="Cambria" w:hAnsi="Cambria" w:cs="Times New Roman"/>
          <w:b w:val="0"/>
          <w:sz w:val="22"/>
        </w:rPr>
        <w:t xml:space="preserve">, </w:t>
      </w:r>
      <w:r w:rsidRPr="00FD2CB8">
        <w:rPr>
          <w:rFonts w:ascii="Cambria" w:hAnsi="Cambria" w:cs="Times New Roman"/>
          <w:b w:val="0"/>
          <w:i/>
          <w:sz w:val="22"/>
        </w:rPr>
        <w:t>Rome et l'intégration de l'Empire (44 av. J.-C. - 260 ap. J.-C.)</w:t>
      </w:r>
      <w:r w:rsidRPr="00FD2CB8">
        <w:rPr>
          <w:rFonts w:ascii="Cambria" w:hAnsi="Cambria" w:cs="Times New Roman"/>
          <w:b w:val="0"/>
          <w:sz w:val="22"/>
        </w:rPr>
        <w:t>, vol. I,</w:t>
      </w:r>
      <w:r w:rsidRPr="00FD2CB8">
        <w:rPr>
          <w:rFonts w:ascii="Cambria" w:hAnsi="Cambria" w:cs="Times New Roman"/>
          <w:b w:val="0"/>
          <w:i/>
          <w:iCs/>
          <w:sz w:val="22"/>
        </w:rPr>
        <w:t xml:space="preserve"> Les structures de l'Empire romain</w:t>
      </w:r>
      <w:r w:rsidRPr="00FD2CB8">
        <w:rPr>
          <w:rFonts w:ascii="Cambria" w:hAnsi="Cambria" w:cs="Times New Roman"/>
          <w:b w:val="0"/>
          <w:sz w:val="22"/>
        </w:rPr>
        <w:t>, coll. Nouvelle Clio, Presses Universitaires de France, Paris, 1990.</w:t>
      </w:r>
    </w:p>
    <w:p w14:paraId="54B9D44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mallCaps/>
          <w:sz w:val="22"/>
        </w:rPr>
        <w:t xml:space="preserve">J.-M. Lassère, </w:t>
      </w:r>
      <w:r w:rsidRPr="00FD2CB8">
        <w:rPr>
          <w:rFonts w:ascii="Cambria" w:hAnsi="Cambria" w:cs="Times New Roman"/>
          <w:b w:val="0"/>
          <w:bCs/>
          <w:sz w:val="22"/>
        </w:rPr>
        <w:t xml:space="preserve">Africa, quasi Roma </w:t>
      </w:r>
      <w:r w:rsidRPr="00FD2CB8">
        <w:rPr>
          <w:rFonts w:ascii="Cambria" w:hAnsi="Cambria" w:cs="Times New Roman"/>
          <w:b w:val="0"/>
          <w:bCs/>
          <w:i/>
          <w:iCs/>
          <w:sz w:val="22"/>
        </w:rPr>
        <w:t>(256 av. J.-C. – 711 apr. J.–C.)</w:t>
      </w:r>
      <w:r w:rsidRPr="00FD2CB8">
        <w:rPr>
          <w:rFonts w:ascii="Cambria" w:hAnsi="Cambria" w:cs="Times New Roman"/>
          <w:b w:val="0"/>
          <w:bCs/>
          <w:sz w:val="22"/>
        </w:rPr>
        <w:t>, Paris, 2015</w:t>
      </w:r>
    </w:p>
    <w:p w14:paraId="7811768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C. </w:t>
      </w:r>
      <w:r w:rsidRPr="00FD2CB8">
        <w:rPr>
          <w:rFonts w:ascii="Cambria" w:hAnsi="Cambria" w:cs="Times New Roman"/>
          <w:b w:val="0"/>
          <w:smallCaps/>
          <w:sz w:val="22"/>
        </w:rPr>
        <w:t>Lepelley</w:t>
      </w:r>
      <w:r w:rsidRPr="00FD2CB8">
        <w:rPr>
          <w:rFonts w:ascii="Cambria" w:hAnsi="Cambria" w:cs="Times New Roman"/>
          <w:b w:val="0"/>
          <w:sz w:val="22"/>
        </w:rPr>
        <w:t>,</w:t>
      </w:r>
      <w:r w:rsidRPr="00FD2CB8">
        <w:rPr>
          <w:rFonts w:ascii="Cambria" w:hAnsi="Cambria" w:cs="Times New Roman"/>
          <w:b w:val="0"/>
          <w:i/>
          <w:sz w:val="22"/>
        </w:rPr>
        <w:t xml:space="preserve"> Rome et l'intégration de l'Empire (44 av. J.-C. - 260 ap. J.-C.)</w:t>
      </w:r>
      <w:r w:rsidRPr="00FD2CB8">
        <w:rPr>
          <w:rFonts w:ascii="Cambria" w:hAnsi="Cambria" w:cs="Times New Roman"/>
          <w:b w:val="0"/>
          <w:sz w:val="22"/>
        </w:rPr>
        <w:t xml:space="preserve">, vol. II, </w:t>
      </w:r>
      <w:r w:rsidRPr="00FD2CB8">
        <w:rPr>
          <w:rFonts w:ascii="Cambria" w:hAnsi="Cambria" w:cs="Times New Roman"/>
          <w:b w:val="0"/>
          <w:i/>
          <w:iCs/>
          <w:sz w:val="22"/>
        </w:rPr>
        <w:t>Approches régionales du Haut-Empire romain</w:t>
      </w:r>
      <w:r w:rsidRPr="00FD2CB8">
        <w:rPr>
          <w:rFonts w:ascii="Cambria" w:hAnsi="Cambria" w:cs="Times New Roman"/>
          <w:b w:val="0"/>
          <w:sz w:val="22"/>
        </w:rPr>
        <w:t>, coll. Nouvelle Clio, Presses Universitaires de France, Paris, 1998.</w:t>
      </w:r>
    </w:p>
    <w:p w14:paraId="50FD88A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caps/>
          <w:sz w:val="22"/>
        </w:rPr>
        <w:t>- C. </w:t>
      </w:r>
      <w:r w:rsidRPr="00FD2CB8">
        <w:rPr>
          <w:rFonts w:ascii="Cambria" w:hAnsi="Cambria" w:cs="Times New Roman"/>
          <w:b w:val="0"/>
          <w:smallCaps/>
          <w:sz w:val="22"/>
        </w:rPr>
        <w:t>Nicolet</w:t>
      </w:r>
      <w:r w:rsidRPr="00FD2CB8">
        <w:rPr>
          <w:rFonts w:ascii="Cambria" w:hAnsi="Cambria" w:cs="Times New Roman"/>
          <w:b w:val="0"/>
          <w:sz w:val="22"/>
        </w:rPr>
        <w:t xml:space="preserve"> (dir.),</w:t>
      </w:r>
      <w:r w:rsidRPr="00FD2CB8">
        <w:rPr>
          <w:rFonts w:ascii="Cambria" w:hAnsi="Cambria" w:cs="Times New Roman"/>
          <w:b w:val="0"/>
          <w:i/>
          <w:iCs/>
          <w:sz w:val="22"/>
        </w:rPr>
        <w:t xml:space="preserve"> Rome et la conquête du monde méditerranéen 264–27 av. J.-C.</w:t>
      </w:r>
      <w:r w:rsidRPr="00FD2CB8">
        <w:rPr>
          <w:rFonts w:ascii="Cambria" w:hAnsi="Cambria" w:cs="Times New Roman"/>
          <w:b w:val="0"/>
          <w:sz w:val="22"/>
        </w:rPr>
        <w:t>,</w:t>
      </w:r>
      <w:r w:rsidRPr="00FD2CB8">
        <w:rPr>
          <w:rFonts w:ascii="Cambria" w:hAnsi="Cambria" w:cs="Times New Roman"/>
          <w:b w:val="0"/>
          <w:i/>
          <w:sz w:val="22"/>
        </w:rPr>
        <w:t xml:space="preserve"> </w:t>
      </w:r>
      <w:r w:rsidRPr="00FD2CB8">
        <w:rPr>
          <w:rFonts w:ascii="Cambria" w:hAnsi="Cambria" w:cs="Times New Roman"/>
          <w:b w:val="0"/>
          <w:sz w:val="22"/>
        </w:rPr>
        <w:t xml:space="preserve">vol. II, </w:t>
      </w:r>
      <w:r w:rsidRPr="00FD2CB8">
        <w:rPr>
          <w:rFonts w:ascii="Cambria" w:hAnsi="Cambria" w:cs="Times New Roman"/>
          <w:b w:val="0"/>
          <w:i/>
          <w:iCs/>
          <w:sz w:val="22"/>
        </w:rPr>
        <w:t>Genèse d’un empire</w:t>
      </w:r>
      <w:r w:rsidRPr="00FD2CB8">
        <w:rPr>
          <w:rFonts w:ascii="Cambria" w:hAnsi="Cambria" w:cs="Times New Roman"/>
          <w:b w:val="0"/>
          <w:sz w:val="22"/>
        </w:rPr>
        <w:t>, coll. Nouvelle Clio, Presses universitaires de France, Paris, 1978.</w:t>
      </w:r>
    </w:p>
    <w:p w14:paraId="6438B57F" w14:textId="77777777" w:rsidR="00C5504C" w:rsidRPr="00FD2CB8" w:rsidRDefault="00C5504C" w:rsidP="00C5504C">
      <w:pPr>
        <w:suppressAutoHyphens/>
        <w:spacing w:after="0" w:line="276" w:lineRule="auto"/>
        <w:contextualSpacing/>
        <w:jc w:val="both"/>
        <w:rPr>
          <w:rFonts w:ascii="Cambria" w:hAnsi="Cambria" w:cs="Times New Roman"/>
          <w:b w:val="0"/>
          <w:sz w:val="22"/>
        </w:rPr>
      </w:pPr>
    </w:p>
    <w:p w14:paraId="4A59E23C" w14:textId="4C468EDF" w:rsidR="00C5504C" w:rsidRDefault="00C5504C" w:rsidP="00C5504C">
      <w:pPr>
        <w:suppressAutoHyphens/>
        <w:spacing w:after="0" w:line="276" w:lineRule="auto"/>
        <w:contextualSpacing/>
        <w:rPr>
          <w:rFonts w:ascii="Cambria" w:eastAsia="SimSun" w:hAnsi="Cambria" w:cs="Times New Roman"/>
          <w:color w:val="C00000"/>
          <w:sz w:val="22"/>
          <w:lang w:eastAsia="hi-IN" w:bidi="hi-IN"/>
        </w:rPr>
      </w:pPr>
      <w:r w:rsidRPr="00A666CA">
        <w:rPr>
          <w:rFonts w:ascii="Cambria" w:hAnsi="Cambria" w:cs="Times New Roman"/>
          <w:color w:val="C00000"/>
          <w:sz w:val="22"/>
          <w:u w:val="single"/>
        </w:rPr>
        <w:t>Sujet du cours semestre 2</w:t>
      </w:r>
      <w:r w:rsidRPr="00A666CA">
        <w:rPr>
          <w:rFonts w:ascii="Cambria" w:hAnsi="Cambria" w:cs="Times New Roman"/>
          <w:color w:val="C00000"/>
          <w:sz w:val="22"/>
        </w:rPr>
        <w:t xml:space="preserve"> : Les provinces romaines d’Afrique : </w:t>
      </w:r>
      <w:r w:rsidRPr="00A666CA">
        <w:rPr>
          <w:rFonts w:ascii="Cambria" w:eastAsia="SimSun" w:hAnsi="Cambria" w:cs="Times New Roman"/>
          <w:color w:val="C00000"/>
          <w:sz w:val="22"/>
          <w:lang w:eastAsia="hi-IN" w:bidi="hi-IN"/>
        </w:rPr>
        <w:t>De l’édit de Caracalla à la prise de Carthage par les Vandales (212 ap. J.-C.-430 ap. J.-C.)</w:t>
      </w:r>
    </w:p>
    <w:p w14:paraId="2BDEF911" w14:textId="77777777" w:rsidR="00A666CA" w:rsidRPr="00A666CA" w:rsidRDefault="00A666CA" w:rsidP="00C5504C">
      <w:pPr>
        <w:suppressAutoHyphens/>
        <w:spacing w:after="0" w:line="276" w:lineRule="auto"/>
        <w:contextualSpacing/>
        <w:rPr>
          <w:rFonts w:ascii="Cambria" w:hAnsi="Cambria" w:cs="Times New Roman"/>
          <w:color w:val="C00000"/>
          <w:sz w:val="22"/>
        </w:rPr>
      </w:pPr>
    </w:p>
    <w:p w14:paraId="7548E8F1" w14:textId="19DCFFAC" w:rsidR="00C5504C" w:rsidRPr="00FD2CB8" w:rsidRDefault="00C5504C" w:rsidP="00C5504C">
      <w:pPr>
        <w:suppressAutoHyphens/>
        <w:jc w:val="both"/>
        <w:rPr>
          <w:rFonts w:ascii="Cambria" w:hAnsi="Cambria" w:cs="Times New Roman"/>
          <w:b w:val="0"/>
          <w:bCs/>
          <w:sz w:val="22"/>
        </w:rPr>
      </w:pPr>
      <w:r w:rsidRPr="00FD2CB8">
        <w:rPr>
          <w:rFonts w:ascii="Cambria" w:hAnsi="Cambria" w:cs="Times New Roman"/>
          <w:b w:val="0"/>
          <w:bCs/>
          <w:sz w:val="22"/>
        </w:rPr>
        <w:t>Les provinces d’Afrique connaissent un important essor à l'époque sévérienne. Dans les décennies qui suivent, elles ne sont que partiellement touchées par les crises qui sévissent dans le reste de l’Empire ; elles sont donc un excellent observatoire documentaire pour étudier les évolutions de l’Empire du III</w:t>
      </w:r>
      <w:r w:rsidRPr="00FD2CB8">
        <w:rPr>
          <w:rFonts w:ascii="Cambria" w:hAnsi="Cambria" w:cs="Times New Roman"/>
          <w:b w:val="0"/>
          <w:bCs/>
          <w:sz w:val="22"/>
          <w:vertAlign w:val="superscript"/>
        </w:rPr>
        <w:t>e</w:t>
      </w:r>
      <w:r w:rsidRPr="00FD2CB8">
        <w:rPr>
          <w:rFonts w:ascii="Cambria" w:hAnsi="Cambria" w:cs="Times New Roman"/>
          <w:b w:val="0"/>
          <w:bCs/>
          <w:sz w:val="22"/>
        </w:rPr>
        <w:t xml:space="preserve"> au V</w:t>
      </w:r>
      <w:r w:rsidRPr="00FD2CB8">
        <w:rPr>
          <w:rFonts w:ascii="Cambria" w:hAnsi="Cambria" w:cs="Times New Roman"/>
          <w:b w:val="0"/>
          <w:bCs/>
          <w:sz w:val="22"/>
          <w:vertAlign w:val="superscript"/>
        </w:rPr>
        <w:t>e</w:t>
      </w:r>
      <w:r w:rsidRPr="00FD2CB8">
        <w:rPr>
          <w:rFonts w:ascii="Cambria" w:hAnsi="Cambria" w:cs="Times New Roman"/>
          <w:b w:val="0"/>
          <w:bCs/>
          <w:sz w:val="22"/>
        </w:rPr>
        <w:t xml:space="preserve"> siècle. On peut y analyser les métamorphoses de la civilisation municipale et ses évolutions juridiques et culturelles, les grandes réformes de l’époque</w:t>
      </w:r>
      <w:r w:rsidR="007A43D0" w:rsidRPr="00FD2CB8">
        <w:rPr>
          <w:rFonts w:ascii="Cambria" w:hAnsi="Cambria" w:cs="Times New Roman"/>
          <w:b w:val="0"/>
          <w:bCs/>
          <w:sz w:val="22"/>
        </w:rPr>
        <w:t xml:space="preserve"> dioclétianéo </w:t>
      </w:r>
      <w:r w:rsidRPr="00FD2CB8">
        <w:rPr>
          <w:rFonts w:ascii="Cambria" w:hAnsi="Cambria" w:cs="Times New Roman"/>
          <w:b w:val="0"/>
          <w:bCs/>
          <w:sz w:val="22"/>
        </w:rPr>
        <w:t xml:space="preserve">-constantinienne, le christianisme à vaste échelle et sa transcription matérielle dans le cadre urbain, les relations entre églises rivales, ainsi qu’entre « païens » et chrétiens, pour finir par les modalités d’invasion et d’installation des Vandales et la création d’un royaume barbare dans ce qui était jusque-là un des fleurons de l’Empire romain. </w:t>
      </w:r>
    </w:p>
    <w:p w14:paraId="63A566BF" w14:textId="77777777" w:rsidR="00C5504C" w:rsidRPr="00FD2CB8" w:rsidRDefault="00C5504C" w:rsidP="00C5504C">
      <w:pPr>
        <w:widowControl w:val="0"/>
        <w:suppressAutoHyphens/>
        <w:spacing w:after="0" w:line="276" w:lineRule="auto"/>
        <w:jc w:val="both"/>
        <w:rPr>
          <w:rFonts w:ascii="Cambria" w:eastAsia="SimSun" w:hAnsi="Cambria" w:cs="Times New Roman"/>
          <w:b w:val="0"/>
          <w:sz w:val="22"/>
          <w:lang w:eastAsia="hi-IN" w:bidi="hi-IN"/>
        </w:rPr>
      </w:pPr>
    </w:p>
    <w:p w14:paraId="5B63AC3D"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sz w:val="22"/>
        </w:rPr>
        <w:t>Bibliographie</w:t>
      </w:r>
    </w:p>
    <w:p w14:paraId="19D38DDC"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bookmarkStart w:id="7" w:name="mla_FR1"/>
      <w:bookmarkEnd w:id="7"/>
      <w:r w:rsidRPr="00FD2CB8">
        <w:rPr>
          <w:rFonts w:ascii="Cambria" w:hAnsi="Cambria" w:cs="Times New Roman"/>
          <w:b w:val="0"/>
          <w:bCs/>
          <w:sz w:val="22"/>
        </w:rPr>
        <w:t>- C. </w:t>
      </w:r>
      <w:r w:rsidRPr="00FD2CB8">
        <w:rPr>
          <w:rFonts w:ascii="Cambria" w:hAnsi="Cambria" w:cs="Times New Roman"/>
          <w:b w:val="0"/>
          <w:bCs/>
          <w:smallCaps/>
          <w:sz w:val="22"/>
        </w:rPr>
        <w:t>Briand-Ponsart</w:t>
      </w:r>
      <w:r w:rsidRPr="00FD2CB8">
        <w:rPr>
          <w:rFonts w:ascii="Cambria" w:hAnsi="Cambria" w:cs="Times New Roman"/>
          <w:b w:val="0"/>
          <w:bCs/>
          <w:sz w:val="22"/>
        </w:rPr>
        <w:t xml:space="preserve">, C. </w:t>
      </w:r>
      <w:r w:rsidRPr="00FD2CB8">
        <w:rPr>
          <w:rFonts w:ascii="Cambria" w:hAnsi="Cambria" w:cs="Times New Roman"/>
          <w:b w:val="0"/>
          <w:bCs/>
          <w:smallCaps/>
          <w:sz w:val="22"/>
        </w:rPr>
        <w:t>Hugoniot</w:t>
      </w:r>
      <w:r w:rsidRPr="00FD2CB8">
        <w:rPr>
          <w:rFonts w:ascii="Cambria" w:hAnsi="Cambria" w:cs="Times New Roman"/>
          <w:b w:val="0"/>
          <w:bCs/>
          <w:sz w:val="22"/>
        </w:rPr>
        <w:t xml:space="preserve">. </w:t>
      </w:r>
      <w:r w:rsidRPr="00FD2CB8">
        <w:rPr>
          <w:rFonts w:ascii="Cambria" w:hAnsi="Cambria" w:cs="Times New Roman"/>
          <w:b w:val="0"/>
          <w:bCs/>
          <w:i/>
          <w:sz w:val="22"/>
        </w:rPr>
        <w:t>L'Afrique romaine. De l’Atlantique à la Tripolitaine - 146 av. J.-C. - 533 ap. J.-C.</w:t>
      </w:r>
      <w:r w:rsidRPr="00FD2CB8">
        <w:rPr>
          <w:rFonts w:ascii="Cambria" w:hAnsi="Cambria" w:cs="Times New Roman"/>
          <w:b w:val="0"/>
          <w:bCs/>
          <w:sz w:val="22"/>
        </w:rPr>
        <w:t>Armand Colin, Paris, 2005.</w:t>
      </w:r>
    </w:p>
    <w:p w14:paraId="63F5E166"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b w:val="0"/>
          <w:bCs/>
          <w:sz w:val="22"/>
        </w:rPr>
        <w:t>- A. </w:t>
      </w:r>
      <w:r w:rsidRPr="00FD2CB8">
        <w:rPr>
          <w:rFonts w:ascii="Cambria" w:hAnsi="Cambria" w:cs="Times New Roman"/>
          <w:b w:val="0"/>
          <w:bCs/>
          <w:smallCaps/>
          <w:sz w:val="22"/>
        </w:rPr>
        <w:t>Chastagnol</w:t>
      </w:r>
      <w:r w:rsidRPr="00FD2CB8">
        <w:rPr>
          <w:rFonts w:ascii="Cambria" w:hAnsi="Cambria" w:cs="Times New Roman"/>
          <w:b w:val="0"/>
          <w:bCs/>
          <w:sz w:val="22"/>
        </w:rPr>
        <w:t xml:space="preserve">, </w:t>
      </w:r>
      <w:r w:rsidRPr="00FD2CB8">
        <w:rPr>
          <w:rFonts w:ascii="Cambria" w:hAnsi="Cambria" w:cs="Times New Roman"/>
          <w:b w:val="0"/>
          <w:bCs/>
          <w:i/>
          <w:sz w:val="22"/>
        </w:rPr>
        <w:t>L’évolution politique, sociale et économique du monde romain de Dioclétien à Julien, 284-363</w:t>
      </w:r>
      <w:r w:rsidRPr="00FD2CB8">
        <w:rPr>
          <w:rFonts w:ascii="Cambria" w:hAnsi="Cambria" w:cs="Times New Roman"/>
          <w:b w:val="0"/>
          <w:bCs/>
          <w:sz w:val="22"/>
        </w:rPr>
        <w:t>, Paris, Éditions Sedes, 3ème éd., 1994.</w:t>
      </w:r>
    </w:p>
    <w:p w14:paraId="6AD4F3E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z w:val="22"/>
        </w:rPr>
        <w:t xml:space="preserve">- S. </w:t>
      </w:r>
      <w:r w:rsidRPr="00FD2CB8">
        <w:rPr>
          <w:rFonts w:ascii="Cambria" w:hAnsi="Cambria" w:cs="Times New Roman"/>
          <w:b w:val="0"/>
          <w:bCs/>
          <w:smallCaps/>
          <w:sz w:val="22"/>
        </w:rPr>
        <w:t>Lancel</w:t>
      </w:r>
      <w:r w:rsidRPr="00FD2CB8">
        <w:rPr>
          <w:rFonts w:ascii="Cambria" w:hAnsi="Cambria" w:cs="Times New Roman"/>
          <w:b w:val="0"/>
          <w:bCs/>
          <w:sz w:val="22"/>
        </w:rPr>
        <w:t xml:space="preserve">, </w:t>
      </w:r>
      <w:r w:rsidRPr="00FD2CB8">
        <w:rPr>
          <w:rFonts w:ascii="Cambria" w:hAnsi="Cambria" w:cs="Times New Roman"/>
          <w:b w:val="0"/>
          <w:bCs/>
          <w:i/>
          <w:sz w:val="22"/>
        </w:rPr>
        <w:t>Saint Augustin</w:t>
      </w:r>
      <w:r w:rsidRPr="00FD2CB8">
        <w:rPr>
          <w:rFonts w:ascii="Cambria" w:hAnsi="Cambria" w:cs="Times New Roman"/>
          <w:b w:val="0"/>
          <w:bCs/>
          <w:sz w:val="22"/>
        </w:rPr>
        <w:t>, Paris, 1999.</w:t>
      </w:r>
    </w:p>
    <w:p w14:paraId="069DA35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mallCaps/>
          <w:sz w:val="22"/>
        </w:rPr>
        <w:t xml:space="preserve">- J.-M. Lassère, </w:t>
      </w:r>
      <w:r w:rsidRPr="00FD2CB8">
        <w:rPr>
          <w:rFonts w:ascii="Cambria" w:hAnsi="Cambria" w:cs="Times New Roman"/>
          <w:b w:val="0"/>
          <w:bCs/>
          <w:sz w:val="22"/>
        </w:rPr>
        <w:t xml:space="preserve">Africa, quasi Roma </w:t>
      </w:r>
      <w:r w:rsidRPr="00FD2CB8">
        <w:rPr>
          <w:rFonts w:ascii="Cambria" w:hAnsi="Cambria" w:cs="Times New Roman"/>
          <w:b w:val="0"/>
          <w:bCs/>
          <w:i/>
          <w:iCs/>
          <w:sz w:val="22"/>
        </w:rPr>
        <w:t>(256 av. J.-C. – 711 apr. J.–C.)</w:t>
      </w:r>
      <w:r w:rsidRPr="00FD2CB8">
        <w:rPr>
          <w:rFonts w:ascii="Cambria" w:hAnsi="Cambria" w:cs="Times New Roman"/>
          <w:b w:val="0"/>
          <w:bCs/>
          <w:sz w:val="22"/>
        </w:rPr>
        <w:t>, Paris, 2015.</w:t>
      </w:r>
    </w:p>
    <w:p w14:paraId="688FD98E"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w:t>
      </w:r>
      <w:r w:rsidRPr="00FD2CB8">
        <w:rPr>
          <w:rFonts w:ascii="Cambria" w:hAnsi="Cambria" w:cs="Times New Roman"/>
          <w:b w:val="0"/>
          <w:bCs/>
          <w:i/>
          <w:sz w:val="22"/>
        </w:rPr>
        <w:t>Les cités de l'Afrique romaine au Bas-Empire</w:t>
      </w:r>
      <w:r w:rsidRPr="00FD2CB8">
        <w:rPr>
          <w:rFonts w:ascii="Cambria" w:hAnsi="Cambria" w:cs="Times New Roman"/>
          <w:b w:val="0"/>
          <w:bCs/>
          <w:sz w:val="22"/>
        </w:rPr>
        <w:t>, Paris, 1979-1981 (Centre d'Etudes Augustiniennes, Antiquité, 80-81).</w:t>
      </w:r>
    </w:p>
    <w:p w14:paraId="719A0914" w14:textId="77777777" w:rsidR="00C5504C" w:rsidRPr="00FD2CB8" w:rsidRDefault="00C5504C" w:rsidP="00C5504C">
      <w:pPr>
        <w:suppressAutoHyphens/>
        <w:jc w:val="both"/>
        <w:rPr>
          <w:rFonts w:ascii="Cambria" w:hAnsi="Cambria" w:cs="Times New Roman"/>
          <w:b w:val="0"/>
          <w:bCs/>
          <w:color w:val="000000"/>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M. Sot (edd.), </w:t>
      </w:r>
      <w:r w:rsidRPr="00FD2CB8">
        <w:rPr>
          <w:rFonts w:ascii="Cambria" w:hAnsi="Cambria" w:cs="Times New Roman"/>
          <w:b w:val="0"/>
          <w:bCs/>
          <w:i/>
          <w:color w:val="000000"/>
          <w:sz w:val="22"/>
        </w:rPr>
        <w:t>La fin de la cité antique et le début de la cité médiévale. De la fin du III</w:t>
      </w:r>
      <w:r w:rsidRPr="00FD2CB8">
        <w:rPr>
          <w:rFonts w:ascii="Cambria" w:hAnsi="Cambria" w:cs="Times New Roman"/>
          <w:b w:val="0"/>
          <w:bCs/>
          <w:i/>
          <w:color w:val="000000"/>
          <w:sz w:val="22"/>
          <w:vertAlign w:val="superscript"/>
        </w:rPr>
        <w:t>e</w:t>
      </w:r>
      <w:r w:rsidRPr="00FD2CB8">
        <w:rPr>
          <w:rFonts w:ascii="Cambria" w:hAnsi="Cambria" w:cs="Times New Roman"/>
          <w:b w:val="0"/>
          <w:bCs/>
          <w:i/>
          <w:color w:val="000000"/>
          <w:sz w:val="22"/>
        </w:rPr>
        <w:t xml:space="preserve"> siècle à l’avènement de Charlemagne</w:t>
      </w:r>
      <w:r w:rsidRPr="00FD2CB8">
        <w:rPr>
          <w:rFonts w:ascii="Cambria" w:hAnsi="Cambria" w:cs="Times New Roman"/>
          <w:b w:val="0"/>
          <w:bCs/>
          <w:color w:val="000000"/>
          <w:sz w:val="22"/>
        </w:rPr>
        <w:t>, coll. Munera 8, Bari, 1996.</w:t>
      </w:r>
    </w:p>
    <w:p w14:paraId="3D5B4511" w14:textId="77777777" w:rsidR="00C5504C" w:rsidRPr="00FD2CB8" w:rsidRDefault="00C5504C" w:rsidP="00C5504C">
      <w:pPr>
        <w:suppressAutoHyphens/>
        <w:jc w:val="both"/>
        <w:rPr>
          <w:rFonts w:ascii="Cambria" w:hAnsi="Cambria" w:cs="Times New Roman"/>
          <w:b w:val="0"/>
          <w:bCs/>
          <w:color w:val="000000"/>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w:t>
      </w:r>
      <w:r w:rsidRPr="00FD2CB8">
        <w:rPr>
          <w:rFonts w:ascii="Cambria" w:hAnsi="Cambria" w:cs="Times New Roman"/>
          <w:b w:val="0"/>
          <w:bCs/>
          <w:i/>
          <w:sz w:val="22"/>
        </w:rPr>
        <w:t>Aspects de l’Afrique romaine. Les cités, la vie rurale, le christianisme</w:t>
      </w:r>
      <w:r w:rsidRPr="00FD2CB8">
        <w:rPr>
          <w:rFonts w:ascii="Cambria" w:hAnsi="Cambria" w:cs="Times New Roman"/>
          <w:b w:val="0"/>
          <w:bCs/>
          <w:sz w:val="22"/>
        </w:rPr>
        <w:t>, Bari, 2001.</w:t>
      </w:r>
    </w:p>
    <w:p w14:paraId="7175804E" w14:textId="77777777" w:rsidR="00C5504C" w:rsidRPr="00FD2CB8" w:rsidRDefault="00C5504C" w:rsidP="00C5504C">
      <w:pPr>
        <w:suppressAutoHyphens/>
        <w:spacing w:after="0" w:line="360" w:lineRule="auto"/>
        <w:contextualSpacing/>
        <w:rPr>
          <w:rFonts w:ascii="Cambria" w:hAnsi="Cambria" w:cs="Times New Roman"/>
          <w:sz w:val="22"/>
          <w:lang w:eastAsia="fr-FR"/>
        </w:rPr>
      </w:pPr>
      <w:r w:rsidRPr="00FD2CB8">
        <w:rPr>
          <w:rFonts w:ascii="Cambria" w:hAnsi="Cambria" w:cs="Times New Roman"/>
          <w:b w:val="0"/>
          <w:bCs/>
          <w:sz w:val="22"/>
        </w:rPr>
        <w:t>- Y. </w:t>
      </w:r>
      <w:r w:rsidRPr="00FD2CB8">
        <w:rPr>
          <w:rFonts w:ascii="Cambria" w:hAnsi="Cambria" w:cs="Times New Roman"/>
          <w:b w:val="0"/>
          <w:bCs/>
          <w:smallCaps/>
          <w:sz w:val="22"/>
        </w:rPr>
        <w:t>Modéran</w:t>
      </w:r>
      <w:r w:rsidRPr="00FD2CB8">
        <w:rPr>
          <w:rFonts w:ascii="Cambria" w:hAnsi="Cambria" w:cs="Times New Roman"/>
          <w:b w:val="0"/>
          <w:bCs/>
          <w:sz w:val="22"/>
        </w:rPr>
        <w:t xml:space="preserve">, </w:t>
      </w:r>
      <w:r w:rsidRPr="00FD2CB8">
        <w:rPr>
          <w:rFonts w:ascii="Cambria" w:hAnsi="Cambria" w:cs="Times New Roman"/>
          <w:b w:val="0"/>
          <w:bCs/>
          <w:i/>
          <w:sz w:val="22"/>
        </w:rPr>
        <w:t>Les Maures et l’Afrique romain (IV</w:t>
      </w:r>
      <w:r w:rsidRPr="00FD2CB8">
        <w:rPr>
          <w:rFonts w:ascii="Cambria" w:hAnsi="Cambria" w:cs="Times New Roman"/>
          <w:b w:val="0"/>
          <w:bCs/>
          <w:i/>
          <w:position w:val="6"/>
          <w:sz w:val="22"/>
        </w:rPr>
        <w:t>e</w:t>
      </w:r>
      <w:r w:rsidRPr="00FD2CB8">
        <w:rPr>
          <w:rFonts w:ascii="Cambria" w:hAnsi="Cambria" w:cs="Times New Roman"/>
          <w:b w:val="0"/>
          <w:bCs/>
          <w:i/>
          <w:sz w:val="22"/>
        </w:rPr>
        <w:t>-VII</w:t>
      </w:r>
      <w:r w:rsidRPr="00FD2CB8">
        <w:rPr>
          <w:rFonts w:ascii="Cambria" w:hAnsi="Cambria" w:cs="Times New Roman"/>
          <w:b w:val="0"/>
          <w:bCs/>
          <w:i/>
          <w:position w:val="6"/>
          <w:sz w:val="22"/>
        </w:rPr>
        <w:t>e</w:t>
      </w:r>
      <w:r w:rsidRPr="00FD2CB8">
        <w:rPr>
          <w:rFonts w:ascii="Cambria" w:hAnsi="Cambria" w:cs="Times New Roman"/>
          <w:b w:val="0"/>
          <w:bCs/>
          <w:i/>
          <w:sz w:val="22"/>
        </w:rPr>
        <w:t xml:space="preserve"> siècle)</w:t>
      </w:r>
      <w:r w:rsidRPr="00FD2CB8">
        <w:rPr>
          <w:rFonts w:ascii="Cambria" w:hAnsi="Cambria" w:cs="Times New Roman"/>
          <w:b w:val="0"/>
          <w:bCs/>
          <w:sz w:val="22"/>
        </w:rPr>
        <w:t xml:space="preserve"> (CEFR, Rome, 2003.</w:t>
      </w:r>
    </w:p>
    <w:p w14:paraId="43C81617" w14:textId="77777777" w:rsidR="00C5504C" w:rsidRPr="00FD2CB8" w:rsidRDefault="00C5504C" w:rsidP="00C5504C">
      <w:pPr>
        <w:spacing w:after="0" w:line="360" w:lineRule="auto"/>
        <w:contextualSpacing/>
        <w:rPr>
          <w:sz w:val="22"/>
          <w:lang w:eastAsia="fr-FR"/>
        </w:rPr>
      </w:pPr>
    </w:p>
    <w:p w14:paraId="6E043D9B" w14:textId="77777777" w:rsidR="00C5504C" w:rsidRPr="00FD2CB8" w:rsidRDefault="00C5504C" w:rsidP="00C5504C">
      <w:pPr>
        <w:spacing w:after="0" w:line="360" w:lineRule="auto"/>
        <w:contextualSpacing/>
        <w:rPr>
          <w:sz w:val="22"/>
          <w:lang w:eastAsia="fr-FR"/>
        </w:rPr>
      </w:pPr>
    </w:p>
    <w:p w14:paraId="33BC4790" w14:textId="77777777" w:rsidR="00C5504C" w:rsidRPr="00FD2CB8" w:rsidRDefault="00C5504C" w:rsidP="00C5504C">
      <w:pPr>
        <w:spacing w:after="0" w:line="360" w:lineRule="auto"/>
        <w:contextualSpacing/>
        <w:rPr>
          <w:sz w:val="22"/>
          <w:lang w:eastAsia="fr-FR"/>
        </w:rPr>
      </w:pPr>
    </w:p>
    <w:p w14:paraId="59123AA6" w14:textId="77777777" w:rsidR="00C5504C" w:rsidRPr="00FD2CB8" w:rsidRDefault="00C5504C" w:rsidP="00C5504C">
      <w:pPr>
        <w:spacing w:after="0" w:line="360" w:lineRule="auto"/>
        <w:contextualSpacing/>
        <w:rPr>
          <w:sz w:val="22"/>
          <w:lang w:eastAsia="fr-FR"/>
        </w:rPr>
      </w:pPr>
    </w:p>
    <w:p w14:paraId="2B60DC41" w14:textId="77777777" w:rsidR="00C5504C" w:rsidRPr="00FD2CB8" w:rsidRDefault="00C5504C" w:rsidP="00C5504C">
      <w:pPr>
        <w:spacing w:after="0" w:line="360" w:lineRule="auto"/>
        <w:contextualSpacing/>
        <w:rPr>
          <w:sz w:val="22"/>
          <w:lang w:eastAsia="fr-FR"/>
        </w:rPr>
      </w:pPr>
    </w:p>
    <w:p w14:paraId="3DEE7D4F" w14:textId="77777777" w:rsidR="00C5504C" w:rsidRPr="00FD2CB8" w:rsidRDefault="00C5504C" w:rsidP="00C5504C">
      <w:pPr>
        <w:spacing w:after="0" w:line="360" w:lineRule="auto"/>
        <w:contextualSpacing/>
        <w:rPr>
          <w:sz w:val="22"/>
          <w:lang w:eastAsia="fr-FR"/>
        </w:rPr>
      </w:pPr>
    </w:p>
    <w:p w14:paraId="014A156C" w14:textId="77777777" w:rsidR="00C5504C" w:rsidRPr="00FD2CB8" w:rsidRDefault="00C5504C" w:rsidP="00C5504C">
      <w:pPr>
        <w:spacing w:after="0" w:line="360" w:lineRule="auto"/>
        <w:contextualSpacing/>
        <w:rPr>
          <w:sz w:val="22"/>
          <w:lang w:eastAsia="fr-FR"/>
        </w:rPr>
      </w:pPr>
    </w:p>
    <w:p w14:paraId="12247BEC" w14:textId="77777777" w:rsidR="00C5504C" w:rsidRPr="00FD2CB8" w:rsidRDefault="00C5504C" w:rsidP="00C5504C">
      <w:pPr>
        <w:spacing w:after="0" w:line="360" w:lineRule="auto"/>
        <w:contextualSpacing/>
        <w:rPr>
          <w:sz w:val="22"/>
          <w:lang w:eastAsia="fr-FR"/>
        </w:rPr>
      </w:pPr>
    </w:p>
    <w:p w14:paraId="1CB2BC3E" w14:textId="77777777" w:rsidR="00C5504C" w:rsidRPr="00FD2CB8" w:rsidRDefault="00C5504C" w:rsidP="00C5504C">
      <w:pPr>
        <w:spacing w:after="0" w:line="360" w:lineRule="auto"/>
        <w:contextualSpacing/>
        <w:rPr>
          <w:sz w:val="22"/>
          <w:lang w:eastAsia="fr-FR"/>
        </w:rPr>
      </w:pPr>
    </w:p>
    <w:p w14:paraId="0FEC5BA6" w14:textId="77777777" w:rsidR="00C5504C" w:rsidRPr="00FD2CB8" w:rsidRDefault="00C5504C" w:rsidP="00C5504C">
      <w:pPr>
        <w:spacing w:after="0" w:line="360" w:lineRule="auto"/>
        <w:contextualSpacing/>
        <w:rPr>
          <w:sz w:val="22"/>
          <w:lang w:eastAsia="fr-FR"/>
        </w:rPr>
      </w:pPr>
    </w:p>
    <w:p w14:paraId="220A910F" w14:textId="77777777" w:rsidR="0012268A" w:rsidRPr="00FD2CB8" w:rsidRDefault="0012268A" w:rsidP="008C18B6">
      <w:pPr>
        <w:spacing w:after="0" w:line="360" w:lineRule="auto"/>
        <w:contextualSpacing/>
        <w:rPr>
          <w:rFonts w:ascii="Cambria" w:hAnsi="Cambria"/>
          <w:sz w:val="22"/>
          <w:lang w:eastAsia="fr-FR"/>
        </w:rPr>
      </w:pPr>
    </w:p>
    <w:p w14:paraId="6258456D" w14:textId="77777777" w:rsidR="0012268A" w:rsidRPr="00FD2CB8" w:rsidRDefault="0012268A" w:rsidP="008C18B6">
      <w:pPr>
        <w:spacing w:after="0" w:line="360" w:lineRule="auto"/>
        <w:contextualSpacing/>
        <w:rPr>
          <w:rFonts w:ascii="Cambria" w:hAnsi="Cambria"/>
          <w:sz w:val="22"/>
          <w:lang w:eastAsia="fr-FR"/>
        </w:rPr>
      </w:pPr>
    </w:p>
    <w:p w14:paraId="28E7E3BB" w14:textId="77777777" w:rsidR="0012268A" w:rsidRPr="00FD2CB8" w:rsidRDefault="0012268A" w:rsidP="008C18B6">
      <w:pPr>
        <w:spacing w:after="0" w:line="360" w:lineRule="auto"/>
        <w:contextualSpacing/>
        <w:rPr>
          <w:rFonts w:ascii="Cambria" w:hAnsi="Cambria"/>
          <w:sz w:val="22"/>
          <w:lang w:eastAsia="fr-FR"/>
        </w:rPr>
      </w:pPr>
    </w:p>
    <w:p w14:paraId="331FB125" w14:textId="77777777" w:rsidR="0012268A" w:rsidRPr="00FD2CB8" w:rsidRDefault="0012268A" w:rsidP="008C18B6">
      <w:pPr>
        <w:spacing w:after="0" w:line="360" w:lineRule="auto"/>
        <w:contextualSpacing/>
        <w:rPr>
          <w:rFonts w:ascii="Cambria" w:hAnsi="Cambria"/>
          <w:sz w:val="22"/>
          <w:lang w:eastAsia="fr-FR"/>
        </w:rPr>
      </w:pPr>
    </w:p>
    <w:p w14:paraId="4139E986" w14:textId="77777777" w:rsidR="0012268A" w:rsidRPr="00FD2CB8" w:rsidRDefault="0012268A" w:rsidP="008C18B6">
      <w:pPr>
        <w:spacing w:after="0" w:line="360" w:lineRule="auto"/>
        <w:contextualSpacing/>
        <w:rPr>
          <w:rFonts w:ascii="Cambria" w:hAnsi="Cambria"/>
          <w:sz w:val="22"/>
          <w:lang w:eastAsia="fr-FR"/>
        </w:rPr>
      </w:pPr>
    </w:p>
    <w:p w14:paraId="25D17F0B" w14:textId="77777777" w:rsidR="0012268A" w:rsidRPr="00FD2CB8" w:rsidRDefault="0012268A" w:rsidP="008C18B6">
      <w:pPr>
        <w:spacing w:after="0" w:line="360" w:lineRule="auto"/>
        <w:contextualSpacing/>
        <w:rPr>
          <w:rFonts w:ascii="Cambria" w:hAnsi="Cambria"/>
          <w:sz w:val="22"/>
          <w:lang w:eastAsia="fr-FR"/>
        </w:rPr>
      </w:pPr>
    </w:p>
    <w:p w14:paraId="335CBF7C" w14:textId="77777777" w:rsidR="0012268A" w:rsidRPr="00FD2CB8" w:rsidRDefault="0012268A" w:rsidP="008C18B6">
      <w:pPr>
        <w:spacing w:after="0" w:line="360" w:lineRule="auto"/>
        <w:contextualSpacing/>
        <w:rPr>
          <w:rFonts w:ascii="Cambria" w:hAnsi="Cambria"/>
          <w:sz w:val="22"/>
          <w:lang w:eastAsia="fr-FR"/>
        </w:rPr>
      </w:pPr>
    </w:p>
    <w:p w14:paraId="6C195646" w14:textId="77777777" w:rsidR="0012268A" w:rsidRPr="00FD2CB8" w:rsidRDefault="0012268A" w:rsidP="008C18B6">
      <w:pPr>
        <w:spacing w:after="0" w:line="360" w:lineRule="auto"/>
        <w:contextualSpacing/>
        <w:rPr>
          <w:rFonts w:ascii="Cambria" w:hAnsi="Cambria"/>
          <w:sz w:val="22"/>
          <w:lang w:eastAsia="fr-FR"/>
        </w:rPr>
      </w:pPr>
    </w:p>
    <w:p w14:paraId="2CF74F1A" w14:textId="77777777" w:rsidR="0012268A" w:rsidRPr="00FD2CB8" w:rsidRDefault="0012268A" w:rsidP="008C18B6">
      <w:pPr>
        <w:spacing w:after="0" w:line="360" w:lineRule="auto"/>
        <w:contextualSpacing/>
        <w:rPr>
          <w:rFonts w:ascii="Cambria" w:hAnsi="Cambria"/>
          <w:sz w:val="22"/>
          <w:lang w:eastAsia="fr-FR"/>
        </w:rPr>
      </w:pPr>
    </w:p>
    <w:p w14:paraId="3D94B3E5" w14:textId="77777777" w:rsidR="0012268A" w:rsidRPr="00FD2CB8" w:rsidRDefault="0012268A" w:rsidP="008C18B6">
      <w:pPr>
        <w:spacing w:after="0" w:line="360" w:lineRule="auto"/>
        <w:contextualSpacing/>
        <w:rPr>
          <w:rFonts w:ascii="Cambria" w:hAnsi="Cambria"/>
          <w:sz w:val="22"/>
          <w:lang w:eastAsia="fr-FR"/>
        </w:rPr>
      </w:pPr>
    </w:p>
    <w:p w14:paraId="2A4950C7" w14:textId="77777777" w:rsidR="0012268A" w:rsidRPr="00FD2CB8" w:rsidRDefault="0012268A" w:rsidP="008C18B6">
      <w:pPr>
        <w:spacing w:after="0" w:line="360" w:lineRule="auto"/>
        <w:contextualSpacing/>
        <w:rPr>
          <w:rFonts w:ascii="Cambria" w:hAnsi="Cambria"/>
          <w:sz w:val="22"/>
          <w:lang w:eastAsia="fr-FR"/>
        </w:rPr>
      </w:pPr>
    </w:p>
    <w:p w14:paraId="51A9224F" w14:textId="77777777" w:rsidR="0012268A" w:rsidRPr="00FD2CB8" w:rsidRDefault="0012268A" w:rsidP="008C18B6">
      <w:pPr>
        <w:spacing w:after="0" w:line="360" w:lineRule="auto"/>
        <w:contextualSpacing/>
        <w:rPr>
          <w:rFonts w:ascii="Cambria" w:hAnsi="Cambria"/>
          <w:sz w:val="22"/>
          <w:lang w:eastAsia="fr-FR"/>
        </w:rPr>
      </w:pPr>
    </w:p>
    <w:p w14:paraId="783BB500" w14:textId="77777777" w:rsidR="0012268A" w:rsidRPr="00FD2CB8" w:rsidRDefault="0012268A" w:rsidP="008C18B6">
      <w:pPr>
        <w:spacing w:after="0" w:line="360" w:lineRule="auto"/>
        <w:contextualSpacing/>
        <w:rPr>
          <w:rFonts w:ascii="Cambria" w:hAnsi="Cambria"/>
          <w:sz w:val="22"/>
          <w:lang w:eastAsia="fr-FR"/>
        </w:rPr>
      </w:pPr>
    </w:p>
    <w:p w14:paraId="5F98445E" w14:textId="77777777" w:rsidR="0012268A" w:rsidRPr="00FD2CB8" w:rsidRDefault="0012268A" w:rsidP="008C18B6">
      <w:pPr>
        <w:spacing w:after="0" w:line="360" w:lineRule="auto"/>
        <w:contextualSpacing/>
        <w:rPr>
          <w:rFonts w:ascii="Cambria" w:hAnsi="Cambria"/>
          <w:sz w:val="22"/>
          <w:lang w:eastAsia="fr-FR"/>
        </w:rPr>
      </w:pPr>
    </w:p>
    <w:p w14:paraId="2B58EE80" w14:textId="77777777" w:rsidR="0012268A" w:rsidRPr="00FD2CB8" w:rsidRDefault="0012268A" w:rsidP="008C18B6">
      <w:pPr>
        <w:spacing w:after="0" w:line="360" w:lineRule="auto"/>
        <w:contextualSpacing/>
        <w:rPr>
          <w:rFonts w:ascii="Cambria" w:hAnsi="Cambria"/>
          <w:sz w:val="22"/>
          <w:lang w:eastAsia="fr-FR"/>
        </w:rPr>
      </w:pPr>
    </w:p>
    <w:p w14:paraId="0E91CD7B" w14:textId="77777777" w:rsidR="00867074" w:rsidRPr="00FD2CB8" w:rsidRDefault="00867074" w:rsidP="008C18B6">
      <w:pPr>
        <w:spacing w:after="0" w:line="360" w:lineRule="auto"/>
        <w:contextualSpacing/>
        <w:rPr>
          <w:rFonts w:ascii="Cambria" w:hAnsi="Cambria"/>
          <w:sz w:val="22"/>
          <w:lang w:eastAsia="fr-FR"/>
        </w:rPr>
      </w:pPr>
    </w:p>
    <w:p w14:paraId="0A849FA9" w14:textId="77777777" w:rsidR="00E83FE8" w:rsidRPr="00FD2CB8" w:rsidRDefault="00E83FE8" w:rsidP="008C18B6">
      <w:pPr>
        <w:spacing w:after="0" w:line="360" w:lineRule="auto"/>
        <w:contextualSpacing/>
        <w:rPr>
          <w:rFonts w:ascii="Cambria" w:hAnsi="Cambria"/>
          <w:lang w:eastAsia="fr-FR"/>
        </w:rPr>
      </w:pPr>
    </w:p>
    <w:p w14:paraId="1CEDBDCF" w14:textId="77777777" w:rsidR="00356D03" w:rsidRPr="00FD2CB8" w:rsidRDefault="00356D03" w:rsidP="008C18B6">
      <w:pPr>
        <w:spacing w:after="0" w:line="360" w:lineRule="auto"/>
        <w:contextualSpacing/>
        <w:rPr>
          <w:rFonts w:ascii="Cambria" w:hAnsi="Cambria"/>
          <w:lang w:eastAsia="fr-FR"/>
        </w:rPr>
      </w:pPr>
    </w:p>
    <w:p w14:paraId="67977681" w14:textId="77777777" w:rsidR="008E2353" w:rsidRPr="00FD2CB8" w:rsidRDefault="008E2353" w:rsidP="008C18B6">
      <w:pPr>
        <w:spacing w:after="0" w:line="360" w:lineRule="auto"/>
        <w:contextualSpacing/>
        <w:rPr>
          <w:rFonts w:ascii="Cambria" w:hAnsi="Cambria"/>
          <w:lang w:eastAsia="fr-FR"/>
        </w:rPr>
      </w:pPr>
    </w:p>
    <w:p w14:paraId="38AA1791" w14:textId="77777777" w:rsidR="008E2353" w:rsidRPr="00FD2CB8" w:rsidRDefault="008E2353" w:rsidP="008C18B6">
      <w:pPr>
        <w:spacing w:after="0" w:line="360" w:lineRule="auto"/>
        <w:contextualSpacing/>
        <w:rPr>
          <w:rFonts w:ascii="Cambria" w:hAnsi="Cambria"/>
          <w:lang w:eastAsia="fr-FR"/>
        </w:rPr>
      </w:pPr>
    </w:p>
    <w:p w14:paraId="7056F44F" w14:textId="77777777" w:rsidR="00356D03" w:rsidRPr="00FD2CB8" w:rsidRDefault="00356D03" w:rsidP="008C18B6">
      <w:pPr>
        <w:spacing w:after="0" w:line="360" w:lineRule="auto"/>
        <w:contextualSpacing/>
        <w:rPr>
          <w:rFonts w:ascii="Cambria" w:hAnsi="Cambria"/>
          <w:lang w:eastAsia="fr-FR"/>
        </w:rPr>
      </w:pPr>
    </w:p>
    <w:p w14:paraId="52E76459" w14:textId="77777777" w:rsidR="00356D03" w:rsidRPr="00FD2CB8" w:rsidRDefault="00356D03" w:rsidP="008C18B6">
      <w:pPr>
        <w:spacing w:after="0" w:line="360" w:lineRule="auto"/>
        <w:contextualSpacing/>
        <w:rPr>
          <w:rFonts w:ascii="Cambria" w:hAnsi="Cambria"/>
          <w:lang w:eastAsia="fr-FR"/>
        </w:rPr>
      </w:pPr>
    </w:p>
    <w:p w14:paraId="120188AB" w14:textId="77777777" w:rsidR="0053098D" w:rsidRPr="00FD2CB8" w:rsidRDefault="0053098D" w:rsidP="008C18B6">
      <w:pPr>
        <w:spacing w:after="0" w:line="360" w:lineRule="auto"/>
        <w:contextualSpacing/>
        <w:rPr>
          <w:rFonts w:ascii="Cambria" w:hAnsi="Cambria"/>
          <w:lang w:eastAsia="fr-FR"/>
        </w:rPr>
      </w:pPr>
    </w:p>
    <w:p w14:paraId="5FE4D5E5" w14:textId="77777777" w:rsidR="00356D03" w:rsidRPr="00FD2CB8" w:rsidRDefault="00356D03" w:rsidP="008C18B6">
      <w:pPr>
        <w:spacing w:after="0" w:line="360" w:lineRule="auto"/>
        <w:contextualSpacing/>
        <w:rPr>
          <w:rFonts w:ascii="Cambria" w:hAnsi="Cambria"/>
          <w:lang w:eastAsia="fr-FR"/>
        </w:rPr>
      </w:pPr>
    </w:p>
    <w:p w14:paraId="68EEA0DC" w14:textId="77777777" w:rsidR="00332D95" w:rsidRPr="00FD2CB8" w:rsidRDefault="00332D95" w:rsidP="008C18B6">
      <w:pPr>
        <w:spacing w:after="0" w:line="360" w:lineRule="auto"/>
        <w:contextualSpacing/>
        <w:rPr>
          <w:rFonts w:ascii="Cambria" w:hAnsi="Cambria"/>
          <w:lang w:eastAsia="fr-FR"/>
        </w:rPr>
      </w:pPr>
    </w:p>
    <w:p w14:paraId="259DFCA1" w14:textId="77777777" w:rsidR="00332D95" w:rsidRPr="00FD2CB8" w:rsidRDefault="00332D95" w:rsidP="008C18B6">
      <w:pPr>
        <w:spacing w:after="0" w:line="360" w:lineRule="auto"/>
        <w:contextualSpacing/>
        <w:rPr>
          <w:rFonts w:ascii="Cambria" w:hAnsi="Cambria"/>
          <w:lang w:eastAsia="fr-FR"/>
        </w:rPr>
      </w:pPr>
    </w:p>
    <w:p w14:paraId="38F164C3" w14:textId="77777777" w:rsidR="00332D95" w:rsidRPr="00FD2CB8" w:rsidRDefault="00332D95" w:rsidP="008C18B6">
      <w:pPr>
        <w:spacing w:after="0" w:line="360" w:lineRule="auto"/>
        <w:contextualSpacing/>
        <w:rPr>
          <w:rFonts w:ascii="Cambria" w:hAnsi="Cambria"/>
          <w:lang w:eastAsia="fr-FR"/>
        </w:rPr>
      </w:pPr>
    </w:p>
    <w:p w14:paraId="2C1BD0BB" w14:textId="77777777" w:rsidR="00B100F1" w:rsidRPr="00FD2CB8" w:rsidRDefault="00B100F1" w:rsidP="00C215C0">
      <w:pPr>
        <w:spacing w:after="0" w:line="360" w:lineRule="auto"/>
        <w:contextualSpacing/>
        <w:rPr>
          <w:rFonts w:ascii="Cambria" w:hAnsi="Cambria"/>
          <w:i/>
          <w:color w:val="C00000"/>
          <w:sz w:val="28"/>
          <w:lang w:eastAsia="en-US"/>
        </w:rPr>
      </w:pPr>
    </w:p>
    <w:p w14:paraId="3108829B" w14:textId="21B4B1F5" w:rsidR="00CE294E" w:rsidRPr="00FD2CB8" w:rsidRDefault="00E366D8" w:rsidP="00E90D0E">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J3011519/J3011</w:t>
      </w:r>
      <w:r w:rsidR="00B51956" w:rsidRPr="00FD2CB8">
        <w:rPr>
          <w:rFonts w:ascii="Cambria" w:hAnsi="Cambria"/>
          <w:i/>
          <w:color w:val="C00000"/>
          <w:sz w:val="28"/>
          <w:lang w:eastAsia="en-US"/>
        </w:rPr>
        <w:t>8</w:t>
      </w:r>
      <w:r w:rsidRPr="00FD2CB8">
        <w:rPr>
          <w:rFonts w:ascii="Cambria" w:hAnsi="Cambria"/>
          <w:i/>
          <w:color w:val="C00000"/>
          <w:sz w:val="28"/>
          <w:lang w:eastAsia="en-US"/>
        </w:rPr>
        <w:t>19</w:t>
      </w:r>
      <w:r w:rsidR="00045494" w:rsidRPr="00FD2CB8">
        <w:rPr>
          <w:rFonts w:ascii="Cambria" w:hAnsi="Cambria"/>
          <w:i/>
          <w:color w:val="C00000"/>
          <w:sz w:val="28"/>
          <w:lang w:eastAsia="en-US"/>
        </w:rPr>
        <w:t xml:space="preserve"> : Culture et identité grecques</w:t>
      </w:r>
    </w:p>
    <w:p w14:paraId="58531145" w14:textId="12EEEA35" w:rsidR="005F549D" w:rsidRPr="00A41069" w:rsidRDefault="003272A5" w:rsidP="0013751A">
      <w:pPr>
        <w:spacing w:after="0" w:line="360" w:lineRule="auto"/>
        <w:contextualSpacing/>
        <w:jc w:val="center"/>
        <w:rPr>
          <w:rFonts w:ascii="Cambria" w:hAnsi="Cambria"/>
          <w:i/>
          <w:color w:val="C00000"/>
          <w:sz w:val="26"/>
          <w:szCs w:val="26"/>
          <w:u w:val="single"/>
          <w:lang w:eastAsia="en-US"/>
        </w:rPr>
      </w:pPr>
      <w:r w:rsidRPr="00A41069">
        <w:rPr>
          <w:rFonts w:ascii="Cambria" w:hAnsi="Cambria"/>
          <w:i/>
          <w:color w:val="C00000"/>
          <w:sz w:val="26"/>
          <w:szCs w:val="26"/>
          <w:u w:val="single"/>
          <w:lang w:eastAsia="en-US"/>
        </w:rPr>
        <w:t>Cet enseignement se déroulera uniquement au semestre 2</w:t>
      </w:r>
    </w:p>
    <w:p w14:paraId="5BE19CDE" w14:textId="77777777" w:rsidR="0013751A" w:rsidRPr="00FD2CB8" w:rsidRDefault="0013751A" w:rsidP="0013751A">
      <w:pPr>
        <w:spacing w:after="0" w:line="360" w:lineRule="auto"/>
        <w:contextualSpacing/>
        <w:jc w:val="center"/>
        <w:rPr>
          <w:rFonts w:ascii="Cambria" w:hAnsi="Cambria"/>
          <w:i/>
          <w:color w:val="C00000"/>
          <w:sz w:val="26"/>
          <w:szCs w:val="26"/>
          <w:lang w:eastAsia="en-US"/>
        </w:rPr>
      </w:pPr>
    </w:p>
    <w:p w14:paraId="648690A2" w14:textId="753A4D7C" w:rsidR="009D456D" w:rsidRPr="00FD2CB8" w:rsidRDefault="00311672" w:rsidP="00311672">
      <w:pPr>
        <w:spacing w:line="276" w:lineRule="auto"/>
        <w:contextualSpacing/>
        <w:jc w:val="center"/>
        <w:rPr>
          <w:rFonts w:ascii="Cambria" w:hAnsi="Cambria" w:cs="Times New Roman"/>
          <w:color w:val="000000" w:themeColor="text1"/>
          <w:sz w:val="22"/>
        </w:rPr>
      </w:pPr>
      <w:r w:rsidRPr="00FD2CB8">
        <w:rPr>
          <w:rFonts w:ascii="Cambria" w:hAnsi="Cambria" w:cs="Times New Roman"/>
          <w:color w:val="000000" w:themeColor="text1"/>
          <w:sz w:val="22"/>
        </w:rPr>
        <w:t>Sophie Lalanne (CM/TD)</w:t>
      </w:r>
    </w:p>
    <w:p w14:paraId="77B07B4A" w14:textId="77777777" w:rsidR="00311672" w:rsidRPr="00FD2CB8" w:rsidRDefault="00311672" w:rsidP="00311672">
      <w:pPr>
        <w:spacing w:line="276" w:lineRule="auto"/>
        <w:contextualSpacing/>
        <w:jc w:val="center"/>
        <w:rPr>
          <w:rFonts w:ascii="Cambria" w:hAnsi="Cambria" w:cs="Times New Roman"/>
          <w:color w:val="000000" w:themeColor="text1"/>
          <w:sz w:val="22"/>
        </w:rPr>
      </w:pPr>
    </w:p>
    <w:p w14:paraId="5AB6EE04" w14:textId="77777777" w:rsidR="003272A5" w:rsidRPr="00A666CA" w:rsidRDefault="009D456D" w:rsidP="003272A5">
      <w:pPr>
        <w:rPr>
          <w:rFonts w:ascii="Cambria" w:hAnsi="Cambria"/>
          <w:bCs/>
          <w:color w:val="C00000"/>
          <w:sz w:val="22"/>
        </w:rPr>
      </w:pPr>
      <w:r w:rsidRPr="00A666CA">
        <w:rPr>
          <w:rFonts w:ascii="Cambria" w:hAnsi="Cambria" w:cs="Times New Roman"/>
          <w:color w:val="B71E42" w:themeColor="accent1"/>
          <w:sz w:val="22"/>
          <w:u w:val="single"/>
        </w:rPr>
        <w:t xml:space="preserve">Sujet du cours </w:t>
      </w:r>
      <w:r w:rsidR="00184270" w:rsidRPr="00A666CA">
        <w:rPr>
          <w:rFonts w:ascii="Cambria" w:hAnsi="Cambria" w:cs="Times New Roman"/>
          <w:color w:val="B71E42" w:themeColor="accent1"/>
          <w:sz w:val="22"/>
          <w:u w:val="single"/>
        </w:rPr>
        <w:t>semestre 2</w:t>
      </w:r>
      <w:r w:rsidRPr="00A666CA">
        <w:rPr>
          <w:rFonts w:ascii="Cambria" w:hAnsi="Cambria" w:cs="Times New Roman"/>
          <w:color w:val="B71E42" w:themeColor="accent1"/>
          <w:sz w:val="22"/>
        </w:rPr>
        <w:t xml:space="preserve"> : </w:t>
      </w:r>
      <w:r w:rsidR="003272A5" w:rsidRPr="00A666CA">
        <w:rPr>
          <w:rFonts w:ascii="Cambria" w:hAnsi="Cambria"/>
          <w:bCs/>
          <w:color w:val="C00000"/>
          <w:sz w:val="22"/>
        </w:rPr>
        <w:t xml:space="preserve">: </w:t>
      </w:r>
      <w:bookmarkStart w:id="8" w:name="_Hlk233967300"/>
      <w:r w:rsidR="003272A5" w:rsidRPr="00A666CA">
        <w:rPr>
          <w:rFonts w:ascii="Cambria" w:hAnsi="Cambria"/>
          <w:bCs/>
          <w:color w:val="C00000"/>
          <w:sz w:val="22"/>
        </w:rPr>
        <w:t>Hellénisme et Empire (I</w:t>
      </w:r>
      <w:r w:rsidR="003272A5" w:rsidRPr="00A666CA">
        <w:rPr>
          <w:rFonts w:ascii="Cambria" w:hAnsi="Cambria"/>
          <w:bCs/>
          <w:color w:val="C00000"/>
          <w:sz w:val="22"/>
          <w:vertAlign w:val="superscript"/>
        </w:rPr>
        <w:t>er</w:t>
      </w:r>
      <w:r w:rsidR="003272A5" w:rsidRPr="00A666CA">
        <w:rPr>
          <w:rFonts w:ascii="Cambria" w:hAnsi="Cambria"/>
          <w:bCs/>
          <w:color w:val="C00000"/>
          <w:sz w:val="22"/>
        </w:rPr>
        <w:t>-III</w:t>
      </w:r>
      <w:r w:rsidR="003272A5" w:rsidRPr="00A666CA">
        <w:rPr>
          <w:rFonts w:ascii="Cambria" w:hAnsi="Cambria"/>
          <w:bCs/>
          <w:color w:val="C00000"/>
          <w:sz w:val="22"/>
          <w:vertAlign w:val="superscript"/>
        </w:rPr>
        <w:t>e</w:t>
      </w:r>
      <w:r w:rsidR="003272A5" w:rsidRPr="00A666CA">
        <w:rPr>
          <w:rFonts w:ascii="Cambria" w:hAnsi="Cambria"/>
          <w:bCs/>
          <w:color w:val="C00000"/>
          <w:sz w:val="22"/>
        </w:rPr>
        <w:t xml:space="preserve"> siècles après J.-C.)</w:t>
      </w:r>
    </w:p>
    <w:bookmarkEnd w:id="8"/>
    <w:p w14:paraId="78A29A1C" w14:textId="77777777" w:rsidR="003272A5" w:rsidRPr="00A666CA" w:rsidRDefault="003272A5" w:rsidP="003272A5">
      <w:pPr>
        <w:jc w:val="both"/>
        <w:rPr>
          <w:rFonts w:ascii="Cambria" w:hAnsi="Cambria"/>
          <w:b w:val="0"/>
          <w:bCs/>
          <w:sz w:val="22"/>
        </w:rPr>
      </w:pPr>
      <w:r w:rsidRPr="00A666CA">
        <w:rPr>
          <w:rFonts w:ascii="Cambria" w:hAnsi="Cambria"/>
          <w:b w:val="0"/>
          <w:bCs/>
          <w:sz w:val="22"/>
        </w:rPr>
        <w:t xml:space="preserve">Après une brève présentation de l’hellénisme aux époques classique et hellénistique, cette série de cours portera sur la redéfinition de l’identité grecque sous la domination romaine, sur la « Renaissance grecque » en partie masquée par le goût de l’archaïsme et sur la diversité des modes de réception de l’héritage grec à travers l’histoire de l’Empire romain. </w:t>
      </w:r>
    </w:p>
    <w:p w14:paraId="240CCC1D" w14:textId="6AA143D0" w:rsidR="003272A5" w:rsidRPr="00A666CA" w:rsidRDefault="003272A5" w:rsidP="003272A5">
      <w:pPr>
        <w:jc w:val="both"/>
        <w:rPr>
          <w:rFonts w:ascii="Cambria" w:hAnsi="Cambria"/>
          <w:b w:val="0"/>
          <w:bCs/>
          <w:sz w:val="22"/>
        </w:rPr>
      </w:pPr>
      <w:r w:rsidRPr="00A666CA">
        <w:rPr>
          <w:rFonts w:ascii="Cambria" w:hAnsi="Cambria"/>
          <w:b w:val="0"/>
          <w:bCs/>
          <w:sz w:val="22"/>
        </w:rPr>
        <w:t>On étudiera plus particulièrement la diffusion de l’hellénisme à Rome, puis en Grèce, en Asie Mineure, parmi les élites des provinces orientales hellénophones (Syriens, Égyptiens, juifs, etc.), puis dans les premières communautés chrétiennes, de manière à mettre en perspective la constitution progressive d’un espace culturel autonome, cet Orient « gréco-romain » qui donnera naissance à l’Empire byzantin. On étudiera simultanément et en relation étroite l’histoire politique et l’histoire culturelle de ces provinces où dominait la langue grecque durant les premiers siècles de notre ère.</w:t>
      </w:r>
    </w:p>
    <w:p w14:paraId="0171B9FE" w14:textId="47B368C4" w:rsidR="003272A5" w:rsidRPr="00A666CA" w:rsidRDefault="003272A5" w:rsidP="003272A5">
      <w:pPr>
        <w:jc w:val="both"/>
        <w:rPr>
          <w:rFonts w:ascii="Cambria" w:hAnsi="Cambria"/>
          <w:b w:val="0"/>
          <w:bCs/>
          <w:sz w:val="22"/>
        </w:rPr>
      </w:pPr>
      <w:r w:rsidRPr="00A666CA">
        <w:rPr>
          <w:rFonts w:ascii="Cambria" w:hAnsi="Cambria"/>
          <w:b w:val="0"/>
          <w:bCs/>
          <w:sz w:val="22"/>
        </w:rPr>
        <w:t>Cet enseignement n’est pas recommandé aux étudiants qui n’auraient pas la possibilité de suivre le cours magistral.</w:t>
      </w:r>
    </w:p>
    <w:p w14:paraId="40BB1421" w14:textId="77777777" w:rsidR="00E93E14" w:rsidRDefault="00E93E14" w:rsidP="003272A5">
      <w:pPr>
        <w:pStyle w:val="Titre4"/>
        <w:ind w:right="-284"/>
        <w:rPr>
          <w:rFonts w:ascii="Cambria" w:hAnsi="Cambria"/>
          <w:sz w:val="22"/>
        </w:rPr>
      </w:pPr>
    </w:p>
    <w:p w14:paraId="4BAD429C" w14:textId="3DAA1381" w:rsidR="003272A5" w:rsidRPr="00A666CA" w:rsidRDefault="003272A5" w:rsidP="003272A5">
      <w:pPr>
        <w:pStyle w:val="Titre4"/>
        <w:ind w:right="-284"/>
        <w:rPr>
          <w:rFonts w:ascii="Cambria" w:hAnsi="Cambria"/>
          <w:sz w:val="22"/>
        </w:rPr>
      </w:pPr>
      <w:r w:rsidRPr="00A666CA">
        <w:rPr>
          <w:rFonts w:ascii="Cambria" w:hAnsi="Cambria"/>
          <w:sz w:val="22"/>
        </w:rPr>
        <w:t>Bibliographie</w:t>
      </w:r>
    </w:p>
    <w:p w14:paraId="50E12B25" w14:textId="77777777" w:rsidR="003272A5" w:rsidRPr="00A666CA" w:rsidRDefault="003272A5" w:rsidP="003272A5">
      <w:pPr>
        <w:ind w:right="-284"/>
        <w:rPr>
          <w:rFonts w:ascii="Cambria" w:hAnsi="Cambria"/>
          <w:bCs/>
          <w:sz w:val="22"/>
        </w:rPr>
      </w:pPr>
      <w:r w:rsidRPr="00A666CA">
        <w:rPr>
          <w:rFonts w:ascii="Cambria" w:hAnsi="Cambria"/>
          <w:bCs/>
          <w:sz w:val="22"/>
        </w:rPr>
        <w:t>1. Manuel d’histoire grecque adapté au programme</w:t>
      </w:r>
    </w:p>
    <w:p w14:paraId="7EC6CA65" w14:textId="02F9015F" w:rsidR="003272A5" w:rsidRPr="00A666CA" w:rsidRDefault="003272A5" w:rsidP="003272A5">
      <w:pPr>
        <w:ind w:right="-284"/>
        <w:rPr>
          <w:rFonts w:ascii="Cambria" w:hAnsi="Cambria"/>
          <w:b w:val="0"/>
          <w:sz w:val="22"/>
          <w:vertAlign w:val="superscript"/>
        </w:rPr>
      </w:pPr>
      <w:r w:rsidRPr="00A666CA">
        <w:rPr>
          <w:rFonts w:ascii="Cambria" w:hAnsi="Cambria"/>
          <w:b w:val="0"/>
          <w:sz w:val="22"/>
        </w:rPr>
        <w:t xml:space="preserve">Baslez M.-F., </w:t>
      </w:r>
      <w:r w:rsidRPr="00A666CA">
        <w:rPr>
          <w:rFonts w:ascii="Cambria" w:hAnsi="Cambria"/>
          <w:b w:val="0"/>
          <w:i/>
          <w:sz w:val="22"/>
        </w:rPr>
        <w:t>Histoire politique du monde grec</w:t>
      </w:r>
      <w:r w:rsidRPr="00A666CA">
        <w:rPr>
          <w:rFonts w:ascii="Cambria" w:hAnsi="Cambria"/>
          <w:b w:val="0"/>
          <w:sz w:val="22"/>
        </w:rPr>
        <w:t>, Paris 1994, 2023</w:t>
      </w:r>
      <w:r w:rsidRPr="00A666CA">
        <w:rPr>
          <w:rFonts w:ascii="Cambria" w:hAnsi="Cambria"/>
          <w:b w:val="0"/>
          <w:sz w:val="22"/>
          <w:vertAlign w:val="superscript"/>
        </w:rPr>
        <w:t>3</w:t>
      </w:r>
    </w:p>
    <w:p w14:paraId="77D74195" w14:textId="77777777" w:rsidR="0013751A" w:rsidRDefault="0013751A" w:rsidP="003272A5">
      <w:pPr>
        <w:ind w:right="-284"/>
        <w:rPr>
          <w:rFonts w:ascii="Cambria" w:hAnsi="Cambria"/>
          <w:b w:val="0"/>
          <w:sz w:val="22"/>
        </w:rPr>
      </w:pPr>
    </w:p>
    <w:p w14:paraId="7143CB7F" w14:textId="77777777" w:rsidR="00E93E14" w:rsidRDefault="00E93E14" w:rsidP="003272A5">
      <w:pPr>
        <w:ind w:right="-284"/>
        <w:rPr>
          <w:rFonts w:ascii="Cambria" w:hAnsi="Cambria"/>
          <w:b w:val="0"/>
          <w:sz w:val="22"/>
        </w:rPr>
      </w:pPr>
    </w:p>
    <w:p w14:paraId="241AC7FB" w14:textId="77777777" w:rsidR="00E93E14" w:rsidRPr="00A666CA" w:rsidRDefault="00E93E14" w:rsidP="003272A5">
      <w:pPr>
        <w:ind w:right="-284"/>
        <w:rPr>
          <w:rFonts w:ascii="Cambria" w:hAnsi="Cambria"/>
          <w:b w:val="0"/>
          <w:sz w:val="22"/>
        </w:rPr>
      </w:pPr>
    </w:p>
    <w:p w14:paraId="2B4F70D1" w14:textId="77777777" w:rsidR="003272A5" w:rsidRPr="00A666CA" w:rsidRDefault="003272A5" w:rsidP="003272A5">
      <w:pPr>
        <w:ind w:right="-284"/>
        <w:rPr>
          <w:rFonts w:ascii="Cambria" w:hAnsi="Cambria"/>
          <w:bCs/>
          <w:sz w:val="22"/>
        </w:rPr>
      </w:pPr>
      <w:r w:rsidRPr="00A666CA">
        <w:rPr>
          <w:rFonts w:ascii="Cambria" w:hAnsi="Cambria"/>
          <w:bCs/>
          <w:sz w:val="22"/>
        </w:rPr>
        <w:t>2. Histoire de l’Orient romain : ouvrages fondamentaux</w:t>
      </w:r>
    </w:p>
    <w:p w14:paraId="21A7B99A"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Jacq F. et Scheid J. dir., </w:t>
      </w:r>
      <w:r w:rsidRPr="00A666CA">
        <w:rPr>
          <w:rFonts w:ascii="Cambria" w:hAnsi="Cambria"/>
          <w:b w:val="0"/>
          <w:i/>
          <w:sz w:val="22"/>
        </w:rPr>
        <w:t>Rome et l’intégration de l’Empire (44 av. J.-C.-260 ap. J.-C.) I. Les structures de l’Empire romain</w:t>
      </w:r>
      <w:r w:rsidRPr="00A666CA">
        <w:rPr>
          <w:rFonts w:ascii="Cambria" w:hAnsi="Cambria"/>
          <w:b w:val="0"/>
          <w:sz w:val="22"/>
        </w:rPr>
        <w:t>, Paris, Nouvelle Clio, 1990</w:t>
      </w:r>
    </w:p>
    <w:p w14:paraId="3A87FAD9"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Lepelley C. dir., </w:t>
      </w:r>
      <w:r w:rsidRPr="00A666CA">
        <w:rPr>
          <w:rFonts w:ascii="Cambria" w:hAnsi="Cambria"/>
          <w:b w:val="0"/>
          <w:i/>
          <w:sz w:val="22"/>
        </w:rPr>
        <w:t>Rome et l’intégration de l’Empire (44 av. J.-C.-260 ap. J.-C.) II. Approches régionales du Haut-Empire romain</w:t>
      </w:r>
      <w:r w:rsidRPr="00A666CA">
        <w:rPr>
          <w:rFonts w:ascii="Cambria" w:hAnsi="Cambria"/>
          <w:b w:val="0"/>
          <w:sz w:val="22"/>
        </w:rPr>
        <w:t>, Paris, Nouvelle Clio, 1998</w:t>
      </w:r>
    </w:p>
    <w:p w14:paraId="0DAF2FA0"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Nicolet C. dir., </w:t>
      </w:r>
      <w:r w:rsidRPr="00A666CA">
        <w:rPr>
          <w:rFonts w:ascii="Cambria" w:hAnsi="Cambria"/>
          <w:b w:val="0"/>
          <w:i/>
          <w:sz w:val="22"/>
        </w:rPr>
        <w:t>Rome et la conquête du monde méditerranéen II. Genèse d’un empire</w:t>
      </w:r>
      <w:r w:rsidRPr="00A666CA">
        <w:rPr>
          <w:rFonts w:ascii="Cambria" w:hAnsi="Cambria"/>
          <w:b w:val="0"/>
          <w:sz w:val="22"/>
        </w:rPr>
        <w:t>, Paris, Nouvelle Clio, 1978</w:t>
      </w:r>
    </w:p>
    <w:p w14:paraId="14C2C9F8" w14:textId="77777777" w:rsidR="003272A5" w:rsidRPr="00A666CA" w:rsidRDefault="003272A5" w:rsidP="003272A5">
      <w:pPr>
        <w:rPr>
          <w:rFonts w:ascii="Cambria" w:hAnsi="Cambria"/>
          <w:b w:val="0"/>
          <w:sz w:val="22"/>
        </w:rPr>
      </w:pPr>
      <w:r w:rsidRPr="00A666CA">
        <w:rPr>
          <w:rFonts w:ascii="Cambria" w:hAnsi="Cambria"/>
          <w:b w:val="0"/>
          <w:sz w:val="22"/>
        </w:rPr>
        <w:t xml:space="preserve">Sartre M., </w:t>
      </w:r>
      <w:r w:rsidRPr="00A666CA">
        <w:rPr>
          <w:rFonts w:ascii="Cambria" w:hAnsi="Cambria"/>
          <w:b w:val="0"/>
          <w:i/>
          <w:sz w:val="22"/>
        </w:rPr>
        <w:t>L’Orient romain</w:t>
      </w:r>
      <w:r w:rsidRPr="00A666CA">
        <w:rPr>
          <w:rFonts w:ascii="Cambria" w:hAnsi="Cambria"/>
          <w:b w:val="0"/>
          <w:sz w:val="22"/>
        </w:rPr>
        <w:t>, Paris, Seuil 1991</w:t>
      </w:r>
    </w:p>
    <w:p w14:paraId="78372C1E" w14:textId="25B6408D" w:rsidR="003272A5" w:rsidRPr="00A666CA" w:rsidRDefault="003272A5" w:rsidP="003272A5">
      <w:pPr>
        <w:pStyle w:val="Biblio"/>
        <w:spacing w:line="240" w:lineRule="auto"/>
        <w:ind w:left="0" w:right="-284" w:firstLine="0"/>
        <w:rPr>
          <w:rFonts w:ascii="Cambria" w:hAnsi="Cambria"/>
          <w:sz w:val="22"/>
          <w:szCs w:val="22"/>
        </w:rPr>
      </w:pPr>
      <w:r w:rsidRPr="00A666CA">
        <w:rPr>
          <w:rFonts w:ascii="Cambria" w:hAnsi="Cambria"/>
          <w:sz w:val="22"/>
          <w:szCs w:val="22"/>
        </w:rPr>
        <w:t xml:space="preserve">Sartre M., </w:t>
      </w:r>
      <w:r w:rsidRPr="00A666CA">
        <w:rPr>
          <w:rFonts w:ascii="Cambria" w:hAnsi="Cambria"/>
          <w:i/>
          <w:iCs/>
          <w:sz w:val="22"/>
          <w:szCs w:val="22"/>
        </w:rPr>
        <w:t>Le Haut-Empire romain. Les provinces de la Méditerranée orientale d’Auguste aux Sévères (31 av.-235 ap.)</w:t>
      </w:r>
      <w:r w:rsidRPr="00A666CA">
        <w:rPr>
          <w:rFonts w:ascii="Cambria" w:hAnsi="Cambria"/>
          <w:sz w:val="22"/>
          <w:szCs w:val="22"/>
        </w:rPr>
        <w:t>, Paris, Seuil, 1997</w:t>
      </w:r>
    </w:p>
    <w:p w14:paraId="77A477F3" w14:textId="77777777" w:rsidR="003272A5" w:rsidRPr="00A666CA" w:rsidRDefault="003272A5" w:rsidP="003272A5">
      <w:pPr>
        <w:ind w:right="-284"/>
        <w:rPr>
          <w:rFonts w:ascii="Cambria" w:hAnsi="Cambria"/>
          <w:bCs/>
          <w:sz w:val="22"/>
        </w:rPr>
      </w:pPr>
      <w:r w:rsidRPr="00A666CA">
        <w:rPr>
          <w:rFonts w:ascii="Cambria" w:hAnsi="Cambria"/>
          <w:bCs/>
          <w:sz w:val="22"/>
        </w:rPr>
        <w:t>3. Histoire culturelle de l’Orient romain</w:t>
      </w:r>
    </w:p>
    <w:p w14:paraId="7B9AAB9F" w14:textId="77777777" w:rsidR="003272A5" w:rsidRPr="00A666CA" w:rsidRDefault="003272A5" w:rsidP="003272A5">
      <w:pPr>
        <w:rPr>
          <w:rFonts w:ascii="Cambria" w:hAnsi="Cambria"/>
          <w:b w:val="0"/>
          <w:sz w:val="22"/>
          <w:lang w:val="en-US"/>
        </w:rPr>
      </w:pPr>
      <w:r w:rsidRPr="00A666CA">
        <w:rPr>
          <w:rFonts w:ascii="Cambria" w:hAnsi="Cambria"/>
          <w:b w:val="0"/>
          <w:sz w:val="22"/>
        </w:rPr>
        <w:t xml:space="preserve">Anderson G., </w:t>
      </w:r>
      <w:r w:rsidRPr="00A666CA">
        <w:rPr>
          <w:rFonts w:ascii="Cambria" w:hAnsi="Cambria"/>
          <w:b w:val="0"/>
          <w:i/>
          <w:sz w:val="22"/>
        </w:rPr>
        <w:t xml:space="preserve">The Second Sophistic. </w:t>
      </w:r>
      <w:r w:rsidRPr="00A666CA">
        <w:rPr>
          <w:rFonts w:ascii="Cambria" w:hAnsi="Cambria"/>
          <w:b w:val="0"/>
          <w:i/>
          <w:sz w:val="22"/>
          <w:lang w:val="en-US"/>
        </w:rPr>
        <w:t>A cultural phenomenon in the Roman Empire</w:t>
      </w:r>
      <w:r w:rsidRPr="00A666CA">
        <w:rPr>
          <w:rFonts w:ascii="Cambria" w:hAnsi="Cambria"/>
          <w:b w:val="0"/>
          <w:sz w:val="22"/>
          <w:lang w:val="en-US"/>
        </w:rPr>
        <w:t>, Londres et New York, Routledge 1993</w:t>
      </w:r>
    </w:p>
    <w:p w14:paraId="77B6E6D3"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Bowie E., « Greeks and their past in the second sophistic », </w:t>
      </w:r>
      <w:r w:rsidRPr="00A666CA">
        <w:rPr>
          <w:rFonts w:ascii="Cambria" w:hAnsi="Cambria"/>
          <w:b w:val="0"/>
          <w:i/>
          <w:iCs/>
          <w:sz w:val="22"/>
          <w:lang w:val="en-GB"/>
        </w:rPr>
        <w:t>Past and Present</w:t>
      </w:r>
      <w:r w:rsidRPr="00A666CA">
        <w:rPr>
          <w:rFonts w:ascii="Cambria" w:hAnsi="Cambria"/>
          <w:b w:val="0"/>
          <w:sz w:val="22"/>
          <w:lang w:val="en-GB"/>
        </w:rPr>
        <w:t xml:space="preserve"> 46, p. 3-41</w:t>
      </w:r>
    </w:p>
    <w:p w14:paraId="3EC2146E" w14:textId="77777777" w:rsidR="003272A5" w:rsidRPr="00A666CA" w:rsidRDefault="003272A5" w:rsidP="003272A5">
      <w:pPr>
        <w:rPr>
          <w:rFonts w:ascii="Cambria" w:hAnsi="Cambria"/>
          <w:b w:val="0"/>
          <w:sz w:val="22"/>
        </w:rPr>
      </w:pPr>
      <w:r w:rsidRPr="00A666CA">
        <w:rPr>
          <w:rFonts w:ascii="Cambria" w:hAnsi="Cambria"/>
          <w:b w:val="0"/>
          <w:sz w:val="22"/>
        </w:rPr>
        <w:t xml:space="preserve">Grimal P., </w:t>
      </w:r>
      <w:r w:rsidRPr="00A666CA">
        <w:rPr>
          <w:rFonts w:ascii="Cambria" w:hAnsi="Cambria"/>
          <w:b w:val="0"/>
          <w:i/>
          <w:sz w:val="22"/>
        </w:rPr>
        <w:t>Le siècle des Scipions. Rome et l’hellénisme au temps des guerres puniques</w:t>
      </w:r>
      <w:r w:rsidRPr="00A666CA">
        <w:rPr>
          <w:rFonts w:ascii="Cambria" w:hAnsi="Cambria"/>
          <w:b w:val="0"/>
          <w:sz w:val="22"/>
        </w:rPr>
        <w:t>, éd. revue et augmentée, Paris, Aubier, 1975</w:t>
      </w:r>
    </w:p>
    <w:p w14:paraId="36968977" w14:textId="77777777" w:rsidR="003272A5" w:rsidRPr="00A666CA" w:rsidRDefault="003272A5" w:rsidP="003272A5">
      <w:pPr>
        <w:rPr>
          <w:rFonts w:ascii="Cambria" w:hAnsi="Cambria"/>
          <w:b w:val="0"/>
          <w:sz w:val="22"/>
        </w:rPr>
      </w:pPr>
      <w:r w:rsidRPr="00A666CA">
        <w:rPr>
          <w:rFonts w:ascii="Cambria" w:hAnsi="Cambria"/>
          <w:b w:val="0"/>
          <w:sz w:val="22"/>
        </w:rPr>
        <w:t xml:space="preserve">Marrou H.I., </w:t>
      </w:r>
      <w:r w:rsidRPr="00A666CA">
        <w:rPr>
          <w:rFonts w:ascii="Cambria" w:hAnsi="Cambria"/>
          <w:b w:val="0"/>
          <w:i/>
          <w:sz w:val="22"/>
        </w:rPr>
        <w:t>Histoire de l’éducation dans l’Antiquité. 1. Le monde grec ; 2. Le monde romain</w:t>
      </w:r>
      <w:r w:rsidRPr="00A666CA">
        <w:rPr>
          <w:rFonts w:ascii="Cambria" w:hAnsi="Cambria"/>
          <w:b w:val="0"/>
          <w:sz w:val="22"/>
        </w:rPr>
        <w:t>, Seuil 1948</w:t>
      </w:r>
    </w:p>
    <w:p w14:paraId="48247B56" w14:textId="77777777" w:rsidR="003272A5" w:rsidRPr="00A666CA" w:rsidRDefault="003272A5" w:rsidP="003272A5">
      <w:pPr>
        <w:rPr>
          <w:rFonts w:ascii="Cambria" w:hAnsi="Cambria"/>
          <w:b w:val="0"/>
          <w:sz w:val="22"/>
        </w:rPr>
      </w:pPr>
      <w:r w:rsidRPr="00A666CA">
        <w:rPr>
          <w:rFonts w:ascii="Cambria" w:hAnsi="Cambria"/>
          <w:b w:val="0"/>
          <w:sz w:val="22"/>
        </w:rPr>
        <w:t xml:space="preserve">Saïd S. éd., </w:t>
      </w:r>
      <w:r w:rsidRPr="00A666CA">
        <w:rPr>
          <w:rFonts w:ascii="Cambria" w:hAnsi="Cambria"/>
          <w:b w:val="0"/>
          <w:i/>
          <w:sz w:val="22"/>
        </w:rPr>
        <w:t>Hellenismos. Quelques jalons pour une histoire de l’identité grecque</w:t>
      </w:r>
      <w:r w:rsidRPr="00A666CA">
        <w:rPr>
          <w:rFonts w:ascii="Cambria" w:hAnsi="Cambria"/>
          <w:b w:val="0"/>
          <w:sz w:val="22"/>
        </w:rPr>
        <w:t>, Leiden, J. Brill, 1991</w:t>
      </w:r>
    </w:p>
    <w:p w14:paraId="3A9C7BAB" w14:textId="77777777" w:rsidR="003272A5" w:rsidRPr="00A666CA" w:rsidRDefault="003272A5" w:rsidP="003272A5">
      <w:pPr>
        <w:ind w:right="-284"/>
        <w:rPr>
          <w:rFonts w:ascii="Cambria" w:hAnsi="Cambria"/>
          <w:b w:val="0"/>
          <w:sz w:val="22"/>
          <w:lang w:val="en-US"/>
        </w:rPr>
      </w:pPr>
      <w:r w:rsidRPr="00A666CA">
        <w:rPr>
          <w:rFonts w:ascii="Cambria" w:hAnsi="Cambria"/>
          <w:b w:val="0"/>
          <w:sz w:val="22"/>
        </w:rPr>
        <w:t xml:space="preserve">Sirinelli J., </w:t>
      </w:r>
      <w:r w:rsidRPr="00A666CA">
        <w:rPr>
          <w:rFonts w:ascii="Cambria" w:hAnsi="Cambria"/>
          <w:b w:val="0"/>
          <w:i/>
          <w:sz w:val="22"/>
        </w:rPr>
        <w:t xml:space="preserve">Les enfants d’Alexandre. La littérature et la pensée grecque de 334 av. </w:t>
      </w:r>
      <w:r w:rsidRPr="00A666CA">
        <w:rPr>
          <w:rFonts w:ascii="Cambria" w:hAnsi="Cambria"/>
          <w:b w:val="0"/>
          <w:i/>
          <w:sz w:val="22"/>
          <w:lang w:val="en-US"/>
        </w:rPr>
        <w:t>J.-C. à 519 après J.-C.</w:t>
      </w:r>
      <w:r w:rsidRPr="00A666CA">
        <w:rPr>
          <w:rFonts w:ascii="Cambria" w:hAnsi="Cambria"/>
          <w:b w:val="0"/>
          <w:sz w:val="22"/>
          <w:lang w:val="en-US"/>
        </w:rPr>
        <w:t>, Paris, Fayard 1993</w:t>
      </w:r>
    </w:p>
    <w:p w14:paraId="20411867"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Swain S., </w:t>
      </w:r>
      <w:r w:rsidRPr="00A666CA">
        <w:rPr>
          <w:rFonts w:ascii="Cambria" w:hAnsi="Cambria"/>
          <w:b w:val="0"/>
          <w:i/>
          <w:sz w:val="22"/>
          <w:lang w:val="en-GB"/>
        </w:rPr>
        <w:t>Hellenism and Empire. Language, classicism and power in the Greek world, AD 50-250</w:t>
      </w:r>
      <w:r w:rsidRPr="00A666CA">
        <w:rPr>
          <w:rFonts w:ascii="Cambria" w:hAnsi="Cambria"/>
          <w:b w:val="0"/>
          <w:sz w:val="22"/>
          <w:lang w:val="en-GB"/>
        </w:rPr>
        <w:t>, Oxford, Clarendon Press, 1996</w:t>
      </w:r>
    </w:p>
    <w:p w14:paraId="7C51F39E" w14:textId="77777777" w:rsidR="003272A5" w:rsidRPr="00A666CA" w:rsidRDefault="003272A5" w:rsidP="003272A5">
      <w:pPr>
        <w:rPr>
          <w:rFonts w:ascii="Cambria" w:hAnsi="Cambria"/>
          <w:b w:val="0"/>
          <w:sz w:val="22"/>
        </w:rPr>
      </w:pPr>
      <w:r w:rsidRPr="00A666CA">
        <w:rPr>
          <w:rFonts w:ascii="Cambria" w:hAnsi="Cambria"/>
          <w:b w:val="0"/>
          <w:sz w:val="22"/>
        </w:rPr>
        <w:t>Veyne P., L’Empire gréco-romain, Paris, 2005</w:t>
      </w:r>
    </w:p>
    <w:p w14:paraId="6EFBEA2F" w14:textId="77777777" w:rsidR="003272A5" w:rsidRPr="00A666CA" w:rsidRDefault="003272A5" w:rsidP="003272A5">
      <w:pPr>
        <w:rPr>
          <w:rFonts w:ascii="Cambria" w:hAnsi="Cambria"/>
          <w:b w:val="0"/>
          <w:sz w:val="22"/>
          <w:lang w:val="en-GB"/>
        </w:rPr>
      </w:pPr>
      <w:r w:rsidRPr="00A666CA">
        <w:rPr>
          <w:rFonts w:ascii="Cambria" w:hAnsi="Cambria"/>
          <w:b w:val="0"/>
          <w:sz w:val="22"/>
          <w:lang w:val="en-GB"/>
        </w:rPr>
        <w:t xml:space="preserve">Whitmarsh T., </w:t>
      </w:r>
      <w:r w:rsidRPr="00A666CA">
        <w:rPr>
          <w:rFonts w:ascii="Cambria" w:hAnsi="Cambria"/>
          <w:b w:val="0"/>
          <w:i/>
          <w:sz w:val="22"/>
          <w:lang w:val="en-GB"/>
        </w:rPr>
        <w:t>The second sophistic</w:t>
      </w:r>
      <w:r w:rsidRPr="00A666CA">
        <w:rPr>
          <w:rFonts w:ascii="Cambria" w:hAnsi="Cambria"/>
          <w:b w:val="0"/>
          <w:sz w:val="22"/>
          <w:lang w:val="en-GB"/>
        </w:rPr>
        <w:t>, Oxford 2005</w:t>
      </w:r>
    </w:p>
    <w:p w14:paraId="5153FB98"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Woolf G., « Becoming Roman, staying Greek : culture, identity and the civilizing process in the Roman East », </w:t>
      </w:r>
      <w:r w:rsidRPr="00A666CA">
        <w:rPr>
          <w:rFonts w:ascii="Cambria" w:hAnsi="Cambria"/>
          <w:b w:val="0"/>
          <w:i/>
          <w:iCs/>
          <w:sz w:val="22"/>
          <w:lang w:val="en-GB"/>
        </w:rPr>
        <w:t>Proceedings of Cambridge Philological Society</w:t>
      </w:r>
      <w:r w:rsidRPr="00A666CA">
        <w:rPr>
          <w:rFonts w:ascii="Cambria" w:hAnsi="Cambria"/>
          <w:b w:val="0"/>
          <w:sz w:val="22"/>
          <w:lang w:val="en-GB"/>
        </w:rPr>
        <w:t xml:space="preserve"> 40, 1994, p. 116-143</w:t>
      </w:r>
    </w:p>
    <w:p w14:paraId="7E35FE4D" w14:textId="77777777" w:rsidR="00FB1A1A" w:rsidRPr="00FD2CB8" w:rsidRDefault="00FB1A1A" w:rsidP="00FB1A1A">
      <w:pPr>
        <w:spacing w:after="0" w:line="276" w:lineRule="auto"/>
        <w:contextualSpacing/>
        <w:rPr>
          <w:rFonts w:ascii="Cambria" w:hAnsi="Cambria" w:cs="Times New Roman"/>
          <w:b w:val="0"/>
          <w:bCs/>
          <w:sz w:val="22"/>
          <w:lang w:val="en-GB" w:eastAsia="fr-FR"/>
        </w:rPr>
      </w:pPr>
    </w:p>
    <w:p w14:paraId="7869CFDF" w14:textId="77777777" w:rsidR="00FB1A1A" w:rsidRPr="00FD2CB8" w:rsidRDefault="00FB1A1A" w:rsidP="00FB1A1A">
      <w:pPr>
        <w:spacing w:after="0" w:line="276" w:lineRule="auto"/>
        <w:contextualSpacing/>
        <w:rPr>
          <w:rFonts w:ascii="Cambria" w:hAnsi="Cambria" w:cs="Times New Roman"/>
          <w:b w:val="0"/>
          <w:bCs/>
          <w:sz w:val="22"/>
          <w:lang w:val="en-US" w:eastAsia="fr-FR"/>
        </w:rPr>
      </w:pPr>
    </w:p>
    <w:p w14:paraId="141B64B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1FAFFA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14D97C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BF05E2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CAE825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C36F3E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6A73F6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65527B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6A4B42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6C5E6F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B34735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711C7F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35A123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1A92CC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A7D631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58CADD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F3B2D9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554C38F"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B14FAE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43846D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91D224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626FFAF"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FC08EB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C6BBC8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E7BFD6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53BA9C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3C1B92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D621F4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CA8D2F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26BDF2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83C2DE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8467C5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F750E3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0A6DAE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8B5AA1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12B99A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A5DFA2A"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E8BC90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D2616F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047319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5BF65C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6D311E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C9584B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DFE162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332673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7F0F8D1"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C34051"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2F28F2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9DCA27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2CDABA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E07137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AF5867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B64AB3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8D6E31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B9D691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0115D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1F4203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7C971A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05138B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19030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85B435B" w14:textId="77777777" w:rsidR="002455A3" w:rsidRPr="00FD2CB8" w:rsidRDefault="002455A3" w:rsidP="00FB1A1A">
      <w:pPr>
        <w:spacing w:after="0" w:line="276" w:lineRule="auto"/>
        <w:contextualSpacing/>
        <w:rPr>
          <w:rFonts w:ascii="Cambria" w:hAnsi="Cambria" w:cs="Times New Roman"/>
          <w:b w:val="0"/>
          <w:sz w:val="22"/>
          <w:lang w:val="en-US" w:eastAsia="fr-FR"/>
        </w:rPr>
      </w:pPr>
    </w:p>
    <w:p w14:paraId="517D70A6" w14:textId="77777777" w:rsidR="00F85E0B" w:rsidRPr="00FD2CB8" w:rsidRDefault="00F85E0B" w:rsidP="008D2516">
      <w:pPr>
        <w:spacing w:after="0" w:line="360" w:lineRule="auto"/>
        <w:contextualSpacing/>
        <w:rPr>
          <w:rFonts w:ascii="Cambria" w:hAnsi="Cambria" w:cs="Times New Roman"/>
          <w:sz w:val="22"/>
          <w:lang w:val="en-US" w:eastAsia="fr-FR"/>
        </w:rPr>
      </w:pPr>
    </w:p>
    <w:p w14:paraId="3A4D6B12" w14:textId="12AD9F87" w:rsidR="007F60F4" w:rsidRDefault="00501C8F" w:rsidP="006C10E3">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J3011719/J3011</w:t>
      </w:r>
      <w:r w:rsidR="006D5919" w:rsidRPr="00FD2CB8">
        <w:rPr>
          <w:rFonts w:ascii="Cambria" w:hAnsi="Cambria"/>
          <w:i/>
          <w:color w:val="C00000"/>
          <w:sz w:val="28"/>
          <w:lang w:eastAsia="en-US"/>
        </w:rPr>
        <w:t>6</w:t>
      </w:r>
      <w:r w:rsidRPr="00FD2CB8">
        <w:rPr>
          <w:rFonts w:ascii="Cambria" w:hAnsi="Cambria"/>
          <w:i/>
          <w:color w:val="C00000"/>
          <w:sz w:val="28"/>
          <w:lang w:eastAsia="en-US"/>
        </w:rPr>
        <w:t>19</w:t>
      </w:r>
      <w:r w:rsidR="0024793D" w:rsidRPr="00FD2CB8">
        <w:rPr>
          <w:rFonts w:ascii="Cambria" w:hAnsi="Cambria"/>
          <w:i/>
          <w:color w:val="C00000"/>
          <w:sz w:val="28"/>
          <w:lang w:eastAsia="en-US"/>
        </w:rPr>
        <w:t xml:space="preserve"> : Bible et Orient</w:t>
      </w:r>
    </w:p>
    <w:p w14:paraId="45BABC7F" w14:textId="77777777" w:rsidR="00A41069" w:rsidRPr="00FD2CB8" w:rsidRDefault="00A41069" w:rsidP="006C10E3">
      <w:pPr>
        <w:spacing w:after="0" w:line="360" w:lineRule="auto"/>
        <w:contextualSpacing/>
        <w:jc w:val="center"/>
        <w:rPr>
          <w:rFonts w:ascii="Cambria" w:hAnsi="Cambria"/>
          <w:i/>
          <w:color w:val="C00000"/>
          <w:sz w:val="28"/>
          <w:lang w:eastAsia="en-US"/>
        </w:rPr>
      </w:pPr>
    </w:p>
    <w:p w14:paraId="7DCF602D" w14:textId="3FC990B8" w:rsidR="00E54EB4" w:rsidRPr="00FD2CB8" w:rsidRDefault="00E54EB4" w:rsidP="00E54EB4">
      <w:pPr>
        <w:spacing w:after="0" w:line="360" w:lineRule="auto"/>
        <w:contextualSpacing/>
        <w:jc w:val="center"/>
        <w:rPr>
          <w:rFonts w:ascii="Cambria" w:hAnsi="Cambria" w:cs="Times New Roman"/>
          <w:sz w:val="22"/>
        </w:rPr>
      </w:pPr>
      <w:r w:rsidRPr="00FD2CB8">
        <w:rPr>
          <w:rFonts w:ascii="Cambria" w:hAnsi="Cambria" w:cs="Times New Roman"/>
          <w:sz w:val="22"/>
        </w:rPr>
        <w:t>Julien Monerie</w:t>
      </w:r>
      <w:r w:rsidR="00BF63AD" w:rsidRPr="00FD2CB8">
        <w:rPr>
          <w:rFonts w:ascii="Cambria" w:hAnsi="Cambria" w:cs="Times New Roman"/>
          <w:sz w:val="22"/>
        </w:rPr>
        <w:t xml:space="preserve"> (CM/TD)</w:t>
      </w:r>
      <w:r w:rsidR="00B90815" w:rsidRPr="00FD2CB8">
        <w:rPr>
          <w:rFonts w:ascii="Cambria" w:hAnsi="Cambria" w:cs="Times New Roman"/>
          <w:sz w:val="22"/>
        </w:rPr>
        <w:t>, Clara Gibert (TD)</w:t>
      </w:r>
    </w:p>
    <w:p w14:paraId="17A9A944" w14:textId="77777777" w:rsidR="00E54EB4" w:rsidRPr="00FD2CB8" w:rsidRDefault="00E54EB4" w:rsidP="00E54EB4">
      <w:pPr>
        <w:spacing w:after="0" w:line="360" w:lineRule="auto"/>
        <w:contextualSpacing/>
        <w:rPr>
          <w:rFonts w:ascii="Cambria" w:hAnsi="Cambria" w:cs="Times New Roman"/>
          <w:sz w:val="22"/>
        </w:rPr>
      </w:pPr>
    </w:p>
    <w:p w14:paraId="62CF668D" w14:textId="77777777" w:rsidR="00E54EB4" w:rsidRPr="00A41069" w:rsidRDefault="00E54EB4" w:rsidP="00E54EB4">
      <w:pPr>
        <w:spacing w:after="0" w:line="276" w:lineRule="auto"/>
        <w:contextualSpacing/>
        <w:rPr>
          <w:rFonts w:ascii="Cambria" w:hAnsi="Cambria" w:cs="Times New Roman"/>
          <w:color w:val="C00000"/>
          <w:sz w:val="22"/>
        </w:rPr>
      </w:pPr>
      <w:r w:rsidRPr="00A41069">
        <w:rPr>
          <w:rFonts w:ascii="Cambria" w:hAnsi="Cambria" w:cs="Times New Roman"/>
          <w:color w:val="C00000"/>
          <w:sz w:val="22"/>
          <w:u w:val="single"/>
        </w:rPr>
        <w:t>Sujet du cours semestre 1</w:t>
      </w:r>
      <w:r w:rsidRPr="00A41069">
        <w:rPr>
          <w:rFonts w:ascii="Cambria" w:hAnsi="Cambria" w:cs="Times New Roman"/>
          <w:color w:val="C00000"/>
          <w:sz w:val="22"/>
        </w:rPr>
        <w:t> : Histoire du Levant biblique, du Nouvel Empire égyptien à la fin de l’empire assyrien (</w:t>
      </w:r>
      <w:r w:rsidRPr="00A41069">
        <w:rPr>
          <w:rFonts w:ascii="Cambria" w:hAnsi="Cambria" w:cs="Times New Roman"/>
          <w:smallCaps/>
          <w:color w:val="C00000"/>
          <w:sz w:val="22"/>
        </w:rPr>
        <w:t>xv</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 </w:t>
      </w:r>
      <w:r w:rsidRPr="00A41069">
        <w:rPr>
          <w:rFonts w:ascii="Cambria" w:hAnsi="Cambria" w:cs="Times New Roman"/>
          <w:smallCaps/>
          <w:color w:val="C00000"/>
          <w:sz w:val="22"/>
        </w:rPr>
        <w:t>vii</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w:t>
      </w:r>
      <w:r w:rsidRPr="00A41069">
        <w:rPr>
          <w:rFonts w:ascii="Cambria" w:hAnsi="Cambria" w:cs="Times New Roman"/>
          <w:iCs/>
          <w:color w:val="C00000"/>
          <w:sz w:val="22"/>
        </w:rPr>
        <w:t>av. J.</w:t>
      </w:r>
      <w:r w:rsidRPr="00A41069">
        <w:rPr>
          <w:rFonts w:ascii="Cambria" w:hAnsi="Cambria" w:cs="Times New Roman"/>
          <w:iCs/>
          <w:color w:val="C00000"/>
          <w:sz w:val="22"/>
        </w:rPr>
        <w:noBreakHyphen/>
        <w:t>C.</w:t>
      </w:r>
      <w:r w:rsidRPr="00A41069">
        <w:rPr>
          <w:rFonts w:ascii="Cambria" w:hAnsi="Cambria" w:cs="Times New Roman"/>
          <w:color w:val="C00000"/>
          <w:sz w:val="22"/>
        </w:rPr>
        <w:t>)</w:t>
      </w:r>
    </w:p>
    <w:p w14:paraId="499E08B0" w14:textId="77777777" w:rsidR="00E54EB4" w:rsidRPr="00A41069" w:rsidRDefault="00E54EB4" w:rsidP="00E54EB4">
      <w:pPr>
        <w:spacing w:after="0" w:line="276" w:lineRule="auto"/>
        <w:contextualSpacing/>
        <w:jc w:val="center"/>
        <w:rPr>
          <w:rFonts w:ascii="Cambria" w:hAnsi="Cambria" w:cs="Times New Roman"/>
          <w:color w:val="C00000"/>
          <w:sz w:val="22"/>
        </w:rPr>
      </w:pPr>
    </w:p>
    <w:p w14:paraId="4EC01D21" w14:textId="77777777"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Si, pour l’historien du Proche-Orient ancien, la </w:t>
      </w:r>
      <w:r w:rsidRPr="00FD2CB8">
        <w:rPr>
          <w:rFonts w:ascii="Cambria" w:hAnsi="Cambria" w:cs="Times New Roman"/>
          <w:b w:val="0"/>
          <w:i/>
          <w:iCs/>
          <w:sz w:val="22"/>
        </w:rPr>
        <w:t>Bible hébraïque</w:t>
      </w:r>
      <w:r w:rsidRPr="00FD2CB8">
        <w:rPr>
          <w:rFonts w:ascii="Cambria" w:hAnsi="Cambria" w:cs="Times New Roman"/>
          <w:b w:val="0"/>
          <w:sz w:val="22"/>
        </w:rPr>
        <w:t xml:space="preserve"> est une source comme une autre, force est de constater qu’il s’agit d’une source particulièrement complexe. En effet, les historiens en sont souvent réduits à proposer des hypothèses concernant l’élaboration des livres qui la constituent et l’identité de ses auteurs. Heureusement, le Proche-Orient antique a laissé un nombre inestimable de textes, dont la majorité provient de Mésopotamie et du Levant. Inscriptions historiques, commémoratives ou textes de la pratique viennent ainsi compléter ou contredire le point de vue biblique. Ce sont donc les royaumes d’Israël et de Juda, qui sont à l’origine de cet « Israël biblique », que nous allons étudier dans leur milieu historique (le Levant et, plus largement, le Proche-Orient), à une période où le peuple de YHWH ne s’était pas encore singularisé (ce processus ayant seulement lieu au </w:t>
      </w:r>
      <w:r w:rsidRPr="00FD2CB8">
        <w:rPr>
          <w:rFonts w:ascii="Cambria" w:hAnsi="Cambria" w:cs="Times New Roman"/>
          <w:b w:val="0"/>
          <w:smallCaps/>
          <w:sz w:val="22"/>
        </w:rPr>
        <w:t>vi</w:t>
      </w:r>
      <w:r w:rsidRPr="00FD2CB8">
        <w:rPr>
          <w:rFonts w:ascii="Cambria" w:hAnsi="Cambria" w:cs="Times New Roman"/>
          <w:b w:val="0"/>
          <w:sz w:val="22"/>
          <w:vertAlign w:val="superscript"/>
        </w:rPr>
        <w:t>e</w:t>
      </w:r>
      <w:r w:rsidRPr="00FD2CB8">
        <w:rPr>
          <w:rFonts w:ascii="Cambria" w:hAnsi="Cambria" w:cs="Times New Roman"/>
          <w:b w:val="0"/>
          <w:sz w:val="22"/>
        </w:rPr>
        <w:t xml:space="preserve"> s. av. J.-C.). Nous nous pencherons sur la question de l’ancienneté des traditions bibliques, sur l’organisation tribale des Bene-Israël, sur l’environnement et la formation des royaumes de Juda et d’Israël et leur intégration forcée dans l’empire assyrien entre les </w:t>
      </w:r>
      <w:r w:rsidRPr="00FD2CB8">
        <w:rPr>
          <w:rFonts w:ascii="Cambria" w:hAnsi="Cambria" w:cs="Times New Roman"/>
          <w:b w:val="0"/>
          <w:smallCaps/>
          <w:sz w:val="22"/>
        </w:rPr>
        <w:t>ix</w:t>
      </w:r>
      <w:r w:rsidRPr="00FD2CB8">
        <w:rPr>
          <w:rFonts w:ascii="Cambria" w:hAnsi="Cambria" w:cs="Times New Roman"/>
          <w:b w:val="0"/>
          <w:sz w:val="22"/>
          <w:vertAlign w:val="superscript"/>
        </w:rPr>
        <w:t>e</w:t>
      </w:r>
      <w:r w:rsidRPr="00FD2CB8">
        <w:rPr>
          <w:rFonts w:ascii="Cambria" w:hAnsi="Cambria" w:cs="Times New Roman"/>
          <w:b w:val="0"/>
          <w:sz w:val="22"/>
        </w:rPr>
        <w:t xml:space="preserve"> et </w:t>
      </w:r>
      <w:r w:rsidRPr="00FD2CB8">
        <w:rPr>
          <w:rFonts w:ascii="Cambria" w:hAnsi="Cambria" w:cs="Times New Roman"/>
          <w:b w:val="0"/>
          <w:smallCaps/>
          <w:sz w:val="22"/>
        </w:rPr>
        <w:t>vii</w:t>
      </w:r>
      <w:r w:rsidRPr="00FD2CB8">
        <w:rPr>
          <w:rFonts w:ascii="Cambria" w:hAnsi="Cambria" w:cs="Times New Roman"/>
          <w:b w:val="0"/>
          <w:sz w:val="22"/>
          <w:vertAlign w:val="superscript"/>
        </w:rPr>
        <w:t>e</w:t>
      </w:r>
      <w:r w:rsidRPr="00FD2CB8">
        <w:rPr>
          <w:rFonts w:ascii="Cambria" w:hAnsi="Cambria" w:cs="Times New Roman"/>
          <w:b w:val="0"/>
          <w:sz w:val="22"/>
        </w:rPr>
        <w:t xml:space="preserve"> siècles av. J.-C., empire dont l’influence fut déterminante pour la formation du corpus biblique.</w:t>
      </w:r>
    </w:p>
    <w:p w14:paraId="3B2A68FC" w14:textId="77777777" w:rsidR="00E54EB4" w:rsidRPr="00FD2CB8" w:rsidRDefault="00E54EB4" w:rsidP="00E54EB4">
      <w:pPr>
        <w:spacing w:after="0" w:line="276" w:lineRule="auto"/>
        <w:contextualSpacing/>
        <w:jc w:val="both"/>
        <w:rPr>
          <w:rFonts w:ascii="Cambria" w:hAnsi="Cambria" w:cs="Times New Roman"/>
          <w:b w:val="0"/>
          <w:sz w:val="22"/>
        </w:rPr>
      </w:pPr>
    </w:p>
    <w:p w14:paraId="650A57E6" w14:textId="77777777" w:rsidR="00E54EB4" w:rsidRPr="00FD2CB8" w:rsidRDefault="00E54EB4" w:rsidP="00E54EB4">
      <w:pPr>
        <w:spacing w:after="0" w:line="276" w:lineRule="auto"/>
        <w:contextualSpacing/>
        <w:jc w:val="both"/>
        <w:rPr>
          <w:rFonts w:ascii="Cambria" w:hAnsi="Cambria" w:cs="Times New Roman"/>
          <w:sz w:val="22"/>
        </w:rPr>
      </w:pPr>
      <w:r w:rsidRPr="00FD2CB8">
        <w:rPr>
          <w:rFonts w:ascii="Cambria" w:hAnsi="Cambria" w:cs="Times New Roman"/>
          <w:sz w:val="22"/>
        </w:rPr>
        <w:t>Bibliographie pour l’été</w:t>
      </w:r>
    </w:p>
    <w:p w14:paraId="58DAEFEA" w14:textId="77777777"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FINKELSTEIN I. et SILBERMAN N. A., </w:t>
      </w:r>
      <w:r w:rsidRPr="00FD2CB8">
        <w:rPr>
          <w:rFonts w:ascii="Cambria" w:hAnsi="Cambria" w:cs="Times New Roman"/>
          <w:b w:val="0"/>
          <w:i/>
          <w:sz w:val="22"/>
        </w:rPr>
        <w:t>La Bible dévoilée</w:t>
      </w:r>
      <w:r w:rsidRPr="00FD2CB8">
        <w:rPr>
          <w:rFonts w:ascii="Cambria" w:hAnsi="Cambria" w:cs="Times New Roman"/>
          <w:b w:val="0"/>
          <w:sz w:val="22"/>
        </w:rPr>
        <w:t>, Paris, 2002.</w:t>
      </w:r>
    </w:p>
    <w:p w14:paraId="6232CA48" w14:textId="77777777" w:rsidR="00E54EB4" w:rsidRPr="00FD2CB8" w:rsidRDefault="00E54EB4" w:rsidP="00E54EB4">
      <w:pPr>
        <w:spacing w:after="0" w:line="276" w:lineRule="auto"/>
        <w:contextualSpacing/>
        <w:rPr>
          <w:rFonts w:ascii="Cambria" w:hAnsi="Cambria" w:cs="Times New Roman"/>
          <w:color w:val="0070C0"/>
          <w:sz w:val="22"/>
        </w:rPr>
      </w:pPr>
    </w:p>
    <w:p w14:paraId="51872A09" w14:textId="77777777" w:rsidR="00E54EB4" w:rsidRPr="00FD2CB8" w:rsidRDefault="00E54EB4" w:rsidP="00E54EB4">
      <w:pPr>
        <w:spacing w:after="0" w:line="276" w:lineRule="auto"/>
        <w:contextualSpacing/>
        <w:rPr>
          <w:rFonts w:ascii="Cambria" w:hAnsi="Cambria" w:cs="Times New Roman"/>
          <w:color w:val="0070C0"/>
          <w:sz w:val="22"/>
        </w:rPr>
      </w:pPr>
    </w:p>
    <w:p w14:paraId="49647B1A" w14:textId="77777777" w:rsidR="00E54EB4" w:rsidRPr="00FD2CB8" w:rsidRDefault="00E54EB4" w:rsidP="00E54EB4">
      <w:pPr>
        <w:spacing w:after="0" w:line="276" w:lineRule="auto"/>
        <w:contextualSpacing/>
        <w:rPr>
          <w:rFonts w:ascii="Cambria" w:hAnsi="Cambria" w:cs="Times New Roman"/>
          <w:color w:val="0070C0"/>
          <w:sz w:val="22"/>
        </w:rPr>
      </w:pPr>
    </w:p>
    <w:p w14:paraId="1CA872FD" w14:textId="77777777" w:rsidR="00E54EB4" w:rsidRPr="00FD2CB8" w:rsidRDefault="00E54EB4" w:rsidP="00644D1B">
      <w:pPr>
        <w:spacing w:after="0" w:line="276" w:lineRule="auto"/>
        <w:contextualSpacing/>
        <w:rPr>
          <w:rFonts w:ascii="Cambria" w:hAnsi="Cambria" w:cs="Times New Roman"/>
          <w:color w:val="454545" w:themeColor="text2"/>
          <w:sz w:val="22"/>
          <w:u w:val="single"/>
        </w:rPr>
      </w:pPr>
    </w:p>
    <w:p w14:paraId="277E6538" w14:textId="77777777" w:rsidR="00D35F7D" w:rsidRPr="00FD2CB8" w:rsidRDefault="00D35F7D" w:rsidP="00E54EB4">
      <w:pPr>
        <w:spacing w:after="0" w:line="276" w:lineRule="auto"/>
        <w:contextualSpacing/>
        <w:rPr>
          <w:rFonts w:ascii="Cambria" w:hAnsi="Cambria" w:cs="Times New Roman"/>
          <w:color w:val="004E9A"/>
          <w:sz w:val="22"/>
          <w:u w:val="single"/>
        </w:rPr>
      </w:pPr>
    </w:p>
    <w:p w14:paraId="0550091D" w14:textId="370720B4" w:rsidR="00E54EB4" w:rsidRPr="00A41069" w:rsidRDefault="00E54EB4" w:rsidP="00E54EB4">
      <w:pPr>
        <w:spacing w:after="0" w:line="276" w:lineRule="auto"/>
        <w:contextualSpacing/>
        <w:rPr>
          <w:rFonts w:ascii="Cambria" w:hAnsi="Cambria" w:cs="Times New Roman"/>
          <w:color w:val="C00000"/>
          <w:sz w:val="22"/>
        </w:rPr>
      </w:pPr>
      <w:r w:rsidRPr="00A41069">
        <w:rPr>
          <w:rFonts w:ascii="Cambria" w:hAnsi="Cambria" w:cs="Times New Roman"/>
          <w:color w:val="C00000"/>
          <w:sz w:val="22"/>
          <w:u w:val="single"/>
        </w:rPr>
        <w:t>Sujet du cours semestre 2</w:t>
      </w:r>
      <w:r w:rsidRPr="00A41069">
        <w:rPr>
          <w:rFonts w:ascii="Cambria" w:hAnsi="Cambria" w:cs="Times New Roman"/>
          <w:color w:val="C00000"/>
          <w:sz w:val="22"/>
        </w:rPr>
        <w:t xml:space="preserve"> : Histoire du Levant biblique, de la fin de l’empire assyrien à l’instauration du judaïsme (fin du </w:t>
      </w:r>
      <w:r w:rsidRPr="00A41069">
        <w:rPr>
          <w:rFonts w:ascii="Cambria" w:hAnsi="Cambria" w:cs="Times New Roman"/>
          <w:smallCaps/>
          <w:color w:val="C00000"/>
          <w:sz w:val="22"/>
        </w:rPr>
        <w:t>vii</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 début du </w:t>
      </w:r>
      <w:r w:rsidRPr="00A41069">
        <w:rPr>
          <w:rFonts w:ascii="Cambria" w:hAnsi="Cambria" w:cs="Times New Roman"/>
          <w:smallCaps/>
          <w:color w:val="C00000"/>
          <w:sz w:val="22"/>
        </w:rPr>
        <w:t>iv</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w:t>
      </w:r>
      <w:r w:rsidRPr="00A41069">
        <w:rPr>
          <w:rFonts w:ascii="Cambria" w:hAnsi="Cambria" w:cs="Times New Roman"/>
          <w:iCs/>
          <w:color w:val="C00000"/>
          <w:sz w:val="22"/>
        </w:rPr>
        <w:t>av. J.-C.</w:t>
      </w:r>
      <w:r w:rsidRPr="00A41069">
        <w:rPr>
          <w:rFonts w:ascii="Cambria" w:hAnsi="Cambria" w:cs="Times New Roman"/>
          <w:color w:val="C00000"/>
          <w:sz w:val="22"/>
        </w:rPr>
        <w:t>)</w:t>
      </w:r>
    </w:p>
    <w:p w14:paraId="6A7A4FA9" w14:textId="77777777" w:rsidR="00E54EB4" w:rsidRPr="00FD2CB8" w:rsidRDefault="00E54EB4" w:rsidP="00E54EB4">
      <w:pPr>
        <w:spacing w:after="0" w:line="276" w:lineRule="auto"/>
        <w:contextualSpacing/>
        <w:jc w:val="center"/>
        <w:rPr>
          <w:rFonts w:ascii="Cambria" w:hAnsi="Cambria" w:cs="Times New Roman"/>
          <w:color w:val="A20000"/>
          <w:sz w:val="22"/>
        </w:rPr>
      </w:pPr>
    </w:p>
    <w:p w14:paraId="714EF416" w14:textId="3A0F7D93"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On affirme souvent que « la Bible est née à Babylone ». Cette théorie contient sûrement une grande part de vérité, au moins du point de vue historique. En 586, Jérusalem, la capitale du royaume de Juda, fut détruite, le royaume fut transformé en province, et le roi Nabuchodonosor II déporta une partie de la population locale. Le choc que constitua cet événement fut profond, même si, à l’échelle de l’empire babylonien, ce ne fut qu’un épisode militaire parmi d’autres. Mais l’Exil en Babylonie donna lieu à l’une des réactions culturelles les plus intrigantes qui soit. Cette communauté judéenne, installée en Babylonie et pleinement intégrée à l’appareil administratif impérial, opéra un intense travail de réflexion sur ses traditions historiques et religieuses. Bien que les Judéens aient été avant tout l’une des populations du Levant dont ils étaient issus, ils finirent par se représenter eux-mêmes comme un peuple d’étrangers et d’errants mus par la promesse divine d’une terre. Tout en intégrant manifestement des apports de leur environnement babylonien, ils se forgèrent une nouvelle identité dont les « racines mythiques » furent projetées sur un passé reconstitué, fondateur, et qui remontait aux origines du Monde. Pour autant, le « produit final », – la </w:t>
      </w:r>
      <w:r w:rsidRPr="00FD2CB8">
        <w:rPr>
          <w:rFonts w:ascii="Cambria" w:hAnsi="Cambria" w:cs="Times New Roman"/>
          <w:b w:val="0"/>
          <w:i/>
          <w:iCs/>
          <w:sz w:val="22"/>
        </w:rPr>
        <w:t>Torah</w:t>
      </w:r>
      <w:r w:rsidRPr="00FD2CB8">
        <w:rPr>
          <w:rFonts w:ascii="Cambria" w:hAnsi="Cambria" w:cs="Times New Roman"/>
          <w:b w:val="0"/>
          <w:sz w:val="22"/>
        </w:rPr>
        <w:t xml:space="preserve"> et le judaïsme –, ne fut constitué qu’aux siècles suivants, au terme d’une longue évolution entamée à l’époque de l’empire perse, et dont le retour d’Exil sous Cyrus II et la construction du Second Temple, achevé sous Darius I</w:t>
      </w:r>
      <w:r w:rsidRPr="00FD2CB8">
        <w:rPr>
          <w:rFonts w:ascii="Cambria" w:hAnsi="Cambria" w:cs="Times New Roman"/>
          <w:b w:val="0"/>
          <w:sz w:val="22"/>
          <w:vertAlign w:val="superscript"/>
        </w:rPr>
        <w:t>er</w:t>
      </w:r>
      <w:r w:rsidRPr="00FD2CB8">
        <w:rPr>
          <w:rFonts w:ascii="Cambria" w:hAnsi="Cambria" w:cs="Times New Roman"/>
          <w:b w:val="0"/>
          <w:sz w:val="22"/>
        </w:rPr>
        <w:t xml:space="preserve">, furent les premières étapes. L’un des enjeux de ce semestre sera de démêler l’écheveau des influences, des rythmes et des agents de l’élaboration et de la diffusion d’une nouvelle religion israélite, </w:t>
      </w:r>
      <w:r w:rsidR="00EA168E" w:rsidRPr="00FD2CB8">
        <w:rPr>
          <w:rFonts w:ascii="Cambria" w:hAnsi="Cambria" w:cs="Times New Roman"/>
          <w:b w:val="0"/>
          <w:sz w:val="22"/>
        </w:rPr>
        <w:t>monothéiste et anti-idolâtre</w:t>
      </w:r>
      <w:r w:rsidRPr="00FD2CB8">
        <w:rPr>
          <w:rFonts w:ascii="Cambria" w:hAnsi="Cambria" w:cs="Times New Roman"/>
          <w:b w:val="0"/>
          <w:sz w:val="22"/>
        </w:rPr>
        <w:t xml:space="preserve">, au sein de la diaspora judéenne, qui déboucha au début du </w:t>
      </w:r>
      <w:r w:rsidRPr="00FD2CB8">
        <w:rPr>
          <w:rFonts w:ascii="Cambria" w:hAnsi="Cambria" w:cs="Times New Roman"/>
          <w:b w:val="0"/>
          <w:smallCaps/>
          <w:sz w:val="22"/>
        </w:rPr>
        <w:t>iv</w:t>
      </w:r>
      <w:r w:rsidRPr="00FD2CB8">
        <w:rPr>
          <w:rFonts w:ascii="Cambria" w:hAnsi="Cambria" w:cs="Times New Roman"/>
          <w:b w:val="0"/>
          <w:sz w:val="22"/>
          <w:vertAlign w:val="superscript"/>
        </w:rPr>
        <w:t>e</w:t>
      </w:r>
      <w:r w:rsidRPr="00FD2CB8">
        <w:rPr>
          <w:rFonts w:ascii="Cambria" w:hAnsi="Cambria" w:cs="Times New Roman"/>
          <w:b w:val="0"/>
          <w:sz w:val="22"/>
        </w:rPr>
        <w:t xml:space="preserve"> s. sur l’instauration du judaïsme tel qu’on le connaît aujourd’hui.</w:t>
      </w:r>
    </w:p>
    <w:p w14:paraId="7CF6ED32" w14:textId="77777777" w:rsidR="00E54EB4" w:rsidRPr="00FD2CB8" w:rsidRDefault="00E54EB4" w:rsidP="00E54EB4">
      <w:pPr>
        <w:spacing w:after="0" w:line="276" w:lineRule="auto"/>
        <w:contextualSpacing/>
        <w:jc w:val="both"/>
        <w:rPr>
          <w:rFonts w:ascii="Cambria" w:hAnsi="Cambria" w:cs="Times New Roman"/>
          <w:sz w:val="22"/>
        </w:rPr>
      </w:pPr>
    </w:p>
    <w:p w14:paraId="27F68516" w14:textId="77777777" w:rsidR="00E54EB4" w:rsidRPr="00FD2CB8" w:rsidRDefault="00E54EB4" w:rsidP="00E54EB4">
      <w:pPr>
        <w:spacing w:after="0" w:line="276" w:lineRule="auto"/>
        <w:contextualSpacing/>
        <w:jc w:val="both"/>
        <w:rPr>
          <w:rFonts w:ascii="Cambria" w:hAnsi="Cambria" w:cs="Times New Roman"/>
          <w:sz w:val="22"/>
        </w:rPr>
      </w:pPr>
      <w:r w:rsidRPr="00FD2CB8">
        <w:rPr>
          <w:rFonts w:ascii="Cambria" w:hAnsi="Cambria" w:cs="Times New Roman"/>
          <w:sz w:val="22"/>
        </w:rPr>
        <w:t>Bibliographie d’inter semestre</w:t>
      </w:r>
    </w:p>
    <w:p w14:paraId="18B5BE0E" w14:textId="5F7E009C" w:rsidR="00C215C0" w:rsidRPr="00FD2CB8" w:rsidRDefault="00E54EB4" w:rsidP="00326E99">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RÖMER Th., </w:t>
      </w:r>
      <w:r w:rsidRPr="00FD2CB8">
        <w:rPr>
          <w:rFonts w:ascii="Cambria" w:hAnsi="Cambria" w:cs="Times New Roman"/>
          <w:b w:val="0"/>
          <w:i/>
          <w:sz w:val="22"/>
        </w:rPr>
        <w:t>L’invention de Dieu</w:t>
      </w:r>
      <w:r w:rsidRPr="00FD2CB8">
        <w:rPr>
          <w:rFonts w:ascii="Cambria" w:hAnsi="Cambria" w:cs="Times New Roman"/>
          <w:b w:val="0"/>
          <w:sz w:val="22"/>
        </w:rPr>
        <w:t>, Paris, 2014.</w:t>
      </w:r>
    </w:p>
    <w:p w14:paraId="722BAC4C" w14:textId="77777777" w:rsidR="002455A3" w:rsidRPr="00FD2CB8" w:rsidRDefault="002455A3" w:rsidP="007875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en-US"/>
        </w:rPr>
      </w:pPr>
    </w:p>
    <w:p w14:paraId="34E903D9" w14:textId="2E0ADF77" w:rsidR="007215BE" w:rsidRPr="00FD2CB8" w:rsidRDefault="00EA35CB" w:rsidP="007215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en-US"/>
        </w:rPr>
      </w:pPr>
      <w:r w:rsidRPr="00FD2CB8">
        <w:rPr>
          <w:rFonts w:ascii="Cambria" w:hAnsi="Cambria"/>
          <w:i/>
          <w:color w:val="C00000"/>
          <w:sz w:val="28"/>
          <w:szCs w:val="28"/>
          <w:lang w:eastAsia="en-US"/>
        </w:rPr>
        <w:t>J3011319/J3011419</w:t>
      </w:r>
      <w:r w:rsidR="007215BE" w:rsidRPr="00FD2CB8">
        <w:rPr>
          <w:rFonts w:ascii="Cambria" w:hAnsi="Cambria"/>
          <w:i/>
          <w:color w:val="C00000"/>
          <w:sz w:val="28"/>
          <w:szCs w:val="28"/>
          <w:lang w:eastAsia="en-US"/>
        </w:rPr>
        <w:t xml:space="preserve"> : Espaces grecs</w:t>
      </w:r>
    </w:p>
    <w:p w14:paraId="6A4579A4" w14:textId="77777777" w:rsidR="007215BE" w:rsidRPr="00FD2CB8" w:rsidRDefault="007215BE" w:rsidP="007215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rPr>
      </w:pPr>
    </w:p>
    <w:p w14:paraId="3A27CFE9" w14:textId="77777777" w:rsidR="00DC0E56" w:rsidRPr="00FD2CB8" w:rsidRDefault="00DC0E56" w:rsidP="00DC0E56">
      <w:pPr>
        <w:pStyle w:val="Enseignants"/>
        <w:spacing w:after="60"/>
        <w:jc w:val="center"/>
        <w:rPr>
          <w:rFonts w:ascii="Cambria" w:eastAsia="MS ??" w:hAnsi="Cambria" w:cs="Times New Roman"/>
          <w:b/>
          <w:kern w:val="2"/>
          <w:lang w:eastAsia="ja-JP"/>
        </w:rPr>
      </w:pPr>
      <w:r w:rsidRPr="00FD2CB8">
        <w:rPr>
          <w:rFonts w:ascii="Cambria" w:eastAsia="MS ??" w:hAnsi="Cambria" w:cs="Times New Roman"/>
          <w:b/>
          <w:kern w:val="2"/>
          <w:lang w:eastAsia="ja-JP"/>
        </w:rPr>
        <w:t xml:space="preserve">Aurélie Carrara, Vincenco Capozzoli, </w:t>
      </w:r>
      <w:r w:rsidRPr="00FD2CB8">
        <w:rPr>
          <w:rFonts w:ascii="Cambria" w:hAnsi="Cambria" w:cs="Times New Roman"/>
          <w:b/>
        </w:rPr>
        <w:t>Héloïse Frébault</w:t>
      </w:r>
    </w:p>
    <w:p w14:paraId="245FE68D" w14:textId="77777777" w:rsidR="00DC0E56" w:rsidRPr="00FD2CB8" w:rsidRDefault="00DC0E56" w:rsidP="00DC0E56">
      <w:pPr>
        <w:pStyle w:val="Enseignants"/>
        <w:spacing w:after="60"/>
        <w:jc w:val="both"/>
        <w:rPr>
          <w:rFonts w:ascii="Cambria" w:eastAsia="MS ??" w:hAnsi="Cambria"/>
          <w:b/>
          <w:color w:val="42527C" w:themeColor="accent5" w:themeShade="BF"/>
          <w:kern w:val="2"/>
          <w:sz w:val="24"/>
          <w:szCs w:val="24"/>
          <w:lang w:eastAsia="ja-JP"/>
        </w:rPr>
      </w:pPr>
    </w:p>
    <w:p w14:paraId="763EEDF1" w14:textId="50AFBF9B" w:rsidR="00DC0E56" w:rsidRPr="00D60B02" w:rsidRDefault="00DC0E56" w:rsidP="00DC0E56">
      <w:pPr>
        <w:pStyle w:val="Enseignants"/>
        <w:spacing w:after="60"/>
        <w:rPr>
          <w:rFonts w:ascii="Cambria" w:eastAsia="MS ??" w:hAnsi="Cambria"/>
          <w:b/>
          <w:color w:val="C00000"/>
          <w:kern w:val="2"/>
          <w:lang w:eastAsia="ja-JP"/>
        </w:rPr>
      </w:pPr>
      <w:r w:rsidRPr="00D60B02">
        <w:rPr>
          <w:rFonts w:ascii="Cambria" w:eastAsia="MS ??" w:hAnsi="Cambria"/>
          <w:b/>
          <w:color w:val="C00000"/>
          <w:kern w:val="2"/>
          <w:u w:val="single"/>
          <w:lang w:eastAsia="ja-JP"/>
        </w:rPr>
        <w:t>Sujet du cours semestre 1</w:t>
      </w:r>
      <w:r w:rsidRPr="00D60B02">
        <w:rPr>
          <w:rFonts w:ascii="Cambria" w:eastAsia="MS ??" w:hAnsi="Cambria"/>
          <w:b/>
          <w:color w:val="C00000"/>
          <w:kern w:val="2"/>
          <w:lang w:eastAsia="ja-JP"/>
        </w:rPr>
        <w:t> : Grèce continentale et égéenne</w:t>
      </w:r>
    </w:p>
    <w:p w14:paraId="62C21DB0" w14:textId="5D16D9D6" w:rsidR="00DC0E56" w:rsidRPr="00D60B02" w:rsidRDefault="00DC0E56" w:rsidP="00DC0E56">
      <w:pPr>
        <w:pStyle w:val="Enseignants"/>
        <w:spacing w:after="60"/>
        <w:jc w:val="both"/>
        <w:rPr>
          <w:rFonts w:ascii="Cambria" w:hAnsi="Cambria" w:cs="Times New Roman"/>
          <w:b/>
        </w:rPr>
      </w:pPr>
      <w:r w:rsidRPr="00D60B02">
        <w:rPr>
          <w:rFonts w:ascii="Cambria" w:hAnsi="Cambria" w:cs="Times New Roman"/>
          <w:b/>
        </w:rPr>
        <w:t>CM et TD : Héloïse FREBAULT (UFR 03)</w:t>
      </w:r>
    </w:p>
    <w:p w14:paraId="4BF9D1B0" w14:textId="77777777" w:rsidR="00DC0E56" w:rsidRPr="00FD2CB8" w:rsidRDefault="00DC0E56" w:rsidP="00DC0E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50" w:before="120"/>
        <w:jc w:val="both"/>
        <w:rPr>
          <w:rFonts w:ascii="Cambria" w:hAnsi="Cambria" w:cs="Times New Roman"/>
          <w:b w:val="0"/>
          <w:sz w:val="22"/>
        </w:rPr>
      </w:pPr>
      <w:r w:rsidRPr="00FD2CB8">
        <w:rPr>
          <w:rFonts w:ascii="Cambria" w:hAnsi="Cambria" w:cs="Times New Roman"/>
          <w:b w:val="0"/>
          <w:sz w:val="22"/>
        </w:rPr>
        <w:t>Il s’agit d’aborder les problèmes concernant l’aspect et le développement des cités grecques dans une région, l’Asie Mineure, où elles ont connu un essor particulier dès les origines, d’étudier sur quelques exemples (Carie, Lycie) les contacts avec le monde « barbare », et de suivre l’évolution de ce foyer de l’hellénisme à l’époque hellénistique et romaine : les cités grecques, qui présentent un modèle original d’organisation et qui dominent l’Égée jusqu’au IV</w:t>
      </w:r>
      <w:r w:rsidRPr="00FD2CB8">
        <w:rPr>
          <w:rFonts w:ascii="Cambria" w:hAnsi="Cambria" w:cs="Times New Roman"/>
          <w:b w:val="0"/>
          <w:sz w:val="22"/>
          <w:vertAlign w:val="superscript"/>
        </w:rPr>
        <w:t>e</w:t>
      </w:r>
      <w:r w:rsidRPr="00FD2CB8">
        <w:rPr>
          <w:rFonts w:ascii="Cambria" w:hAnsi="Cambria" w:cs="Times New Roman"/>
          <w:b w:val="0"/>
          <w:sz w:val="22"/>
        </w:rPr>
        <w:t xml:space="preserve"> s. av. J-C., ne disparaissent pas après que leur rôle politique a été affaibli, mais restent des foyers bien vivants jusqu’à la fin de l’Empire romain, tout en subissant des transformations profondes. Ce sont ces transformations que l’on saisira à travers la civilisation matérielle.</w:t>
      </w:r>
    </w:p>
    <w:p w14:paraId="49EE243B" w14:textId="77777777" w:rsidR="00DC0E56" w:rsidRPr="00FD2CB8" w:rsidRDefault="00DC0E56" w:rsidP="00DC0E56">
      <w:pPr>
        <w:rPr>
          <w:rFonts w:ascii="Cambria" w:hAnsi="Cambria" w:cs="Times New Roman"/>
          <w:color w:val="0070C0"/>
          <w:sz w:val="22"/>
        </w:rPr>
      </w:pPr>
      <w:r w:rsidRPr="00FD2CB8">
        <w:rPr>
          <w:rFonts w:ascii="Cambria" w:eastAsia="Times New Roman" w:hAnsi="Cambria" w:cs="Times New Roman"/>
          <w:b w:val="0"/>
          <w:kern w:val="0"/>
          <w:sz w:val="22"/>
          <w:lang w:eastAsia="fr-FR"/>
        </w:rPr>
        <w:t xml:space="preserve">Ce cours est accessible aux étudiantes et étudiants de l’UFR 03 et 09. </w:t>
      </w:r>
    </w:p>
    <w:p w14:paraId="4FF0B65C" w14:textId="77777777" w:rsidR="00DC0E56" w:rsidRPr="00D60B02" w:rsidRDefault="00DC0E56" w:rsidP="00DC0E56">
      <w:pPr>
        <w:jc w:val="both"/>
        <w:rPr>
          <w:rFonts w:ascii="Cambria" w:hAnsi="Cambria" w:cs="Times New Roman"/>
          <w:bCs/>
          <w:color w:val="B71E42" w:themeColor="accent1"/>
          <w:sz w:val="22"/>
        </w:rPr>
      </w:pPr>
      <w:r w:rsidRPr="00D60B02">
        <w:rPr>
          <w:rFonts w:ascii="Cambria" w:hAnsi="Cambria" w:cs="Times New Roman"/>
          <w:bCs/>
          <w:color w:val="C00000"/>
          <w:sz w:val="22"/>
          <w:u w:val="single"/>
        </w:rPr>
        <w:t>Sujet du cours semestre 2</w:t>
      </w:r>
      <w:r w:rsidRPr="00D60B02">
        <w:rPr>
          <w:rFonts w:ascii="Cambria" w:hAnsi="Cambria" w:cs="Times New Roman"/>
          <w:bCs/>
          <w:color w:val="C00000"/>
          <w:sz w:val="22"/>
        </w:rPr>
        <w:t xml:space="preserve"> : </w:t>
      </w:r>
      <w:bookmarkStart w:id="9" w:name="_Hlk233886817"/>
      <w:r w:rsidRPr="00D60B02">
        <w:rPr>
          <w:rFonts w:ascii="Cambria" w:hAnsi="Cambria" w:cs="Times New Roman"/>
          <w:bCs/>
          <w:color w:val="C00000"/>
          <w:sz w:val="22"/>
        </w:rPr>
        <w:t>Travailler dans la Méditerranée grecque (VIII</w:t>
      </w:r>
      <w:r w:rsidRPr="00D60B02">
        <w:rPr>
          <w:rFonts w:ascii="Cambria" w:hAnsi="Cambria" w:cs="Times New Roman"/>
          <w:bCs/>
          <w:color w:val="C00000"/>
          <w:sz w:val="22"/>
          <w:vertAlign w:val="superscript"/>
        </w:rPr>
        <w:t>e</w:t>
      </w:r>
      <w:r w:rsidRPr="00D60B02">
        <w:rPr>
          <w:rFonts w:ascii="Cambria" w:hAnsi="Cambria" w:cs="Times New Roman"/>
          <w:bCs/>
          <w:color w:val="C00000"/>
          <w:sz w:val="22"/>
        </w:rPr>
        <w:t>-I</w:t>
      </w:r>
      <w:r w:rsidRPr="00D60B02">
        <w:rPr>
          <w:rFonts w:ascii="Cambria" w:hAnsi="Cambria" w:cs="Times New Roman"/>
          <w:bCs/>
          <w:color w:val="C00000"/>
          <w:sz w:val="22"/>
          <w:vertAlign w:val="superscript"/>
        </w:rPr>
        <w:t>er</w:t>
      </w:r>
      <w:r w:rsidRPr="00D60B02">
        <w:rPr>
          <w:rFonts w:ascii="Cambria" w:hAnsi="Cambria" w:cs="Times New Roman"/>
          <w:bCs/>
          <w:color w:val="C00000"/>
          <w:sz w:val="22"/>
        </w:rPr>
        <w:t> s. av. n. è) : regards croisés entre l’histoire et l’archéologie</w:t>
      </w:r>
      <w:r w:rsidRPr="00D60B02">
        <w:rPr>
          <w:rFonts w:ascii="Cambria" w:hAnsi="Cambria" w:cs="Times New Roman"/>
          <w:bCs/>
          <w:color w:val="B71E42" w:themeColor="accent1"/>
          <w:sz w:val="22"/>
        </w:rPr>
        <w:t>.  </w:t>
      </w:r>
    </w:p>
    <w:bookmarkEnd w:id="9"/>
    <w:p w14:paraId="6090D9D6" w14:textId="77777777" w:rsidR="00DC0E56" w:rsidRPr="00D60B02" w:rsidRDefault="00DC0E56" w:rsidP="00DC0E56">
      <w:pPr>
        <w:spacing w:after="60" w:line="240" w:lineRule="auto"/>
        <w:jc w:val="both"/>
        <w:rPr>
          <w:rFonts w:ascii="Cambria" w:eastAsia="Times New Roman" w:hAnsi="Cambria" w:cs="Times New Roman"/>
          <w:b w:val="0"/>
          <w:kern w:val="0"/>
          <w:sz w:val="22"/>
          <w:lang w:eastAsia="fr-FR"/>
        </w:rPr>
      </w:pPr>
      <w:r w:rsidRPr="00D60B02">
        <w:rPr>
          <w:rFonts w:ascii="Cambria" w:eastAsia="Times New Roman" w:hAnsi="Cambria" w:cs="Times New Roman"/>
          <w:kern w:val="0"/>
          <w:sz w:val="22"/>
          <w:lang w:eastAsia="fr-FR"/>
        </w:rPr>
        <w:t xml:space="preserve">CM : Vincenzo CAPOZZOLI (UFR 03) et </w:t>
      </w:r>
      <w:bookmarkStart w:id="10" w:name="_Hlk106098832"/>
      <w:r w:rsidRPr="00D60B02">
        <w:rPr>
          <w:rFonts w:ascii="Cambria" w:eastAsia="Times New Roman" w:hAnsi="Cambria" w:cs="Times New Roman"/>
          <w:kern w:val="0"/>
          <w:sz w:val="22"/>
          <w:lang w:eastAsia="fr-FR"/>
        </w:rPr>
        <w:t xml:space="preserve">Aurélie CARRARA </w:t>
      </w:r>
      <w:bookmarkEnd w:id="10"/>
      <w:r w:rsidRPr="00D60B02">
        <w:rPr>
          <w:rFonts w:ascii="Cambria" w:eastAsia="Times New Roman" w:hAnsi="Cambria" w:cs="Times New Roman"/>
          <w:kern w:val="0"/>
          <w:sz w:val="22"/>
          <w:lang w:eastAsia="fr-FR"/>
        </w:rPr>
        <w:t xml:space="preserve">(UFR 09) </w:t>
      </w:r>
    </w:p>
    <w:p w14:paraId="3001CE98" w14:textId="77777777" w:rsidR="00DC0E56" w:rsidRPr="00D60B02" w:rsidRDefault="00DC0E56" w:rsidP="00DC0E56">
      <w:pPr>
        <w:spacing w:after="60" w:line="240" w:lineRule="auto"/>
        <w:jc w:val="both"/>
        <w:rPr>
          <w:rFonts w:ascii="Cambria" w:eastAsia="Times New Roman" w:hAnsi="Cambria" w:cs="Times New Roman"/>
          <w:b w:val="0"/>
          <w:kern w:val="0"/>
          <w:sz w:val="22"/>
          <w:lang w:eastAsia="fr-FR"/>
        </w:rPr>
      </w:pPr>
      <w:r w:rsidRPr="00D60B02">
        <w:rPr>
          <w:rFonts w:ascii="Cambria" w:eastAsia="Times New Roman" w:hAnsi="Cambria" w:cs="Times New Roman"/>
          <w:kern w:val="0"/>
          <w:sz w:val="22"/>
          <w:lang w:eastAsia="fr-FR"/>
        </w:rPr>
        <w:t>TD : Héloïse FREBAULT (UFR 03) et Aurélie CARRARA (UFR 09)</w:t>
      </w:r>
    </w:p>
    <w:p w14:paraId="505F6D9E"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Le cours abordera le fait de travailler dans la Méditerranée grecque entre l’époque archaïque et la période hellénistique dans une perspective fondamentalement transdisciplinaire en confrontant les sources textuelles (littéraires, épigraphiques, papyrologiques) et matérielles (archéologie). Il s’agira de s’interroger sur les traces laissées par les activités humaines et sur les méthodes permettant d’appréhender les différentes formes de travail à partir des vestiges archéologiques et historiques. </w:t>
      </w:r>
    </w:p>
    <w:p w14:paraId="62695D80"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Il se concentre sur trois domaines d’activités : le travail agricole, artisanal et commercial, couvrant ainsi la totalité de la chaîne économique, </w:t>
      </w:r>
    </w:p>
    <w:p w14:paraId="77FD1C6A" w14:textId="5538C771" w:rsidR="00DC0E56" w:rsidRPr="00FD2CB8" w:rsidRDefault="00DC0E56" w:rsidP="00DC0E56">
      <w:pPr>
        <w:spacing w:after="0" w:line="240" w:lineRule="auto"/>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depuis la production jusqu’à la distribution des biens ou denrées, en passant par ses cadres et ses acteurs et actrices. L’étude sur la longue période permettra d’envisager les évolutions de structures et les formes de spécialisation.  </w:t>
      </w:r>
    </w:p>
    <w:p w14:paraId="4437FC6D"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Il s’intéressera aux espaces de production, aux techniques, aux savoir-faire, aux chantiers et aux grands aménagements afin de comprendre les gestes du travail, les formes d’organisation de la production, la transmission des compétences ainsi que les modalités de mobilisation de la main-d’œuvre, des petites communautés jusqu’aux </w:t>
      </w:r>
      <w:r w:rsidRPr="00FD2CB8">
        <w:rPr>
          <w:rFonts w:ascii="Cambria" w:eastAsia="Times New Roman" w:hAnsi="Cambria" w:cs="Times New Roman"/>
          <w:b w:val="0"/>
          <w:i/>
          <w:iCs/>
          <w:kern w:val="0"/>
          <w:sz w:val="22"/>
          <w:lang w:eastAsia="fr-FR"/>
        </w:rPr>
        <w:t>poleis</w:t>
      </w:r>
      <w:r w:rsidRPr="00FD2CB8">
        <w:rPr>
          <w:rFonts w:ascii="Cambria" w:eastAsia="Times New Roman" w:hAnsi="Cambria" w:cs="Times New Roman"/>
          <w:b w:val="0"/>
          <w:kern w:val="0"/>
          <w:sz w:val="22"/>
          <w:lang w:eastAsia="fr-FR"/>
        </w:rPr>
        <w:t xml:space="preserve"> et aux royaumes. Une attention particulière sera accordée aux relations entre production artisanale, construction monumentale et transformation des territoires. Le cours examinera également les représentations du travail dans la culture matérielle grecque et les sources textuelles, afin de confronter les pratiques reconstituées par l’archéologie aux images que les Grecs ont produites de leurs propres activités. </w:t>
      </w:r>
    </w:p>
    <w:p w14:paraId="32DBCD6C"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L’objectif sera ainsi de montrer comment l’archéologie et l’histoire permettent d’accéder non seulement aux objets et aux monuments, mais aussi aux femmes et aux hommes qui les ont conçus, fabriqués, transportés, bâtis et mis en œuvre. </w:t>
      </w:r>
    </w:p>
    <w:p w14:paraId="35646A52" w14:textId="77777777" w:rsidR="00DC0E56" w:rsidRPr="00FD2CB8" w:rsidRDefault="00DC0E56" w:rsidP="00DC0E56">
      <w:pPr>
        <w:spacing w:after="0" w:line="240" w:lineRule="auto"/>
        <w:ind w:firstLine="567"/>
        <w:jc w:val="both"/>
        <w:rPr>
          <w:rFonts w:ascii="Cambria" w:eastAsia="Times New Roman" w:hAnsi="Cambria" w:cs="Times New Roman"/>
          <w:bCs/>
          <w:kern w:val="0"/>
          <w:sz w:val="22"/>
          <w:lang w:eastAsia="fr-FR"/>
        </w:rPr>
      </w:pPr>
    </w:p>
    <w:p w14:paraId="684FAD91"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bookmarkStart w:id="11" w:name="OLE_LINK2"/>
      <w:r w:rsidRPr="00FD2CB8">
        <w:rPr>
          <w:rFonts w:ascii="Cambria" w:eastAsia="Times New Roman" w:hAnsi="Cambria" w:cs="Times New Roman"/>
          <w:bCs/>
          <w:kern w:val="0"/>
          <w:sz w:val="22"/>
          <w:lang w:eastAsia="fr-FR"/>
        </w:rPr>
        <w:t>À noter,</w:t>
      </w:r>
      <w:r w:rsidRPr="00FD2CB8">
        <w:rPr>
          <w:rFonts w:ascii="Cambria" w:eastAsia="Times New Roman" w:hAnsi="Cambria" w:cs="Times New Roman"/>
          <w:b w:val="0"/>
          <w:kern w:val="0"/>
          <w:sz w:val="22"/>
          <w:lang w:eastAsia="fr-FR"/>
        </w:rPr>
        <w:t xml:space="preserve"> l’examen terminal (2h30) se compose de deux exercices : un </w:t>
      </w:r>
      <w:bookmarkStart w:id="12" w:name="OLE_LINK3"/>
      <w:r w:rsidRPr="00FD2CB8">
        <w:rPr>
          <w:rFonts w:ascii="Cambria" w:eastAsia="Times New Roman" w:hAnsi="Cambria" w:cs="Times New Roman"/>
          <w:b w:val="0"/>
          <w:kern w:val="0"/>
          <w:sz w:val="22"/>
          <w:lang w:eastAsia="fr-FR"/>
        </w:rPr>
        <w:t xml:space="preserve">QCM exigeant et un commentaire de documents archéologiques et textuels dont la méthodologie a été adaptée au caractère transdisciplinaire de l’épreuve et au temps imparti. </w:t>
      </w:r>
    </w:p>
    <w:p w14:paraId="53C29573" w14:textId="77777777" w:rsidR="00DC0E56" w:rsidRPr="00FD2CB8" w:rsidRDefault="00DC0E56" w:rsidP="00DC0E56">
      <w:pPr>
        <w:ind w:firstLine="567"/>
        <w:jc w:val="both"/>
        <w:rPr>
          <w:rFonts w:ascii="Cambria" w:hAnsi="Cambria"/>
          <w:b w:val="0"/>
          <w:bCs/>
          <w:sz w:val="22"/>
          <w:lang w:eastAsia="fr-FR"/>
        </w:rPr>
      </w:pPr>
      <w:r w:rsidRPr="00FD2CB8">
        <w:rPr>
          <w:rFonts w:ascii="Cambria" w:hAnsi="Cambria"/>
          <w:b w:val="0"/>
          <w:bCs/>
          <w:sz w:val="22"/>
        </w:rPr>
        <w:t>Ce cours est accessible aux étudiantes et étudiants de l’UFR 03 et 09, des places sont réservées pour chacune des UFR. Les inscriptions pédagogiques (IP) de l’UFR03 ayant lieu à l’automne, il est recommandé aux étudiants de double-licence histoire-histoire de l’art et archéologie de le prendre au titre de l’UFR 03. Si vous n’avez pas eu de place, vous serez mis·e sur liste d’attente jusqu’aux IP de l’UFR 09 qui ont lieu juste avant le S2, en janvier. Le cours étant très demandé chaque année, mieux vaut toutefois prévoir une autre option dans la construction de vos emplois du temps.</w:t>
      </w:r>
    </w:p>
    <w:bookmarkEnd w:id="11"/>
    <w:bookmarkEnd w:id="12"/>
    <w:p w14:paraId="6AEC4DB1" w14:textId="77777777" w:rsidR="00DC0E56" w:rsidRPr="00FD2CB8" w:rsidRDefault="00DC0E56" w:rsidP="00DC0E56">
      <w:pPr>
        <w:spacing w:after="0" w:line="240" w:lineRule="auto"/>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w:t>
      </w:r>
    </w:p>
    <w:p w14:paraId="4523E199" w14:textId="77777777" w:rsidR="00DC0E56" w:rsidRPr="00FD2CB8" w:rsidRDefault="00DC0E56" w:rsidP="00DC0E56">
      <w:pPr>
        <w:spacing w:after="0" w:line="240" w:lineRule="auto"/>
        <w:jc w:val="both"/>
        <w:rPr>
          <w:rFonts w:ascii="Cambria" w:eastAsia="Calibri" w:hAnsi="Cambria" w:cs="Times New Roman"/>
          <w:i/>
          <w:iCs/>
          <w:color w:val="000000"/>
          <w:sz w:val="22"/>
          <w:lang w:eastAsia="en-US"/>
        </w:rPr>
      </w:pPr>
      <w:r w:rsidRPr="00FD2CB8">
        <w:rPr>
          <w:rFonts w:ascii="Cambria" w:eastAsia="Calibri" w:hAnsi="Cambria" w:cs="Times New Roman"/>
          <w:i/>
          <w:iCs/>
          <w:color w:val="000000"/>
          <w:sz w:val="22"/>
          <w:lang w:eastAsia="en-US"/>
        </w:rPr>
        <w:t xml:space="preserve">Bibliographie indicative pour commencer : </w:t>
      </w:r>
    </w:p>
    <w:p w14:paraId="0C92754A" w14:textId="77777777" w:rsidR="00DC0E56" w:rsidRPr="00FD2CB8" w:rsidRDefault="00DC0E56" w:rsidP="00DC0E56">
      <w:pPr>
        <w:autoSpaceDE w:val="0"/>
        <w:autoSpaceDN w:val="0"/>
        <w:adjustRightInd w:val="0"/>
        <w:spacing w:after="0" w:line="240" w:lineRule="auto"/>
        <w:ind w:firstLine="567"/>
        <w:jc w:val="both"/>
        <w:rPr>
          <w:rFonts w:ascii="Cambria" w:hAnsi="Cambria" w:cs="Times New Roman"/>
          <w:b w:val="0"/>
          <w:sz w:val="22"/>
        </w:rPr>
      </w:pPr>
      <w:r w:rsidRPr="00FD2CB8">
        <w:rPr>
          <w:rFonts w:ascii="Cambria" w:eastAsia="Calibri" w:hAnsi="Cambria" w:cs="Times New Roman"/>
          <w:b w:val="0"/>
          <w:bCs/>
          <w:i/>
          <w:iCs/>
          <w:color w:val="000000"/>
          <w:sz w:val="22"/>
          <w:lang w:eastAsia="en-US"/>
        </w:rPr>
        <w:t>Si vous avez besoin d’une remise à niveau chronologique (</w:t>
      </w:r>
      <w:r w:rsidRPr="00FD2CB8">
        <w:rPr>
          <w:rFonts w:ascii="Cambria" w:eastAsia="Calibri" w:hAnsi="Cambria" w:cs="Times New Roman"/>
          <w:b w:val="0"/>
          <w:bCs/>
          <w:i/>
          <w:iCs/>
          <w:color w:val="000000"/>
          <w:sz w:val="22"/>
          <w:u w:val="single"/>
          <w:lang w:eastAsia="en-US"/>
        </w:rPr>
        <w:t>à faire absolument AVANT le début du cours</w:t>
      </w:r>
      <w:r w:rsidRPr="00FD2CB8">
        <w:rPr>
          <w:rFonts w:ascii="Cambria" w:eastAsia="Calibri" w:hAnsi="Cambria" w:cs="Times New Roman"/>
          <w:b w:val="0"/>
          <w:bCs/>
          <w:i/>
          <w:iCs/>
          <w:color w:val="000000"/>
          <w:sz w:val="22"/>
          <w:lang w:eastAsia="en-US"/>
        </w:rPr>
        <w:t>), voyez un manuel très général comme </w:t>
      </w:r>
      <w:r w:rsidRPr="00FD2CB8">
        <w:rPr>
          <w:rFonts w:ascii="Cambria" w:hAnsi="Cambria" w:cs="Times New Roman"/>
          <w:b w:val="0"/>
          <w:sz w:val="22"/>
        </w:rPr>
        <w:t xml:space="preserve">RICHER, N. (éd.), </w:t>
      </w:r>
      <w:r w:rsidRPr="00FD2CB8">
        <w:rPr>
          <w:rFonts w:ascii="Cambria" w:hAnsi="Cambria" w:cs="Times New Roman"/>
          <w:b w:val="0"/>
          <w:i/>
          <w:iCs/>
          <w:sz w:val="22"/>
        </w:rPr>
        <w:t>Le monde grec. Cours, méthodes, documents</w:t>
      </w:r>
      <w:r w:rsidRPr="00FD2CB8">
        <w:rPr>
          <w:rFonts w:ascii="Cambria" w:hAnsi="Cambria" w:cs="Times New Roman"/>
          <w:b w:val="0"/>
          <w:sz w:val="22"/>
        </w:rPr>
        <w:t>, coll. Grand Amphi Histoire, Paris, Bréal, 2023, 5</w:t>
      </w:r>
      <w:r w:rsidRPr="00FD2CB8">
        <w:rPr>
          <w:rFonts w:ascii="Cambria" w:hAnsi="Cambria" w:cs="Times New Roman"/>
          <w:b w:val="0"/>
          <w:sz w:val="22"/>
          <w:vertAlign w:val="superscript"/>
        </w:rPr>
        <w:t>e</w:t>
      </w:r>
      <w:r w:rsidRPr="00FD2CB8">
        <w:rPr>
          <w:rFonts w:ascii="Cambria" w:hAnsi="Cambria" w:cs="Times New Roman"/>
          <w:b w:val="0"/>
          <w:sz w:val="22"/>
        </w:rPr>
        <w:t xml:space="preserve"> éd. </w:t>
      </w:r>
    </w:p>
    <w:p w14:paraId="69AA4F07" w14:textId="77777777" w:rsidR="00DC0E56" w:rsidRPr="00FD2CB8" w:rsidRDefault="00DC0E56" w:rsidP="00DC0E56">
      <w:pPr>
        <w:autoSpaceDE w:val="0"/>
        <w:autoSpaceDN w:val="0"/>
        <w:adjustRightInd w:val="0"/>
        <w:spacing w:after="0" w:line="240" w:lineRule="auto"/>
        <w:ind w:firstLine="567"/>
        <w:jc w:val="both"/>
        <w:rPr>
          <w:rFonts w:ascii="Cambria" w:hAnsi="Cambria" w:cs="Times New Roman"/>
          <w:b w:val="0"/>
          <w:sz w:val="22"/>
        </w:rPr>
      </w:pPr>
    </w:p>
    <w:p w14:paraId="6F986248" w14:textId="77777777"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p>
    <w:p w14:paraId="45A6B3C2" w14:textId="0156877C"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r w:rsidRPr="00FD2CB8">
        <w:rPr>
          <w:rFonts w:ascii="Cambria" w:eastAsia="Arial" w:hAnsi="Cambria" w:cs="Times New Roman"/>
          <w:b w:val="0"/>
          <w:bCs/>
          <w:i/>
          <w:iCs/>
          <w:kern w:val="0"/>
          <w:sz w:val="22"/>
          <w:lang w:eastAsia="fr-FR"/>
        </w:rPr>
        <w:t xml:space="preserve">Atlas :  </w:t>
      </w:r>
    </w:p>
    <w:p w14:paraId="274AE8C1" w14:textId="77777777" w:rsidR="00DC0E56" w:rsidRPr="00FD2CB8" w:rsidRDefault="00DC0E56" w:rsidP="00DC0E56">
      <w:pPr>
        <w:spacing w:after="0" w:line="276" w:lineRule="auto"/>
        <w:ind w:left="567" w:hanging="567"/>
        <w:jc w:val="both"/>
        <w:rPr>
          <w:rFonts w:ascii="Cambria" w:eastAsia="Arial" w:hAnsi="Cambria" w:cs="Times New Roman"/>
          <w:b w:val="0"/>
          <w:bCs/>
          <w:kern w:val="0"/>
          <w:sz w:val="22"/>
          <w:lang w:eastAsia="fr-FR"/>
        </w:rPr>
      </w:pPr>
      <w:r w:rsidRPr="00FD2CB8">
        <w:rPr>
          <w:rFonts w:ascii="Cambria" w:eastAsia="Arial" w:hAnsi="Cambria" w:cs="Times New Roman"/>
          <w:b w:val="0"/>
          <w:bCs/>
          <w:kern w:val="0"/>
          <w:sz w:val="22"/>
          <w:lang w:eastAsia="fr-FR"/>
        </w:rPr>
        <w:t xml:space="preserve">MARTINEZ-SÈVE L., </w:t>
      </w:r>
      <w:r w:rsidRPr="00FD2CB8">
        <w:rPr>
          <w:rFonts w:ascii="Cambria" w:eastAsia="Arial" w:hAnsi="Cambria" w:cs="Times New Roman"/>
          <w:b w:val="0"/>
          <w:bCs/>
          <w:i/>
          <w:kern w:val="0"/>
          <w:sz w:val="22"/>
          <w:lang w:eastAsia="fr-FR"/>
        </w:rPr>
        <w:t>Atlas du monde hellénistique (336-31 av. J.-C.). Pouvoir et territoire après Alexandre le Grand</w:t>
      </w:r>
      <w:r w:rsidRPr="00FD2CB8">
        <w:rPr>
          <w:rFonts w:ascii="Cambria" w:eastAsia="Arial" w:hAnsi="Cambria" w:cs="Times New Roman"/>
          <w:b w:val="0"/>
          <w:bCs/>
          <w:kern w:val="0"/>
          <w:sz w:val="22"/>
          <w:lang w:eastAsia="fr-FR"/>
        </w:rPr>
        <w:t>, Paris, Autrement, coll. Atlas, 2017, 3</w:t>
      </w:r>
      <w:r w:rsidRPr="00FD2CB8">
        <w:rPr>
          <w:rFonts w:ascii="Cambria" w:eastAsia="Arial" w:hAnsi="Cambria" w:cs="Times New Roman"/>
          <w:b w:val="0"/>
          <w:bCs/>
          <w:kern w:val="0"/>
          <w:sz w:val="22"/>
          <w:vertAlign w:val="superscript"/>
          <w:lang w:eastAsia="fr-FR"/>
        </w:rPr>
        <w:t>e</w:t>
      </w:r>
      <w:r w:rsidRPr="00FD2CB8">
        <w:rPr>
          <w:rFonts w:ascii="Cambria" w:eastAsia="Arial" w:hAnsi="Cambria" w:cs="Times New Roman"/>
          <w:b w:val="0"/>
          <w:bCs/>
          <w:kern w:val="0"/>
          <w:sz w:val="22"/>
          <w:lang w:eastAsia="fr-FR"/>
        </w:rPr>
        <w:t xml:space="preserve"> édition </w:t>
      </w:r>
      <w:r w:rsidRPr="00FD2CB8">
        <w:rPr>
          <w:rFonts w:ascii="Cambria" w:eastAsia="Arial" w:hAnsi="Cambria" w:cs="Times New Roman"/>
          <w:b w:val="0"/>
          <w:bCs/>
          <w:kern w:val="0"/>
          <w:sz w:val="22"/>
          <w:lang w:val="fr" w:eastAsia="fr-FR"/>
        </w:rPr>
        <w:t>[véritable manuel, accessible en ligne via la BIS]</w:t>
      </w:r>
      <w:r w:rsidRPr="00FD2CB8">
        <w:rPr>
          <w:rFonts w:ascii="Cambria" w:eastAsia="Arial" w:hAnsi="Cambria" w:cs="Times New Roman"/>
          <w:b w:val="0"/>
          <w:bCs/>
          <w:kern w:val="0"/>
          <w:sz w:val="22"/>
          <w:lang w:eastAsia="fr-FR"/>
        </w:rPr>
        <w:t xml:space="preserve">. </w:t>
      </w:r>
    </w:p>
    <w:p w14:paraId="7FCFEE54" w14:textId="77777777" w:rsidR="00DC0E56" w:rsidRPr="00FD2CB8" w:rsidRDefault="00DC0E56" w:rsidP="00DC0E56">
      <w:pPr>
        <w:spacing w:after="0" w:line="276" w:lineRule="auto"/>
        <w:ind w:left="567" w:hanging="567"/>
        <w:jc w:val="both"/>
        <w:rPr>
          <w:rFonts w:ascii="Cambria" w:eastAsia="Arial" w:hAnsi="Cambria" w:cs="Times New Roman"/>
          <w:b w:val="0"/>
          <w:bCs/>
          <w:kern w:val="0"/>
          <w:sz w:val="22"/>
          <w:lang w:eastAsia="fr-FR"/>
        </w:rPr>
      </w:pPr>
      <w:r w:rsidRPr="00FD2CB8">
        <w:rPr>
          <w:rFonts w:ascii="Cambria" w:eastAsia="Arial" w:hAnsi="Cambria" w:cs="Times New Roman"/>
          <w:b w:val="0"/>
          <w:bCs/>
          <w:kern w:val="0"/>
          <w:sz w:val="22"/>
          <w:lang w:eastAsia="fr-FR"/>
        </w:rPr>
        <w:t xml:space="preserve">RICHER, N., </w:t>
      </w:r>
      <w:r w:rsidRPr="00FD2CB8">
        <w:rPr>
          <w:rFonts w:ascii="Cambria" w:eastAsia="Arial" w:hAnsi="Cambria" w:cs="Times New Roman"/>
          <w:b w:val="0"/>
          <w:bCs/>
          <w:i/>
          <w:iCs/>
          <w:kern w:val="0"/>
          <w:sz w:val="22"/>
          <w:lang w:eastAsia="fr-FR"/>
        </w:rPr>
        <w:t>Atlas de la Grèce classique. Ve-IVe siècle av. J.-Chr., l’âge d’or d’une civilisation fondatrice</w:t>
      </w:r>
      <w:r w:rsidRPr="00FD2CB8">
        <w:rPr>
          <w:rFonts w:ascii="Cambria" w:eastAsia="Arial" w:hAnsi="Cambria" w:cs="Times New Roman"/>
          <w:b w:val="0"/>
          <w:bCs/>
          <w:kern w:val="0"/>
          <w:sz w:val="22"/>
          <w:lang w:eastAsia="fr-FR"/>
        </w:rPr>
        <w:t>, Paris, Autrement, coll. Atlas, 2021, 2</w:t>
      </w:r>
      <w:r w:rsidRPr="00FD2CB8">
        <w:rPr>
          <w:rFonts w:ascii="Cambria" w:eastAsia="Arial" w:hAnsi="Cambria" w:cs="Times New Roman"/>
          <w:b w:val="0"/>
          <w:bCs/>
          <w:kern w:val="0"/>
          <w:sz w:val="22"/>
          <w:vertAlign w:val="superscript"/>
          <w:lang w:eastAsia="fr-FR"/>
        </w:rPr>
        <w:t>e</w:t>
      </w:r>
      <w:r w:rsidRPr="00FD2CB8">
        <w:rPr>
          <w:rFonts w:ascii="Cambria" w:eastAsia="Arial" w:hAnsi="Cambria" w:cs="Times New Roman"/>
          <w:b w:val="0"/>
          <w:bCs/>
          <w:kern w:val="0"/>
          <w:sz w:val="22"/>
          <w:lang w:eastAsia="fr-FR"/>
        </w:rPr>
        <w:t xml:space="preserve"> édition </w:t>
      </w:r>
      <w:r w:rsidRPr="00FD2CB8">
        <w:rPr>
          <w:rFonts w:ascii="Cambria" w:eastAsia="Arial" w:hAnsi="Cambria" w:cs="Times New Roman"/>
          <w:b w:val="0"/>
          <w:bCs/>
          <w:kern w:val="0"/>
          <w:sz w:val="22"/>
          <w:lang w:val="fr" w:eastAsia="fr-FR"/>
        </w:rPr>
        <w:t>[véritable manuel, accessible en ligne via la BIS].</w:t>
      </w:r>
    </w:p>
    <w:p w14:paraId="66F711E3" w14:textId="77777777" w:rsidR="00DC0E56" w:rsidRPr="00FD2CB8" w:rsidRDefault="00DC0E56" w:rsidP="00DC0E56">
      <w:pPr>
        <w:spacing w:after="120" w:line="240" w:lineRule="auto"/>
        <w:ind w:left="284" w:hanging="284"/>
        <w:jc w:val="both"/>
        <w:rPr>
          <w:rFonts w:ascii="Cambria" w:hAnsi="Cambria" w:cs="Times New Roman"/>
          <w:b w:val="0"/>
          <w:sz w:val="22"/>
        </w:rPr>
      </w:pPr>
    </w:p>
    <w:p w14:paraId="2F761798" w14:textId="77777777" w:rsidR="00DC0E56" w:rsidRPr="00FD2CB8" w:rsidRDefault="00DC0E56" w:rsidP="00DC0E56">
      <w:pPr>
        <w:autoSpaceDE w:val="0"/>
        <w:autoSpaceDN w:val="0"/>
        <w:adjustRightInd w:val="0"/>
        <w:spacing w:after="0" w:line="240" w:lineRule="auto"/>
        <w:ind w:left="426" w:hanging="426"/>
        <w:jc w:val="both"/>
        <w:rPr>
          <w:rFonts w:ascii="Cambria" w:hAnsi="Cambria" w:cs="Times New Roman"/>
          <w:b w:val="0"/>
          <w:bCs/>
          <w:i/>
          <w:iCs/>
          <w:caps/>
          <w:sz w:val="22"/>
        </w:rPr>
      </w:pPr>
      <w:r w:rsidRPr="00FD2CB8">
        <w:rPr>
          <w:rFonts w:ascii="Cambria" w:eastAsia="Calibri" w:hAnsi="Cambria" w:cs="Times New Roman"/>
          <w:b w:val="0"/>
          <w:bCs/>
          <w:i/>
          <w:iCs/>
          <w:color w:val="000000"/>
          <w:sz w:val="22"/>
          <w:lang w:eastAsia="en-US"/>
        </w:rPr>
        <w:t>Pour travailler la chronologie plus en détail et les aspects économiques </w:t>
      </w:r>
      <w:r w:rsidRPr="00FD2CB8">
        <w:rPr>
          <w:rFonts w:ascii="Cambria" w:hAnsi="Cambria" w:cs="Times New Roman"/>
          <w:b w:val="0"/>
          <w:bCs/>
          <w:i/>
          <w:iCs/>
          <w:sz w:val="22"/>
        </w:rPr>
        <w:t xml:space="preserve">: </w:t>
      </w:r>
    </w:p>
    <w:p w14:paraId="6073EBCC" w14:textId="77777777" w:rsidR="00DC0E56" w:rsidRPr="00FD2CB8" w:rsidRDefault="00DC0E56" w:rsidP="00DC0E56">
      <w:pPr>
        <w:shd w:val="clear" w:color="auto" w:fill="FFFFFF"/>
        <w:spacing w:after="0" w:line="240" w:lineRule="auto"/>
        <w:ind w:left="426" w:hanging="426"/>
        <w:jc w:val="both"/>
        <w:rPr>
          <w:rFonts w:ascii="Cambria" w:hAnsi="Cambria" w:cs="Times New Roman"/>
          <w:b w:val="0"/>
          <w:sz w:val="22"/>
        </w:rPr>
      </w:pPr>
      <w:r w:rsidRPr="00FD2CB8">
        <w:rPr>
          <w:rFonts w:ascii="Cambria" w:hAnsi="Cambria" w:cs="Times New Roman"/>
          <w:b w:val="0"/>
          <w:sz w:val="22"/>
        </w:rPr>
        <w:t xml:space="preserve">DAMET, A., </w:t>
      </w:r>
      <w:r w:rsidRPr="00FD2CB8">
        <w:rPr>
          <w:rFonts w:ascii="Cambria" w:hAnsi="Cambria" w:cs="Times New Roman"/>
          <w:b w:val="0"/>
          <w:i/>
          <w:iCs/>
          <w:sz w:val="22"/>
        </w:rPr>
        <w:t>Le monde grec de Minos à Alexandre (1700-323 av. J.-C.)</w:t>
      </w:r>
      <w:r w:rsidRPr="00FD2CB8">
        <w:rPr>
          <w:rFonts w:ascii="Cambria" w:hAnsi="Cambria" w:cs="Times New Roman"/>
          <w:b w:val="0"/>
          <w:sz w:val="22"/>
        </w:rPr>
        <w:t>, Paris, A. Colin, coll. Portail, 2020 [accessible en ligne via la BIS].</w:t>
      </w:r>
    </w:p>
    <w:p w14:paraId="5A29D92F" w14:textId="77777777" w:rsidR="00DC0E56" w:rsidRPr="00FD2CB8" w:rsidRDefault="00DC0E56" w:rsidP="00DC0E56">
      <w:pPr>
        <w:spacing w:after="0" w:line="240" w:lineRule="auto"/>
        <w:ind w:left="426" w:hanging="426"/>
        <w:rPr>
          <w:rFonts w:ascii="Cambria" w:eastAsia="Times New Roman" w:hAnsi="Cambria" w:cs="Times New Roman"/>
          <w:b w:val="0"/>
          <w:kern w:val="0"/>
          <w:sz w:val="22"/>
          <w:lang w:eastAsia="fr-FR"/>
        </w:rPr>
      </w:pPr>
      <w:r w:rsidRPr="00FD2CB8">
        <w:rPr>
          <w:rFonts w:ascii="Cambria" w:hAnsi="Cambria" w:cs="Times New Roman"/>
          <w:b w:val="0"/>
          <w:sz w:val="22"/>
        </w:rPr>
        <w:t xml:space="preserve">GRANDJEAN C. </w:t>
      </w:r>
      <w:r w:rsidRPr="00FD2CB8">
        <w:rPr>
          <w:rFonts w:ascii="Cambria" w:hAnsi="Cambria" w:cs="Times New Roman"/>
          <w:b w:val="0"/>
          <w:i/>
          <w:iCs/>
          <w:sz w:val="22"/>
        </w:rPr>
        <w:t>et al.</w:t>
      </w:r>
      <w:r w:rsidRPr="00FD2CB8">
        <w:rPr>
          <w:rFonts w:ascii="Cambria" w:hAnsi="Cambria" w:cs="Times New Roman"/>
          <w:b w:val="0"/>
          <w:sz w:val="22"/>
        </w:rPr>
        <w:t>, </w:t>
      </w:r>
      <w:r w:rsidRPr="00FD2CB8">
        <w:rPr>
          <w:rFonts w:ascii="Cambria" w:eastAsia="Times New Roman" w:hAnsi="Cambria" w:cs="Times New Roman"/>
          <w:b w:val="0"/>
          <w:i/>
          <w:iCs/>
          <w:kern w:val="0"/>
          <w:sz w:val="22"/>
          <w:lang w:eastAsia="fr-FR"/>
        </w:rPr>
        <w:t>La Grèce classique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d’Hérodote à Aristote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510-336 avant notre ère</w:t>
      </w:r>
      <w:r w:rsidRPr="00FD2CB8">
        <w:rPr>
          <w:rFonts w:ascii="Cambria" w:eastAsia="Times New Roman" w:hAnsi="Cambria" w:cs="Times New Roman"/>
          <w:b w:val="0"/>
          <w:kern w:val="0"/>
          <w:sz w:val="22"/>
          <w:lang w:eastAsia="fr-FR"/>
        </w:rPr>
        <w:t>, Paris, Belin, coll. Mondes Anciens, 2022.</w:t>
      </w:r>
    </w:p>
    <w:p w14:paraId="127DC561" w14:textId="77777777" w:rsidR="00DC0E56" w:rsidRPr="00FD2CB8" w:rsidRDefault="00DC0E56" w:rsidP="00DC0E56">
      <w:pPr>
        <w:spacing w:after="0" w:line="240" w:lineRule="auto"/>
        <w:ind w:left="426" w:hanging="426"/>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GRANDJEAN, C. </w:t>
      </w:r>
      <w:r w:rsidRPr="00FD2CB8">
        <w:rPr>
          <w:rFonts w:ascii="Cambria" w:eastAsia="Times New Roman" w:hAnsi="Cambria" w:cs="Times New Roman"/>
          <w:b w:val="0"/>
          <w:i/>
          <w:iCs/>
          <w:kern w:val="0"/>
          <w:sz w:val="22"/>
          <w:lang w:eastAsia="fr-FR"/>
        </w:rPr>
        <w:t>et al.</w:t>
      </w:r>
      <w:r w:rsidRPr="00FD2CB8">
        <w:rPr>
          <w:rFonts w:ascii="Cambria" w:eastAsia="Times New Roman" w:hAnsi="Cambria" w:cs="Times New Roman"/>
          <w:b w:val="0"/>
          <w:kern w:val="0"/>
          <w:sz w:val="22"/>
          <w:lang w:eastAsia="fr-FR"/>
        </w:rPr>
        <w:t xml:space="preserve">, </w:t>
      </w:r>
      <w:r w:rsidRPr="00FD2CB8">
        <w:rPr>
          <w:rFonts w:ascii="Cambria" w:eastAsia="Times New Roman" w:hAnsi="Cambria" w:cs="Times New Roman"/>
          <w:b w:val="0"/>
          <w:i/>
          <w:iCs/>
          <w:kern w:val="0"/>
          <w:sz w:val="22"/>
          <w:lang w:eastAsia="fr-FR"/>
        </w:rPr>
        <w:t>La Grèce hellénistique et romaine : d’Alexandre à Hadrien, 336 avant notre ère -138 de notre ère</w:t>
      </w:r>
      <w:r w:rsidRPr="00FD2CB8">
        <w:rPr>
          <w:rFonts w:ascii="Cambria" w:eastAsia="Times New Roman" w:hAnsi="Cambria" w:cs="Times New Roman"/>
          <w:b w:val="0"/>
          <w:kern w:val="0"/>
          <w:sz w:val="22"/>
          <w:lang w:eastAsia="fr-FR"/>
        </w:rPr>
        <w:t>, Paris, Belin, coll. Mondes Anciens, 2024.</w:t>
      </w:r>
    </w:p>
    <w:p w14:paraId="7E09E3E4" w14:textId="77777777" w:rsidR="00DC0E56" w:rsidRPr="00FD2CB8" w:rsidRDefault="00DC0E56" w:rsidP="00DC0E56">
      <w:pPr>
        <w:spacing w:after="0" w:line="240" w:lineRule="auto"/>
        <w:ind w:left="426" w:hanging="426"/>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LE GUEN, Br. </w:t>
      </w:r>
      <w:r w:rsidRPr="00FD2CB8">
        <w:rPr>
          <w:rFonts w:ascii="Cambria" w:eastAsia="Times New Roman" w:hAnsi="Cambria" w:cs="Times New Roman"/>
          <w:b w:val="0"/>
          <w:i/>
          <w:iCs/>
          <w:kern w:val="0"/>
          <w:sz w:val="22"/>
          <w:lang w:eastAsia="fr-FR"/>
        </w:rPr>
        <w:t>et alii</w:t>
      </w:r>
      <w:r w:rsidRPr="00FD2CB8">
        <w:rPr>
          <w:rFonts w:ascii="Cambria" w:eastAsia="Times New Roman" w:hAnsi="Cambria" w:cs="Times New Roman"/>
          <w:b w:val="0"/>
          <w:kern w:val="0"/>
          <w:sz w:val="22"/>
          <w:lang w:eastAsia="fr-FR"/>
        </w:rPr>
        <w:t xml:space="preserve">, </w:t>
      </w:r>
      <w:r w:rsidRPr="00FD2CB8">
        <w:rPr>
          <w:rFonts w:ascii="Cambria" w:eastAsia="Times New Roman" w:hAnsi="Cambria" w:cs="Times New Roman"/>
          <w:b w:val="0"/>
          <w:i/>
          <w:iCs/>
          <w:kern w:val="0"/>
          <w:sz w:val="22"/>
          <w:lang w:eastAsia="fr-FR"/>
        </w:rPr>
        <w:t>Naissance de la Grèce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de Minos à Solon</w:t>
      </w:r>
      <w:r w:rsidRPr="00FD2CB8">
        <w:rPr>
          <w:rFonts w:ascii="Cambria" w:eastAsia="Times New Roman" w:hAnsi="Cambria"/>
          <w:b w:val="0"/>
          <w:i/>
          <w:iCs/>
          <w:kern w:val="0"/>
          <w:sz w:val="22"/>
          <w:lang w:eastAsia="fr-FR"/>
        </w:rPr>
        <w:t>,</w:t>
      </w:r>
      <w:r w:rsidRPr="00FD2CB8">
        <w:rPr>
          <w:rFonts w:ascii="Cambria" w:eastAsia="Times New Roman" w:hAnsi="Cambria" w:cs="Times New Roman"/>
          <w:b w:val="0"/>
          <w:i/>
          <w:iCs/>
          <w:kern w:val="0"/>
          <w:sz w:val="22"/>
          <w:lang w:eastAsia="fr-FR"/>
        </w:rPr>
        <w:t xml:space="preserve"> 3200 à 510 avant notre ère,</w:t>
      </w:r>
      <w:r w:rsidRPr="00FD2CB8">
        <w:rPr>
          <w:rFonts w:ascii="Cambria" w:eastAsia="Times New Roman" w:hAnsi="Cambria" w:cs="Times New Roman"/>
          <w:b w:val="0"/>
          <w:kern w:val="0"/>
          <w:sz w:val="22"/>
          <w:lang w:eastAsia="fr-FR"/>
        </w:rPr>
        <w:t xml:space="preserve"> Paris, Belin, coll. Mondes Anciens, 2019.</w:t>
      </w:r>
    </w:p>
    <w:p w14:paraId="5C7890DF" w14:textId="77777777"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p>
    <w:p w14:paraId="185A9C59" w14:textId="77777777" w:rsidR="00DC0E56" w:rsidRPr="00FD2CB8" w:rsidRDefault="00DC0E56" w:rsidP="00DC0E56">
      <w:pPr>
        <w:autoSpaceDE w:val="0"/>
        <w:autoSpaceDN w:val="0"/>
        <w:adjustRightInd w:val="0"/>
        <w:spacing w:before="120" w:after="0" w:line="240" w:lineRule="auto"/>
        <w:jc w:val="both"/>
        <w:rPr>
          <w:rFonts w:ascii="Cambria" w:eastAsia="Calibri" w:hAnsi="Cambria" w:cs="Times New Roman"/>
          <w:b w:val="0"/>
          <w:bCs/>
          <w:i/>
          <w:iCs/>
          <w:strike/>
          <w:color w:val="000000"/>
          <w:sz w:val="22"/>
          <w:lang w:eastAsia="en-US"/>
        </w:rPr>
      </w:pPr>
      <w:r w:rsidRPr="00FD2CB8">
        <w:rPr>
          <w:rFonts w:ascii="Cambria" w:eastAsia="Calibri" w:hAnsi="Cambria" w:cs="Times New Roman"/>
          <w:b w:val="0"/>
          <w:bCs/>
          <w:i/>
          <w:iCs/>
          <w:color w:val="000000"/>
          <w:sz w:val="22"/>
          <w:lang w:eastAsia="en-US"/>
        </w:rPr>
        <w:t xml:space="preserve">Sur l’archéologie : </w:t>
      </w:r>
      <w:r w:rsidRPr="00FD2CB8">
        <w:rPr>
          <w:rFonts w:ascii="Cambria" w:eastAsia="Calibri" w:hAnsi="Cambria" w:cs="Times New Roman"/>
          <w:b w:val="0"/>
          <w:bCs/>
          <w:i/>
          <w:iCs/>
          <w:strike/>
          <w:color w:val="000000"/>
          <w:sz w:val="22"/>
          <w:lang w:eastAsia="en-US"/>
        </w:rPr>
        <w:t xml:space="preserve"> </w:t>
      </w:r>
    </w:p>
    <w:p w14:paraId="672CB3EF"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b w:val="0"/>
          <w:sz w:val="22"/>
          <w:lang w:eastAsia="en-US"/>
        </w:rPr>
      </w:pPr>
      <w:r w:rsidRPr="00FD2CB8">
        <w:rPr>
          <w:rFonts w:ascii="Cambria" w:eastAsia="Calibri" w:hAnsi="Cambria" w:cs="Times New Roman"/>
          <w:b w:val="0"/>
          <w:sz w:val="22"/>
          <w:lang w:eastAsia="en-US"/>
        </w:rPr>
        <w:t xml:space="preserve">COLLIN-BOUFFIER, S. (éd.), </w:t>
      </w:r>
      <w:r w:rsidRPr="00FD2CB8">
        <w:rPr>
          <w:rFonts w:ascii="Cambria" w:eastAsia="Calibri" w:hAnsi="Cambria" w:cs="Times New Roman"/>
          <w:b w:val="0"/>
          <w:i/>
          <w:iCs/>
          <w:sz w:val="22"/>
          <w:lang w:eastAsia="en-US"/>
        </w:rPr>
        <w:t>Le commentaire de documents figuratifs : La Méditerranée antique</w:t>
      </w:r>
      <w:r w:rsidRPr="00FD2CB8">
        <w:rPr>
          <w:rFonts w:ascii="Cambria" w:eastAsia="Calibri" w:hAnsi="Cambria" w:cs="Times New Roman"/>
          <w:b w:val="0"/>
          <w:sz w:val="22"/>
          <w:lang w:eastAsia="en-US"/>
        </w:rPr>
        <w:t>, Paris, 2001.</w:t>
      </w:r>
    </w:p>
    <w:p w14:paraId="38FFBB1B"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color w:val="000000"/>
          <w:sz w:val="22"/>
          <w:lang w:eastAsia="en-US"/>
        </w:rPr>
      </w:pPr>
      <w:r w:rsidRPr="00FD2CB8">
        <w:rPr>
          <w:rFonts w:ascii="Cambria" w:eastAsia="Calibri" w:hAnsi="Cambria" w:cs="Times New Roman"/>
          <w:b w:val="0"/>
          <w:color w:val="000000"/>
          <w:sz w:val="22"/>
          <w:lang w:eastAsia="en-US"/>
        </w:rPr>
        <w:t xml:space="preserve">DEMOULE, J. P., </w:t>
      </w:r>
      <w:r w:rsidRPr="00FD2CB8">
        <w:rPr>
          <w:rFonts w:ascii="Cambria" w:eastAsia="Calibri" w:hAnsi="Cambria" w:cs="Times New Roman"/>
          <w:b w:val="0"/>
          <w:i/>
          <w:iCs/>
          <w:color w:val="000000"/>
          <w:sz w:val="22"/>
          <w:lang w:eastAsia="en-US"/>
        </w:rPr>
        <w:t>Guide des méthodes de l’archéologie</w:t>
      </w:r>
      <w:r w:rsidRPr="00FD2CB8">
        <w:rPr>
          <w:rFonts w:ascii="Cambria" w:eastAsia="Calibri" w:hAnsi="Cambria" w:cs="Times New Roman"/>
          <w:b w:val="0"/>
          <w:color w:val="000000"/>
          <w:sz w:val="22"/>
          <w:lang w:eastAsia="en-US"/>
        </w:rPr>
        <w:t xml:space="preserve">, Paris, 2010. </w:t>
      </w:r>
    </w:p>
    <w:p w14:paraId="45B9C822"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color w:val="000000"/>
          <w:sz w:val="22"/>
          <w:lang w:eastAsia="en-US"/>
        </w:rPr>
      </w:pPr>
      <w:r w:rsidRPr="00FD2CB8">
        <w:rPr>
          <w:rFonts w:ascii="Cambria" w:eastAsia="Calibri" w:hAnsi="Cambria" w:cs="Times New Roman"/>
          <w:b w:val="0"/>
          <w:color w:val="000000"/>
          <w:sz w:val="22"/>
          <w:lang w:eastAsia="en-US"/>
        </w:rPr>
        <w:t xml:space="preserve">ETIENNE, R., MÜLLER, C. et PROST, F. </w:t>
      </w:r>
      <w:r w:rsidRPr="00FD2CB8">
        <w:rPr>
          <w:rFonts w:ascii="Cambria" w:eastAsia="Calibri" w:hAnsi="Cambria" w:cs="Times New Roman"/>
          <w:b w:val="0"/>
          <w:i/>
          <w:iCs/>
          <w:color w:val="000000"/>
          <w:sz w:val="22"/>
          <w:lang w:eastAsia="en-US"/>
        </w:rPr>
        <w:t>Archéologie historique de la Grèce antique</w:t>
      </w:r>
      <w:r w:rsidRPr="00FD2CB8">
        <w:rPr>
          <w:rFonts w:ascii="Cambria" w:eastAsia="Calibri" w:hAnsi="Cambria" w:cs="Times New Roman"/>
          <w:b w:val="0"/>
          <w:color w:val="000000"/>
          <w:sz w:val="22"/>
          <w:lang w:eastAsia="en-US"/>
        </w:rPr>
        <w:t>, Paris, 2014, 3</w:t>
      </w:r>
      <w:r w:rsidRPr="00FD2CB8">
        <w:rPr>
          <w:rFonts w:ascii="Cambria" w:eastAsia="Calibri" w:hAnsi="Cambria" w:cs="Times New Roman"/>
          <w:b w:val="0"/>
          <w:color w:val="000000"/>
          <w:sz w:val="22"/>
          <w:vertAlign w:val="superscript"/>
          <w:lang w:eastAsia="en-US"/>
        </w:rPr>
        <w:t>e</w:t>
      </w:r>
      <w:r w:rsidRPr="00FD2CB8">
        <w:rPr>
          <w:rFonts w:ascii="Cambria" w:eastAsia="Calibri" w:hAnsi="Cambria" w:cs="Times New Roman"/>
          <w:b w:val="0"/>
          <w:color w:val="000000"/>
          <w:sz w:val="22"/>
          <w:lang w:eastAsia="en-US"/>
        </w:rPr>
        <w:t xml:space="preserve"> éd. mise à jour.</w:t>
      </w:r>
    </w:p>
    <w:p w14:paraId="033FAB94" w14:textId="77777777" w:rsidR="00DC0E56" w:rsidRPr="00CB5007" w:rsidRDefault="00DC0E56" w:rsidP="00DC0E56">
      <w:pPr>
        <w:autoSpaceDE w:val="0"/>
        <w:autoSpaceDN w:val="0"/>
        <w:adjustRightInd w:val="0"/>
        <w:spacing w:after="120" w:line="240" w:lineRule="auto"/>
        <w:ind w:left="426" w:hanging="426"/>
        <w:jc w:val="both"/>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D2CB8">
        <w:rPr>
          <w:rFonts w:ascii="Cambria" w:eastAsia="Calibri" w:hAnsi="Cambria" w:cs="Times New Roman"/>
          <w:b w:val="0"/>
          <w:color w:val="000000"/>
          <w:sz w:val="22"/>
          <w:lang w:eastAsia="en-US"/>
        </w:rPr>
        <w:t xml:space="preserve">SCHNAPP, A. (éd.), </w:t>
      </w:r>
      <w:r w:rsidRPr="00FD2CB8">
        <w:rPr>
          <w:rFonts w:ascii="Cambria" w:eastAsia="Calibri" w:hAnsi="Cambria" w:cs="Times New Roman"/>
          <w:b w:val="0"/>
          <w:i/>
          <w:iCs/>
          <w:color w:val="000000"/>
          <w:sz w:val="22"/>
          <w:lang w:eastAsia="en-US"/>
        </w:rPr>
        <w:t>Préhistoire et Antiquité</w:t>
      </w:r>
      <w:r w:rsidRPr="00FD2CB8">
        <w:rPr>
          <w:rFonts w:ascii="Cambria" w:eastAsia="Calibri" w:hAnsi="Cambria" w:cs="Times New Roman"/>
          <w:b w:val="0"/>
          <w:color w:val="000000"/>
          <w:sz w:val="22"/>
          <w:lang w:eastAsia="en-US"/>
        </w:rPr>
        <w:t>, coll. Histoire de l’art Flammarion, Paris, 1997. (en part. p. 330-373)</w:t>
      </w:r>
    </w:p>
    <w:p w14:paraId="26A95064"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87DDB14"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1F4A646F"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3FBCBD2"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2BB9AB2" w14:textId="77777777" w:rsidR="002033C5" w:rsidRPr="00CB5007" w:rsidRDefault="002033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6703742" w14:textId="77777777" w:rsidR="002033C5" w:rsidRPr="00CB5007" w:rsidRDefault="002033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9FD2276" w14:textId="77777777" w:rsidR="007F10C0" w:rsidRPr="00CB5007" w:rsidRDefault="007F10C0"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B6505C1" w14:textId="77777777" w:rsidR="00B049C5" w:rsidRDefault="00B049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794078B"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32E0A64"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933D304"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3830F929"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00192D6" w14:textId="77777777" w:rsidR="003225C8" w:rsidRPr="00CB5007" w:rsidRDefault="003225C8" w:rsidP="003225C8">
      <w:pPr>
        <w:pBdr>
          <w:left w:val="single" w:sz="4" w:space="4" w:color="auto"/>
        </w:pBdr>
        <w:spacing w:after="0" w:line="276" w:lineRule="auto"/>
        <w:contextualSpacing/>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w:t>
      </w:r>
    </w:p>
    <w:p w14:paraId="376B01F2" w14:textId="77777777" w:rsidR="003225C8" w:rsidRPr="00CB5007" w:rsidRDefault="003225C8" w:rsidP="003225C8">
      <w:pPr>
        <w:pBdr>
          <w:left w:val="single" w:sz="4" w:space="4" w:color="auto"/>
        </w:pBdr>
        <w:spacing w:after="0" w:line="276" w:lineRule="auto"/>
        <w:contextualSpacing/>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MÉDIÉVALE</w:t>
      </w:r>
    </w:p>
    <w:p w14:paraId="4D6B233B" w14:textId="77777777" w:rsidR="003225C8" w:rsidRPr="00CB5007"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E163F8D" w14:textId="77777777" w:rsidR="00EF2958" w:rsidRPr="00CB5007" w:rsidRDefault="00EF295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E4000C0" w14:textId="77777777" w:rsidR="00326E99" w:rsidRPr="00CB5007" w:rsidRDefault="00326E99"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5ED933D0" w14:textId="77777777" w:rsidR="00326E99" w:rsidRDefault="00326E99"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F74A0A6" w14:textId="77777777" w:rsidR="00DC0E56" w:rsidRDefault="00DC0E56"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AAD964D" w14:textId="77777777" w:rsidR="00DC0E56" w:rsidRPr="00CB5007" w:rsidRDefault="00DC0E56" w:rsidP="00DC0E56">
      <w:pPr>
        <w:spacing w:after="0" w:line="276" w:lineRule="auto"/>
        <w:contextualSpacing/>
        <w:jc w:val="both"/>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9B961EC" w14:textId="77777777" w:rsidR="00915648" w:rsidRDefault="00915648" w:rsidP="00561F7D">
      <w:pPr>
        <w:spacing w:after="0" w:line="276" w:lineRule="auto"/>
        <w:contextualSpacing/>
        <w:rPr>
          <w:rFonts w:ascii="Cambria" w:hAnsi="Cambria"/>
          <w:i/>
          <w:color w:val="C00000"/>
          <w:sz w:val="28"/>
          <w:lang w:eastAsia="en-US"/>
        </w:rPr>
      </w:pPr>
    </w:p>
    <w:p w14:paraId="12ECBBDC" w14:textId="77777777" w:rsidR="006F4DF4" w:rsidRPr="00CB5007" w:rsidRDefault="006F4DF4" w:rsidP="00561F7D">
      <w:pPr>
        <w:spacing w:after="0" w:line="276" w:lineRule="auto"/>
        <w:contextualSpacing/>
        <w:rPr>
          <w:rFonts w:ascii="Cambria" w:hAnsi="Cambria"/>
          <w:i/>
          <w:color w:val="C00000"/>
          <w:sz w:val="28"/>
          <w:lang w:eastAsia="en-US"/>
        </w:rPr>
      </w:pPr>
    </w:p>
    <w:p w14:paraId="3A2294FB" w14:textId="77777777" w:rsidR="004D7F77" w:rsidRPr="00CB5007" w:rsidRDefault="004D7F77" w:rsidP="00552FCB">
      <w:pPr>
        <w:spacing w:after="0" w:line="276" w:lineRule="auto"/>
        <w:contextualSpacing/>
        <w:rPr>
          <w:rFonts w:ascii="Cambria" w:hAnsi="Cambria"/>
          <w:i/>
          <w:color w:val="C00000"/>
          <w:sz w:val="28"/>
          <w:lang w:eastAsia="en-US"/>
        </w:rPr>
      </w:pPr>
    </w:p>
    <w:p w14:paraId="5BBA4044" w14:textId="77777777" w:rsidR="00E94CB3" w:rsidRPr="00133140" w:rsidRDefault="007C1B1C" w:rsidP="00EC551B">
      <w:pPr>
        <w:spacing w:after="0" w:line="276" w:lineRule="auto"/>
        <w:contextualSpacing/>
        <w:jc w:val="center"/>
        <w:rPr>
          <w:rFonts w:ascii="Cambria" w:hAnsi="Cambria"/>
          <w:i/>
          <w:sz w:val="28"/>
          <w:lang w:eastAsia="en-US"/>
        </w:rPr>
      </w:pPr>
      <w:r w:rsidRPr="00133140">
        <w:rPr>
          <w:rFonts w:ascii="Cambria" w:hAnsi="Cambria"/>
          <w:i/>
          <w:color w:val="C00000"/>
          <w:sz w:val="28"/>
          <w:lang w:eastAsia="en-US"/>
        </w:rPr>
        <w:t>J3020319/J3020419</w:t>
      </w:r>
      <w:r w:rsidR="00E94CB3" w:rsidRPr="00133140">
        <w:rPr>
          <w:rFonts w:ascii="Cambria" w:hAnsi="Cambria"/>
          <w:i/>
          <w:color w:val="C00000"/>
          <w:sz w:val="28"/>
          <w:lang w:eastAsia="en-US"/>
        </w:rPr>
        <w:t xml:space="preserve"> : Histoire de l’Afrique médiévale</w:t>
      </w:r>
    </w:p>
    <w:p w14:paraId="13405DCD" w14:textId="77777777" w:rsidR="00E94CB3" w:rsidRPr="00133140" w:rsidRDefault="00E94CB3" w:rsidP="00C62270">
      <w:pPr>
        <w:spacing w:after="0" w:line="276" w:lineRule="auto"/>
        <w:contextualSpacing/>
        <w:jc w:val="center"/>
        <w:rPr>
          <w:rFonts w:ascii="Cambria" w:hAnsi="Cambria"/>
          <w:b w:val="0"/>
          <w:szCs w:val="24"/>
        </w:rPr>
      </w:pPr>
    </w:p>
    <w:p w14:paraId="7024934C" w14:textId="00D3D135" w:rsidR="009553AF" w:rsidRPr="00133140" w:rsidRDefault="009553AF" w:rsidP="009553AF">
      <w:pPr>
        <w:spacing w:after="0" w:line="276" w:lineRule="auto"/>
        <w:contextualSpacing/>
        <w:jc w:val="center"/>
        <w:rPr>
          <w:rFonts w:ascii="Cambria" w:hAnsi="Cambria" w:cs="Times New Roman"/>
          <w:sz w:val="22"/>
          <w:lang w:val="en-US"/>
        </w:rPr>
      </w:pPr>
      <w:r w:rsidRPr="00133140">
        <w:rPr>
          <w:rFonts w:ascii="Cambria" w:hAnsi="Cambria" w:cs="Times New Roman"/>
          <w:sz w:val="22"/>
          <w:lang w:val="en-US"/>
        </w:rPr>
        <w:t xml:space="preserve">Bertrand Hirsch (CM S1), Charles Robert Dième (TD S1) </w:t>
      </w:r>
    </w:p>
    <w:p w14:paraId="52390293" w14:textId="77777777" w:rsidR="009553AF" w:rsidRPr="00133140" w:rsidRDefault="009553AF" w:rsidP="00C62270">
      <w:pPr>
        <w:spacing w:after="0" w:line="276" w:lineRule="auto"/>
        <w:contextualSpacing/>
        <w:jc w:val="center"/>
        <w:rPr>
          <w:rFonts w:ascii="Cambria" w:hAnsi="Cambria"/>
          <w:b w:val="0"/>
          <w:szCs w:val="24"/>
          <w:lang w:val="en-US"/>
        </w:rPr>
      </w:pPr>
    </w:p>
    <w:p w14:paraId="08B54465" w14:textId="33566108" w:rsidR="008B4565" w:rsidRPr="00133140" w:rsidRDefault="00611077" w:rsidP="00EC551B">
      <w:pPr>
        <w:spacing w:after="0" w:line="276" w:lineRule="auto"/>
        <w:contextualSpacing/>
        <w:jc w:val="center"/>
        <w:rPr>
          <w:rFonts w:ascii="Cambria" w:hAnsi="Cambria" w:cs="Times New Roman"/>
          <w:sz w:val="22"/>
          <w:lang w:val="en-US"/>
        </w:rPr>
      </w:pPr>
      <w:r w:rsidRPr="00133140">
        <w:rPr>
          <w:rFonts w:ascii="Cambria" w:hAnsi="Cambria" w:cs="Times New Roman"/>
          <w:sz w:val="22"/>
          <w:lang w:val="en-US"/>
        </w:rPr>
        <w:t>Thomas Vernet</w:t>
      </w:r>
      <w:r w:rsidR="00C16092" w:rsidRPr="00133140">
        <w:rPr>
          <w:rFonts w:ascii="Cambria" w:hAnsi="Cambria" w:cs="Times New Roman"/>
          <w:sz w:val="22"/>
          <w:lang w:val="en-US"/>
        </w:rPr>
        <w:t>-Habasque</w:t>
      </w:r>
      <w:r w:rsidR="0032188C" w:rsidRPr="00133140">
        <w:rPr>
          <w:rFonts w:ascii="Cambria" w:hAnsi="Cambria" w:cs="Times New Roman"/>
          <w:sz w:val="22"/>
          <w:lang w:val="en-US"/>
        </w:rPr>
        <w:t xml:space="preserve"> (CM/TD</w:t>
      </w:r>
      <w:r w:rsidR="008B4565" w:rsidRPr="00133140">
        <w:rPr>
          <w:rFonts w:ascii="Cambria" w:hAnsi="Cambria" w:cs="Times New Roman"/>
          <w:sz w:val="22"/>
          <w:lang w:val="en-US"/>
        </w:rPr>
        <w:t xml:space="preserve"> S</w:t>
      </w:r>
      <w:r w:rsidR="009553AF" w:rsidRPr="00133140">
        <w:rPr>
          <w:rFonts w:ascii="Cambria" w:hAnsi="Cambria" w:cs="Times New Roman"/>
          <w:sz w:val="22"/>
          <w:lang w:val="en-US"/>
        </w:rPr>
        <w:t>2</w:t>
      </w:r>
      <w:r w:rsidR="0032188C" w:rsidRPr="00133140">
        <w:rPr>
          <w:rFonts w:ascii="Cambria" w:hAnsi="Cambria" w:cs="Times New Roman"/>
          <w:sz w:val="22"/>
          <w:lang w:val="en-US"/>
        </w:rPr>
        <w:t>)</w:t>
      </w:r>
    </w:p>
    <w:p w14:paraId="73BD00E8" w14:textId="77777777" w:rsidR="00071D4A" w:rsidRPr="00133140" w:rsidRDefault="00071D4A" w:rsidP="00EC551B">
      <w:pPr>
        <w:spacing w:after="0" w:line="276" w:lineRule="auto"/>
        <w:contextualSpacing/>
        <w:jc w:val="center"/>
        <w:rPr>
          <w:rFonts w:ascii="Cambria" w:hAnsi="Cambria" w:cs="Times New Roman"/>
          <w:sz w:val="22"/>
          <w:lang w:val="en-US"/>
        </w:rPr>
      </w:pPr>
    </w:p>
    <w:p w14:paraId="4ACCAD5B"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Cet enseignement est destiné à explorer l’histoire des sociétés de deux espaces de l’Afrique subsaharienne : l’Afrique orientale et la Corne de l’Afrique, à une période qui voit l’essor des contacts et des échanges avec le monde extérieur, de nouvelles formes de pouvoir politique (royauté, cité-Etat…), la diffusion de religions comme l’islam ou le christianisme et le développement de cultures de l’écrit.</w:t>
      </w:r>
    </w:p>
    <w:p w14:paraId="2923664F"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Les travaux dirigés seront l’occasion de travailler sur les sources de l’histoire de l’Afrique subsaharienne : textes manuscrits et imprimés, épigraphie, sources orales, données archéologiques, à travers des commentaires de documents contenus dans la brochure.</w:t>
      </w:r>
    </w:p>
    <w:p w14:paraId="4E18ADE7"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Une connaissance préalable des sociétés africaines et de leur histoire n’est pas requise.</w:t>
      </w:r>
    </w:p>
    <w:p w14:paraId="437C8ED4" w14:textId="77777777" w:rsidR="00644D1B" w:rsidRPr="00133140" w:rsidRDefault="00644D1B" w:rsidP="00644D1B">
      <w:pPr>
        <w:spacing w:after="0" w:line="240" w:lineRule="auto"/>
        <w:rPr>
          <w:rFonts w:eastAsia="Times New Roman" w:cs="Times New Roman"/>
          <w:b w:val="0"/>
          <w:kern w:val="0"/>
          <w:sz w:val="22"/>
          <w:lang w:eastAsia="zh-CN"/>
        </w:rPr>
      </w:pPr>
    </w:p>
    <w:p w14:paraId="61BACF26" w14:textId="3DDB5C23" w:rsidR="00644D1B" w:rsidRPr="00133140" w:rsidRDefault="00644D1B" w:rsidP="00644D1B">
      <w:pPr>
        <w:spacing w:line="278" w:lineRule="auto"/>
        <w:rPr>
          <w:rFonts w:ascii="Cambria" w:eastAsia="DengXian" w:hAnsi="Cambria" w:cs="Times New Roman"/>
          <w:b w:val="0"/>
          <w:color w:val="C00000"/>
          <w:szCs w:val="24"/>
          <w:lang w:eastAsia="zh-CN"/>
          <w14:ligatures w14:val="standardContextual"/>
        </w:rPr>
      </w:pPr>
      <w:r w:rsidRPr="00133140">
        <w:rPr>
          <w:rFonts w:ascii="Cambria" w:eastAsia="DengXian" w:hAnsi="Cambria" w:cs="Times New Roman"/>
          <w:color w:val="C00000"/>
          <w:sz w:val="22"/>
          <w:szCs w:val="24"/>
          <w:u w:val="single"/>
          <w:lang w:eastAsia="zh-CN"/>
          <w14:ligatures w14:val="standardContextual"/>
        </w:rPr>
        <w:t xml:space="preserve">Sujet du cours semestre </w:t>
      </w:r>
      <w:r w:rsidR="009553AF" w:rsidRPr="00133140">
        <w:rPr>
          <w:rFonts w:ascii="Cambria" w:eastAsia="DengXian" w:hAnsi="Cambria" w:cs="Times New Roman"/>
          <w:color w:val="C00000"/>
          <w:sz w:val="22"/>
          <w:szCs w:val="24"/>
          <w:u w:val="single"/>
          <w:lang w:eastAsia="zh-CN"/>
          <w14:ligatures w14:val="standardContextual"/>
        </w:rPr>
        <w:t>1</w:t>
      </w:r>
      <w:r w:rsidRPr="00133140">
        <w:rPr>
          <w:rFonts w:ascii="Cambria" w:eastAsia="DengXian" w:hAnsi="Cambria" w:cs="Times New Roman"/>
          <w:b w:val="0"/>
          <w:bCs/>
          <w:color w:val="C00000"/>
          <w:sz w:val="22"/>
          <w:szCs w:val="24"/>
          <w:lang w:eastAsia="zh-CN"/>
          <w14:ligatures w14:val="standardContextual"/>
        </w:rPr>
        <w:t xml:space="preserve"> : </w:t>
      </w:r>
      <w:r w:rsidRPr="00133140">
        <w:rPr>
          <w:rFonts w:ascii="Cambria" w:eastAsia="DengXian" w:hAnsi="Cambria" w:cs="Times New Roman"/>
          <w:bCs/>
          <w:color w:val="C00000"/>
          <w:szCs w:val="24"/>
          <w:lang w:eastAsia="zh-CN"/>
          <w14:ligatures w14:val="standardContextual"/>
        </w:rPr>
        <w:t>La Corne de l’Afrique au Moyen Age et ses relations avec le monde</w:t>
      </w:r>
    </w:p>
    <w:p w14:paraId="4CACA774" w14:textId="4413E9B5" w:rsidR="00644D1B" w:rsidRPr="00133140" w:rsidRDefault="00644D1B" w:rsidP="00644D1B">
      <w:pPr>
        <w:spacing w:line="278" w:lineRule="auto"/>
        <w:jc w:val="both"/>
        <w:rPr>
          <w:rFonts w:ascii="Cambria" w:eastAsia="DengXian" w:hAnsi="Cambria" w:cs="Times New Roman"/>
          <w:b w:val="0"/>
          <w:szCs w:val="24"/>
          <w:lang w:eastAsia="zh-CN"/>
          <w14:ligatures w14:val="standardContextual"/>
        </w:rPr>
      </w:pPr>
      <w:r w:rsidRPr="00133140">
        <w:rPr>
          <w:rFonts w:ascii="Cambria" w:eastAsia="DengXian" w:hAnsi="Cambria" w:cs="Times New Roman"/>
          <w:b w:val="0"/>
          <w:szCs w:val="24"/>
          <w:lang w:eastAsia="zh-CN"/>
          <w14:ligatures w14:val="standardContextual"/>
        </w:rPr>
        <w:t>La Corne de l’Afrique – qui correspond aujourd’hui aux États suivants : Éthiopie, Érythrée, Djibouti, Somalie, Somaliland – était dominée à l’époque médiévale (entre VIII</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/IX</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xml:space="preserve"> et XVI</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xml:space="preserve"> siècle) par le royaume chrétien d’Éthiopie et par des sultanats islamiques éthiopiens. La singularité de cet ensemble est documentaire : le corpus des textes, endogènes ou exogènes, est remarquable et il nous permet de retracer les relations que ces entités ont noué avec le monde proche (Yémen, Arabie, Nubie), plus lointain (Égypte, Terre Sainte), voire très lointain (États et cités méditerranéens, pays riverains de l’océan Indien), aussi bien donc dans des terres d’Islam que dans des régions chrétiennes. On s’intéressera en particulier, dans le cadre d’une histoire culturelle, aux circulations des idées, des hommes et des marchandises.</w:t>
      </w:r>
    </w:p>
    <w:p w14:paraId="16A0E5C9" w14:textId="77777777" w:rsidR="00644D1B" w:rsidRPr="00133140" w:rsidRDefault="00644D1B" w:rsidP="00644D1B">
      <w:pPr>
        <w:spacing w:line="278" w:lineRule="auto"/>
        <w:jc w:val="both"/>
        <w:rPr>
          <w:rFonts w:ascii="Cambria" w:eastAsia="DengXian" w:hAnsi="Cambria" w:cs="Times New Roman"/>
          <w:sz w:val="22"/>
          <w:szCs w:val="24"/>
          <w:lang w:eastAsia="zh-CN"/>
          <w14:ligatures w14:val="standardContextual"/>
        </w:rPr>
      </w:pPr>
      <w:r w:rsidRPr="00133140">
        <w:rPr>
          <w:rFonts w:ascii="Cambria" w:eastAsia="DengXian" w:hAnsi="Cambria" w:cs="Times New Roman"/>
          <w:bCs/>
          <w:sz w:val="22"/>
          <w:szCs w:val="24"/>
          <w:lang w:eastAsia="zh-CN"/>
          <w14:ligatures w14:val="standardContextual"/>
        </w:rPr>
        <w:t>Parmi les thèmes abordés</w:t>
      </w:r>
      <w:r w:rsidRPr="00133140">
        <w:rPr>
          <w:rFonts w:ascii="Cambria" w:eastAsia="DengXian" w:hAnsi="Cambria" w:cs="Times New Roman"/>
          <w:b w:val="0"/>
          <w:sz w:val="22"/>
          <w:szCs w:val="24"/>
          <w:lang w:eastAsia="zh-CN"/>
          <w14:ligatures w14:val="standardContextual"/>
        </w:rPr>
        <w:t> :</w:t>
      </w:r>
    </w:p>
    <w:p w14:paraId="359BFEED"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 legs de l’Antiquité : le royaume d’Aksum et les royaumes sud-arabiques</w:t>
      </w:r>
    </w:p>
    <w:p w14:paraId="3C8F98B3"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L’Église chrétienne d’Éthiopie et l’Église copte d’Égypte</w:t>
      </w:r>
    </w:p>
    <w:p w14:paraId="6BE1D342"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Jérusalem comme horizon du royaume chrétien d’Éthiopie</w:t>
      </w:r>
    </w:p>
    <w:p w14:paraId="517268B6"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cultures lettrées en Éthiopie</w:t>
      </w:r>
    </w:p>
    <w:p w14:paraId="2D27F0F3"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voies de l’islamisation à partir du VIII</w:t>
      </w:r>
      <w:r w:rsidRPr="00133140">
        <w:rPr>
          <w:rFonts w:ascii="Cambria" w:eastAsia="DengXian" w:hAnsi="Cambria"/>
          <w:b w:val="0"/>
          <w:sz w:val="22"/>
          <w:szCs w:val="24"/>
          <w:vertAlign w:val="superscript"/>
          <w:lang w:eastAsia="zh-CN"/>
          <w14:ligatures w14:val="standardContextual"/>
        </w:rPr>
        <w:t>e</w:t>
      </w:r>
      <w:r w:rsidRPr="00133140">
        <w:rPr>
          <w:rFonts w:ascii="Cambria" w:eastAsia="DengXian" w:hAnsi="Cambria"/>
          <w:b w:val="0"/>
          <w:sz w:val="22"/>
          <w:szCs w:val="24"/>
          <w:lang w:eastAsia="zh-CN"/>
          <w14:ligatures w14:val="standardContextual"/>
        </w:rPr>
        <w:t xml:space="preserve"> siècle</w:t>
      </w:r>
    </w:p>
    <w:p w14:paraId="70536427"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La Corne de l’Afrique dans la cartographie arabe et européenne</w:t>
      </w:r>
    </w:p>
    <w:p w14:paraId="4A36301E"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sultanats islamiques d’Éthiopie et leurs relations avec le monde musulman</w:t>
      </w:r>
    </w:p>
    <w:p w14:paraId="1BE0C3CB"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modèles du monachisme éthiopien</w:t>
      </w:r>
    </w:p>
    <w:p w14:paraId="18C414DF"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Ambassades et pèlerins éthiopiens en Europe</w:t>
      </w:r>
    </w:p>
    <w:p w14:paraId="4C44B5A5" w14:textId="53D2DCED"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Figures d’Ethiopiens dans la peinture occidentale</w:t>
      </w:r>
    </w:p>
    <w:p w14:paraId="4E1D64BC"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p>
    <w:p w14:paraId="02F9583B" w14:textId="77777777" w:rsidR="00644D1B" w:rsidRPr="00133140" w:rsidRDefault="00644D1B" w:rsidP="00644D1B">
      <w:pPr>
        <w:spacing w:line="278" w:lineRule="auto"/>
        <w:jc w:val="both"/>
        <w:rPr>
          <w:rFonts w:ascii="Cambria" w:eastAsia="DengXian" w:hAnsi="Cambria" w:cs="Times New Roman"/>
          <w:sz w:val="22"/>
          <w:szCs w:val="24"/>
          <w:lang w:val="en-US" w:eastAsia="zh-CN"/>
          <w14:ligatures w14:val="standardContextual"/>
        </w:rPr>
      </w:pPr>
      <w:r w:rsidRPr="00133140">
        <w:rPr>
          <w:rFonts w:ascii="Cambria" w:eastAsia="DengXian" w:hAnsi="Cambria" w:cs="Times New Roman"/>
          <w:sz w:val="22"/>
          <w:szCs w:val="24"/>
          <w:lang w:val="en-US" w:eastAsia="zh-CN"/>
          <w14:ligatures w14:val="standardContextual"/>
        </w:rPr>
        <w:t>Bibliographie</w:t>
      </w:r>
    </w:p>
    <w:p w14:paraId="32BA8861" w14:textId="77777777" w:rsidR="00644D1B" w:rsidRPr="00133140" w:rsidRDefault="00644D1B" w:rsidP="00644D1B">
      <w:pPr>
        <w:spacing w:line="278" w:lineRule="auto"/>
        <w:jc w:val="both"/>
        <w:rPr>
          <w:rFonts w:ascii="Cambria" w:eastAsia="DengXian" w:hAnsi="Cambria" w:cs="Times New Roman"/>
          <w:i/>
          <w:sz w:val="22"/>
          <w:szCs w:val="24"/>
          <w:lang w:val="en-US" w:eastAsia="zh-CN"/>
          <w14:ligatures w14:val="standardContextual"/>
        </w:rPr>
      </w:pPr>
      <w:r w:rsidRPr="00133140">
        <w:rPr>
          <w:rFonts w:ascii="Cambria" w:eastAsia="DengXian" w:hAnsi="Cambria" w:cs="Times New Roman"/>
          <w:i/>
          <w:smallCaps/>
          <w:sz w:val="22"/>
          <w:szCs w:val="24"/>
          <w:lang w:val="en-US" w:eastAsia="zh-CN"/>
          <w14:ligatures w14:val="standardContextual"/>
        </w:rPr>
        <w:t>O</w:t>
      </w:r>
      <w:r w:rsidRPr="00133140">
        <w:rPr>
          <w:rFonts w:ascii="Cambria" w:eastAsia="DengXian" w:hAnsi="Cambria" w:cs="Times New Roman"/>
          <w:i/>
          <w:sz w:val="22"/>
          <w:szCs w:val="24"/>
          <w:lang w:val="en-US" w:eastAsia="zh-CN"/>
          <w14:ligatures w14:val="standardContextual"/>
        </w:rPr>
        <w:t>utils de travail</w:t>
      </w:r>
    </w:p>
    <w:p w14:paraId="390ECCE1" w14:textId="77777777" w:rsidR="00644D1B" w:rsidRPr="00133140" w:rsidRDefault="00644D1B" w:rsidP="00644D1B">
      <w:pPr>
        <w:spacing w:line="278" w:lineRule="auto"/>
        <w:jc w:val="both"/>
        <w:rPr>
          <w:rFonts w:ascii="Cambria" w:eastAsia="DengXian" w:hAnsi="Cambria" w:cs="Times New Roman"/>
          <w:i/>
          <w:sz w:val="22"/>
          <w:szCs w:val="24"/>
          <w:lang w:val="en-US" w:eastAsia="zh-CN"/>
          <w14:ligatures w14:val="standardContextual"/>
        </w:rPr>
      </w:pPr>
      <w:r w:rsidRPr="00133140">
        <w:rPr>
          <w:rFonts w:ascii="Cambria" w:eastAsia="DengXian" w:hAnsi="Cambria" w:cs="Times New Roman"/>
          <w:b w:val="0"/>
          <w:i/>
          <w:smallCaps/>
          <w:sz w:val="22"/>
          <w:szCs w:val="24"/>
          <w:lang w:val="en-US" w:eastAsia="zh-CN"/>
          <w14:ligatures w14:val="standardContextual"/>
        </w:rPr>
        <w:t>Kelly</w:t>
      </w:r>
      <w:r w:rsidRPr="00133140">
        <w:rPr>
          <w:rFonts w:ascii="Cambria" w:eastAsia="DengXian" w:hAnsi="Cambria" w:cs="Times New Roman"/>
          <w:b w:val="0"/>
          <w:i/>
          <w:sz w:val="22"/>
          <w:szCs w:val="24"/>
          <w:lang w:val="en-US" w:eastAsia="zh-CN"/>
          <w14:ligatures w14:val="standardContextual"/>
        </w:rPr>
        <w:t>, Samantha (ed.),</w:t>
      </w:r>
      <w:r w:rsidRPr="00133140">
        <w:rPr>
          <w:rFonts w:ascii="Cambria" w:eastAsia="DengXian" w:hAnsi="Cambria" w:cs="Times New Roman"/>
          <w:b w:val="0"/>
          <w:i/>
          <w:iCs/>
          <w:sz w:val="22"/>
          <w:szCs w:val="24"/>
          <w:lang w:val="en-US" w:eastAsia="zh-CN"/>
          <w14:ligatures w14:val="standardContextual"/>
        </w:rPr>
        <w:t xml:space="preserve"> A Companion guide to Medieval Ethiopia and Eritrea</w:t>
      </w:r>
      <w:r w:rsidRPr="00133140">
        <w:rPr>
          <w:rFonts w:ascii="Cambria" w:eastAsia="DengXian" w:hAnsi="Cambria" w:cs="Times New Roman"/>
          <w:b w:val="0"/>
          <w:i/>
          <w:sz w:val="22"/>
          <w:szCs w:val="24"/>
          <w:lang w:val="en-US" w:eastAsia="zh-CN"/>
          <w14:ligatures w14:val="standardContextual"/>
        </w:rPr>
        <w:t>, Brill, 2020.</w:t>
      </w:r>
    </w:p>
    <w:p w14:paraId="07D6A3D7" w14:textId="77777777" w:rsidR="00644D1B" w:rsidRPr="00133140" w:rsidRDefault="00644D1B" w:rsidP="00644D1B">
      <w:pPr>
        <w:spacing w:line="278" w:lineRule="auto"/>
        <w:jc w:val="both"/>
        <w:rPr>
          <w:rFonts w:ascii="Cambria" w:eastAsia="Calibri" w:hAnsi="Cambria" w:cs="Times New Roman"/>
          <w:b w:val="0"/>
          <w:i/>
          <w:sz w:val="22"/>
          <w:szCs w:val="24"/>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 xml:space="preserve">Uhlig </w:t>
      </w:r>
      <w:r w:rsidRPr="00133140">
        <w:rPr>
          <w:rFonts w:ascii="Cambria" w:eastAsia="Calibri" w:hAnsi="Cambria" w:cs="Times New Roman"/>
          <w:b w:val="0"/>
          <w:i/>
          <w:sz w:val="22"/>
          <w:szCs w:val="24"/>
          <w:lang w:val="en-US" w:eastAsia="zh-CN"/>
          <w14:ligatures w14:val="standardContextual"/>
        </w:rPr>
        <w:t xml:space="preserve">Siegbert et </w:t>
      </w:r>
      <w:r w:rsidRPr="00133140">
        <w:rPr>
          <w:rFonts w:ascii="Cambria" w:eastAsia="Calibri" w:hAnsi="Cambria" w:cs="Times New Roman"/>
          <w:b w:val="0"/>
          <w:i/>
          <w:iCs/>
          <w:sz w:val="22"/>
          <w:szCs w:val="24"/>
          <w:lang w:val="en-US" w:eastAsia="zh-CN"/>
          <w14:ligatures w14:val="standardContextual"/>
        </w:rPr>
        <w:t>alii</w:t>
      </w:r>
      <w:r w:rsidRPr="00133140">
        <w:rPr>
          <w:rFonts w:ascii="Cambria" w:eastAsia="Calibri" w:hAnsi="Cambria" w:cs="Times New Roman"/>
          <w:b w:val="0"/>
          <w:i/>
          <w:sz w:val="22"/>
          <w:szCs w:val="24"/>
          <w:lang w:val="en-US" w:eastAsia="zh-CN"/>
          <w14:ligatures w14:val="standardContextual"/>
        </w:rPr>
        <w:t xml:space="preserve">. (ed.), </w:t>
      </w:r>
      <w:r w:rsidRPr="00133140">
        <w:rPr>
          <w:rFonts w:ascii="Cambria" w:eastAsia="Calibri" w:hAnsi="Cambria" w:cs="Times New Roman"/>
          <w:b w:val="0"/>
          <w:i/>
          <w:iCs/>
          <w:sz w:val="22"/>
          <w:szCs w:val="24"/>
          <w:lang w:val="en-US" w:eastAsia="zh-CN"/>
          <w14:ligatures w14:val="standardContextual"/>
        </w:rPr>
        <w:t>Encyclopaedia Aethiopica</w:t>
      </w:r>
      <w:r w:rsidRPr="00133140">
        <w:rPr>
          <w:rFonts w:ascii="Cambria" w:eastAsia="Calibri" w:hAnsi="Cambria" w:cs="Times New Roman"/>
          <w:b w:val="0"/>
          <w:i/>
          <w:sz w:val="22"/>
          <w:szCs w:val="24"/>
          <w:lang w:val="en-US" w:eastAsia="zh-CN"/>
          <w14:ligatures w14:val="standardContextual"/>
        </w:rPr>
        <w:t>, vol. 1 A-C, vol. 2 D-Ha, vol. 3 He-N, vol. 4 O-X, vol. 5 Y-Z, Wiesbaden, Harrassowitz, (2003-2014).</w:t>
      </w:r>
    </w:p>
    <w:p w14:paraId="50582940" w14:textId="77777777" w:rsidR="00644D1B" w:rsidRPr="00133140" w:rsidRDefault="00644D1B" w:rsidP="00644D1B">
      <w:pPr>
        <w:spacing w:line="278" w:lineRule="auto"/>
        <w:jc w:val="both"/>
        <w:rPr>
          <w:rFonts w:ascii="Cambria" w:eastAsia="Calibri" w:hAnsi="Cambria" w:cs="Times New Roman"/>
          <w:bCs/>
          <w:i/>
          <w:sz w:val="22"/>
          <w:szCs w:val="24"/>
          <w:lang w:eastAsia="zh-CN"/>
          <w14:ligatures w14:val="standardContextual"/>
        </w:rPr>
      </w:pPr>
      <w:r w:rsidRPr="00133140">
        <w:rPr>
          <w:rFonts w:ascii="Cambria" w:eastAsia="Calibri" w:hAnsi="Cambria" w:cs="Times New Roman"/>
          <w:bCs/>
          <w:i/>
          <w:sz w:val="22"/>
          <w:szCs w:val="24"/>
          <w:lang w:eastAsia="zh-CN"/>
          <w14:ligatures w14:val="standardContextual"/>
        </w:rPr>
        <w:t>Première lecture</w:t>
      </w:r>
    </w:p>
    <w:p w14:paraId="6133544A" w14:textId="77777777" w:rsidR="00644D1B" w:rsidRPr="00133140" w:rsidRDefault="00644D1B" w:rsidP="00644D1B">
      <w:pPr>
        <w:spacing w:line="278" w:lineRule="auto"/>
        <w:jc w:val="both"/>
        <w:rPr>
          <w:rFonts w:ascii="Cambria" w:eastAsia="DengXian" w:hAnsi="Cambria" w:cs="Times New Roman"/>
          <w:b w:val="0"/>
          <w:i/>
          <w:iCs/>
          <w:sz w:val="22"/>
          <w:szCs w:val="24"/>
          <w:lang w:eastAsia="zh-CN"/>
          <w14:ligatures w14:val="standardContextual"/>
        </w:rPr>
      </w:pPr>
      <w:r w:rsidRPr="00133140">
        <w:rPr>
          <w:rFonts w:ascii="Cambria" w:eastAsia="Calibri" w:hAnsi="Cambria" w:cs="Times New Roman"/>
          <w:b w:val="0"/>
          <w:iCs/>
          <w:sz w:val="22"/>
          <w:szCs w:val="24"/>
          <w:lang w:eastAsia="zh-CN"/>
          <w14:ligatures w14:val="standardContextual"/>
        </w:rPr>
        <w:t xml:space="preserve">Pour se familiariser avec l’histoire de l’Afrique au Moyen Age, il est recommandé de lire le livre de </w:t>
      </w:r>
      <w:r w:rsidRPr="00133140">
        <w:rPr>
          <w:rFonts w:ascii="Cambria" w:eastAsia="DengXian" w:hAnsi="Cambria" w:cs="Times New Roman"/>
          <w:b w:val="0"/>
          <w:i/>
          <w:iCs/>
          <w:sz w:val="22"/>
          <w:szCs w:val="24"/>
          <w:lang w:eastAsia="zh-CN"/>
          <w14:ligatures w14:val="standardContextual"/>
        </w:rPr>
        <w:t xml:space="preserve">François-Xavier </w:t>
      </w:r>
      <w:r w:rsidRPr="00133140">
        <w:rPr>
          <w:rFonts w:ascii="Cambria" w:eastAsia="DengXian" w:hAnsi="Cambria" w:cs="Times New Roman"/>
          <w:b w:val="0"/>
          <w:i/>
          <w:smallCaps/>
          <w:sz w:val="22"/>
          <w:szCs w:val="24"/>
          <w:lang w:eastAsia="zh-CN"/>
          <w14:ligatures w14:val="standardContextual"/>
        </w:rPr>
        <w:t xml:space="preserve">Fauvelle, </w:t>
      </w:r>
      <w:r w:rsidRPr="00133140">
        <w:rPr>
          <w:rFonts w:ascii="Cambria" w:eastAsia="DengXian" w:hAnsi="Cambria" w:cs="Times New Roman"/>
          <w:b w:val="0"/>
          <w:i/>
          <w:sz w:val="22"/>
          <w:szCs w:val="24"/>
          <w:lang w:eastAsia="zh-CN"/>
          <w14:ligatures w14:val="standardContextual"/>
        </w:rPr>
        <w:t>Le rhinocéros d’or. Histoires du Moyen Age africain</w:t>
      </w:r>
      <w:r w:rsidRPr="00133140">
        <w:rPr>
          <w:rFonts w:ascii="Cambria" w:eastAsia="DengXian" w:hAnsi="Cambria" w:cs="Times New Roman"/>
          <w:b w:val="0"/>
          <w:i/>
          <w:iCs/>
          <w:sz w:val="22"/>
          <w:szCs w:val="24"/>
          <w:lang w:eastAsia="zh-CN"/>
          <w14:ligatures w14:val="standardContextual"/>
        </w:rPr>
        <w:t>, 2014, Paris (édition récente et augmentée dans la collection de poche « Texto », Tallandier, 2024)</w:t>
      </w:r>
    </w:p>
    <w:p w14:paraId="06AB9FD3" w14:textId="77777777" w:rsidR="003225C8" w:rsidRPr="00133140" w:rsidRDefault="003225C8" w:rsidP="00644D1B">
      <w:pPr>
        <w:spacing w:line="278" w:lineRule="auto"/>
        <w:jc w:val="both"/>
        <w:rPr>
          <w:rFonts w:ascii="Cambria" w:eastAsia="DengXian" w:hAnsi="Cambria" w:cs="Times New Roman"/>
          <w:bCs/>
          <w:i/>
          <w:iCs/>
          <w:sz w:val="22"/>
          <w:szCs w:val="24"/>
          <w:lang w:eastAsia="zh-CN"/>
          <w14:ligatures w14:val="standardContextual"/>
        </w:rPr>
      </w:pPr>
    </w:p>
    <w:p w14:paraId="09358523" w14:textId="1F367177" w:rsidR="00644D1B" w:rsidRPr="00133140" w:rsidRDefault="00644D1B" w:rsidP="00644D1B">
      <w:pPr>
        <w:spacing w:line="278" w:lineRule="auto"/>
        <w:jc w:val="both"/>
        <w:rPr>
          <w:rFonts w:ascii="Cambria" w:eastAsia="DengXian" w:hAnsi="Cambria" w:cs="Times New Roman"/>
          <w:bCs/>
          <w:i/>
          <w:iCs/>
          <w:sz w:val="22"/>
          <w:szCs w:val="24"/>
          <w:lang w:val="en-US" w:eastAsia="zh-CN"/>
          <w14:ligatures w14:val="standardContextual"/>
        </w:rPr>
      </w:pPr>
      <w:r w:rsidRPr="00133140">
        <w:rPr>
          <w:rFonts w:ascii="Cambria" w:eastAsia="DengXian" w:hAnsi="Cambria" w:cs="Times New Roman"/>
          <w:bCs/>
          <w:i/>
          <w:iCs/>
          <w:sz w:val="22"/>
          <w:szCs w:val="24"/>
          <w:lang w:val="en-US" w:eastAsia="zh-CN"/>
          <w14:ligatures w14:val="standardContextual"/>
        </w:rPr>
        <w:t>Sur la thématique</w:t>
      </w:r>
    </w:p>
    <w:p w14:paraId="6541328E" w14:textId="77777777" w:rsidR="00644D1B" w:rsidRPr="00133140" w:rsidRDefault="00644D1B" w:rsidP="00644D1B">
      <w:pPr>
        <w:spacing w:line="278" w:lineRule="auto"/>
        <w:jc w:val="both"/>
        <w:rPr>
          <w:rFonts w:ascii="Cambria" w:eastAsia="DengXian" w:hAnsi="Cambria" w:cs="Times New Roman"/>
          <w:b w:val="0"/>
          <w:i/>
          <w:sz w:val="22"/>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Krebs</w:t>
      </w:r>
      <w:r w:rsidRPr="00133140">
        <w:rPr>
          <w:rFonts w:ascii="Cambria" w:eastAsia="DengXian" w:hAnsi="Cambria" w:cs="Times New Roman"/>
          <w:b w:val="0"/>
          <w:i/>
          <w:sz w:val="22"/>
          <w:lang w:val="en-US" w:eastAsia="zh-CN"/>
          <w14:ligatures w14:val="standardContextual"/>
        </w:rPr>
        <w:t>, Verena, Ethiopian Kingship, Craft, and Diplomacy with Latin Europe, Palgrave-Macmillan, 2021.</w:t>
      </w:r>
    </w:p>
    <w:p w14:paraId="113D5D30" w14:textId="77777777" w:rsidR="00644D1B" w:rsidRPr="00133140" w:rsidRDefault="00644D1B" w:rsidP="00644D1B">
      <w:pPr>
        <w:spacing w:line="278" w:lineRule="auto"/>
        <w:jc w:val="both"/>
        <w:rPr>
          <w:rFonts w:ascii="Cambria" w:eastAsia="DengXian" w:hAnsi="Cambria" w:cs="Times New Roman"/>
          <w:b w:val="0"/>
          <w:i/>
          <w:sz w:val="22"/>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Krebs</w:t>
      </w:r>
      <w:r w:rsidRPr="00133140">
        <w:rPr>
          <w:rFonts w:ascii="Cambria" w:eastAsia="DengXian" w:hAnsi="Cambria" w:cs="Times New Roman"/>
          <w:b w:val="0"/>
          <w:i/>
          <w:sz w:val="22"/>
          <w:lang w:val="en-US" w:eastAsia="zh-CN"/>
          <w14:ligatures w14:val="standardContextual"/>
        </w:rPr>
        <w:t xml:space="preserve">, Verena, </w:t>
      </w:r>
      <w:r w:rsidRPr="00133140">
        <w:rPr>
          <w:rFonts w:ascii="Cambria" w:eastAsia="Calibri" w:hAnsi="Cambria" w:cs="Times New Roman"/>
          <w:b w:val="0"/>
          <w:i/>
          <w:smallCaps/>
          <w:sz w:val="22"/>
          <w:szCs w:val="24"/>
          <w:lang w:val="en-US" w:eastAsia="zh-CN"/>
          <w14:ligatures w14:val="standardContextual"/>
        </w:rPr>
        <w:t>Yonatan</w:t>
      </w:r>
      <w:r w:rsidRPr="00133140">
        <w:rPr>
          <w:rFonts w:ascii="Cambria" w:eastAsia="DengXian" w:hAnsi="Cambria" w:cs="Times New Roman"/>
          <w:b w:val="0"/>
          <w:i/>
          <w:sz w:val="22"/>
          <w:lang w:val="en-US" w:eastAsia="zh-CN"/>
          <w14:ligatures w14:val="standardContextual"/>
        </w:rPr>
        <w:t xml:space="preserve"> </w:t>
      </w:r>
      <w:r w:rsidRPr="00133140">
        <w:rPr>
          <w:rFonts w:ascii="Cambria" w:eastAsia="Calibri" w:hAnsi="Cambria" w:cs="Times New Roman"/>
          <w:b w:val="0"/>
          <w:i/>
          <w:smallCaps/>
          <w:sz w:val="22"/>
          <w:szCs w:val="24"/>
          <w:lang w:val="en-US" w:eastAsia="zh-CN"/>
          <w14:ligatures w14:val="standardContextual"/>
        </w:rPr>
        <w:t>Binyam</w:t>
      </w:r>
      <w:r w:rsidRPr="00133140">
        <w:rPr>
          <w:rFonts w:ascii="Cambria" w:eastAsia="DengXian" w:hAnsi="Cambria" w:cs="Times New Roman"/>
          <w:b w:val="0"/>
          <w:i/>
          <w:sz w:val="22"/>
          <w:lang w:val="en-US" w:eastAsia="zh-CN"/>
          <w14:ligatures w14:val="standardContextual"/>
        </w:rPr>
        <w:t>, ‘Ethiopia’ and the World, 330-1500 CE, Cambridge University Press, 2024</w:t>
      </w:r>
    </w:p>
    <w:p w14:paraId="7A2CA79E" w14:textId="77777777" w:rsidR="00644D1B" w:rsidRPr="00133140" w:rsidRDefault="00644D1B" w:rsidP="00644D1B">
      <w:pPr>
        <w:spacing w:line="278" w:lineRule="auto"/>
        <w:jc w:val="both"/>
        <w:rPr>
          <w:rFonts w:ascii="Cambria" w:eastAsia="Calibri" w:hAnsi="Cambria" w:cs="Times New Roman"/>
          <w:i/>
          <w:sz w:val="22"/>
          <w:szCs w:val="24"/>
          <w:lang w:eastAsia="zh-CN"/>
          <w14:ligatures w14:val="standardContextual"/>
        </w:rPr>
      </w:pPr>
      <w:r w:rsidRPr="00133140">
        <w:rPr>
          <w:rFonts w:ascii="Cambria" w:eastAsia="Calibri" w:hAnsi="Cambria" w:cs="Times New Roman"/>
          <w:i/>
          <w:sz w:val="22"/>
          <w:szCs w:val="24"/>
          <w:lang w:eastAsia="zh-CN"/>
          <w14:ligatures w14:val="standardContextual"/>
        </w:rPr>
        <w:t>Lectures complémentaires</w:t>
      </w:r>
    </w:p>
    <w:p w14:paraId="1E27468C" w14:textId="77777777" w:rsidR="00644D1B" w:rsidRPr="00133140" w:rsidRDefault="00644D1B" w:rsidP="00644D1B">
      <w:pPr>
        <w:spacing w:line="278" w:lineRule="auto"/>
        <w:jc w:val="both"/>
        <w:rPr>
          <w:rFonts w:ascii="Cambria" w:eastAsia="Calibri" w:hAnsi="Cambria" w:cs="Times New Roman"/>
          <w:i/>
          <w:sz w:val="22"/>
          <w:szCs w:val="24"/>
          <w:lang w:eastAsia="zh-CN"/>
          <w14:ligatures w14:val="standardContextual"/>
        </w:rPr>
      </w:pPr>
      <w:r w:rsidRPr="00133140">
        <w:rPr>
          <w:rFonts w:ascii="Cambria" w:eastAsia="Calibri" w:hAnsi="Cambria" w:cs="Times New Roman"/>
          <w:b w:val="0"/>
          <w:i/>
          <w:smallCaps/>
          <w:sz w:val="22"/>
          <w:szCs w:val="24"/>
          <w:lang w:eastAsia="zh-CN"/>
          <w14:ligatures w14:val="standardContextual"/>
        </w:rPr>
        <w:t xml:space="preserve">Derat </w:t>
      </w:r>
      <w:r w:rsidRPr="00133140">
        <w:rPr>
          <w:rFonts w:ascii="Cambria" w:eastAsia="Calibri" w:hAnsi="Cambria" w:cs="Times New Roman"/>
          <w:b w:val="0"/>
          <w:i/>
          <w:sz w:val="22"/>
          <w:szCs w:val="24"/>
          <w:lang w:eastAsia="zh-CN"/>
          <w14:ligatures w14:val="standardContextual"/>
        </w:rPr>
        <w:t xml:space="preserve">Marie-Laure, </w:t>
      </w:r>
      <w:r w:rsidRPr="00133140">
        <w:rPr>
          <w:rFonts w:ascii="Cambria" w:eastAsia="Calibri" w:hAnsi="Cambria" w:cs="Times New Roman"/>
          <w:b w:val="0"/>
          <w:i/>
          <w:iCs/>
          <w:sz w:val="22"/>
          <w:szCs w:val="24"/>
          <w:lang w:eastAsia="zh-CN"/>
          <w14:ligatures w14:val="standardContextual"/>
        </w:rPr>
        <w:t>Le domaine des rois éthiopiens (1270-1527). Espace, pouvoir et monachisme.</w:t>
      </w:r>
      <w:r w:rsidRPr="00133140">
        <w:rPr>
          <w:rFonts w:ascii="Cambria" w:eastAsia="Calibri" w:hAnsi="Cambria" w:cs="Times New Roman"/>
          <w:b w:val="0"/>
          <w:i/>
          <w:sz w:val="22"/>
          <w:szCs w:val="24"/>
          <w:lang w:eastAsia="zh-CN"/>
          <w14:ligatures w14:val="standardContextual"/>
        </w:rPr>
        <w:t>, Paris, Publications de la Sorbonne, 2003.</w:t>
      </w:r>
    </w:p>
    <w:p w14:paraId="63CA1CEF" w14:textId="77777777" w:rsidR="00644D1B" w:rsidRPr="00133140" w:rsidRDefault="00644D1B" w:rsidP="00644D1B">
      <w:pPr>
        <w:spacing w:line="278" w:lineRule="auto"/>
        <w:jc w:val="both"/>
        <w:rPr>
          <w:rFonts w:ascii="Cambria" w:eastAsia="DengXian" w:hAnsi="Cambria" w:cs="Times New Roman"/>
          <w:i/>
          <w:sz w:val="22"/>
          <w:szCs w:val="24"/>
          <w:lang w:eastAsia="zh-CN"/>
          <w14:ligatures w14:val="standardContextual"/>
        </w:rPr>
      </w:pPr>
      <w:r w:rsidRPr="00133140">
        <w:rPr>
          <w:rFonts w:ascii="Cambria" w:eastAsia="DengXian" w:hAnsi="Cambria" w:cs="Times New Roman"/>
          <w:b w:val="0"/>
          <w:i/>
          <w:smallCaps/>
          <w:sz w:val="22"/>
          <w:szCs w:val="24"/>
          <w:lang w:eastAsia="zh-CN"/>
          <w14:ligatures w14:val="standardContextual"/>
        </w:rPr>
        <w:t>Fauvelle</w:t>
      </w:r>
      <w:r w:rsidRPr="00133140">
        <w:rPr>
          <w:rFonts w:ascii="Cambria" w:eastAsia="DengXian" w:hAnsi="Cambria" w:cs="Times New Roman"/>
          <w:b w:val="0"/>
          <w:i/>
          <w:iCs/>
          <w:sz w:val="22"/>
          <w:szCs w:val="24"/>
          <w:lang w:eastAsia="zh-CN"/>
          <w14:ligatures w14:val="standardContextual"/>
        </w:rPr>
        <w:t xml:space="preserve">, François-Xavier, </w:t>
      </w:r>
      <w:r w:rsidRPr="00133140">
        <w:rPr>
          <w:rFonts w:ascii="Cambria" w:eastAsia="DengXian" w:hAnsi="Cambria" w:cs="Times New Roman"/>
          <w:b w:val="0"/>
          <w:i/>
          <w:smallCaps/>
          <w:sz w:val="22"/>
          <w:szCs w:val="24"/>
          <w:lang w:eastAsia="zh-CN"/>
          <w14:ligatures w14:val="standardContextual"/>
        </w:rPr>
        <w:t>Hirsch</w:t>
      </w:r>
      <w:r w:rsidRPr="00133140">
        <w:rPr>
          <w:rFonts w:ascii="Cambria" w:eastAsia="DengXian" w:hAnsi="Cambria" w:cs="Times New Roman"/>
          <w:b w:val="0"/>
          <w:i/>
          <w:iCs/>
          <w:sz w:val="22"/>
          <w:szCs w:val="24"/>
          <w:lang w:eastAsia="zh-CN"/>
          <w14:ligatures w14:val="standardContextual"/>
        </w:rPr>
        <w:t xml:space="preserve">, Bertrand, </w:t>
      </w:r>
      <w:r w:rsidRPr="00133140">
        <w:rPr>
          <w:rFonts w:ascii="Cambria" w:eastAsia="DengXian" w:hAnsi="Cambria" w:cs="Times New Roman"/>
          <w:b w:val="0"/>
          <w:i/>
          <w:sz w:val="22"/>
          <w:szCs w:val="24"/>
          <w:lang w:eastAsia="zh-CN"/>
          <w14:ligatures w14:val="standardContextual"/>
        </w:rPr>
        <w:t>Espaces musulmans de la corne de l’Afrique au Moyen Age, Paris, De Boccard/Centre Français des Études Ethiopiennes, 2011, 159 p.</w:t>
      </w:r>
    </w:p>
    <w:p w14:paraId="5B18CE4F" w14:textId="77777777" w:rsidR="00C16092" w:rsidRPr="00133140" w:rsidRDefault="00C16092" w:rsidP="00C62270">
      <w:pPr>
        <w:spacing w:after="0" w:line="276" w:lineRule="auto"/>
        <w:contextualSpacing/>
        <w:jc w:val="both"/>
        <w:rPr>
          <w:rFonts w:ascii="Cambria" w:hAnsi="Cambria" w:cs="Times New Roman"/>
          <w:b w:val="0"/>
          <w:sz w:val="22"/>
        </w:rPr>
      </w:pPr>
    </w:p>
    <w:p w14:paraId="07E9E9CA" w14:textId="77777777" w:rsidR="009553AF" w:rsidRPr="00133140" w:rsidRDefault="009553AF" w:rsidP="009553AF">
      <w:pPr>
        <w:spacing w:line="276" w:lineRule="auto"/>
        <w:jc w:val="both"/>
        <w:rPr>
          <w:rFonts w:ascii="Cambria" w:hAnsi="Cambria" w:cs="Times New Roman"/>
          <w:b w:val="0"/>
          <w:color w:val="C00000"/>
          <w:sz w:val="22"/>
        </w:rPr>
      </w:pPr>
      <w:r w:rsidRPr="00133140">
        <w:rPr>
          <w:rFonts w:ascii="Cambria" w:hAnsi="Cambria" w:cs="Times New Roman"/>
          <w:bCs/>
          <w:color w:val="C00000"/>
          <w:sz w:val="22"/>
          <w:u w:val="single"/>
        </w:rPr>
        <w:t>Sujet du cours semestre 2</w:t>
      </w:r>
      <w:r w:rsidRPr="00133140">
        <w:rPr>
          <w:rFonts w:ascii="Cambria" w:hAnsi="Cambria" w:cs="Times New Roman"/>
          <w:bCs/>
          <w:color w:val="C00000"/>
          <w:sz w:val="22"/>
        </w:rPr>
        <w:t xml:space="preserve"> : </w:t>
      </w:r>
      <w:bookmarkStart w:id="13" w:name="_Hlk46126238"/>
      <w:r w:rsidRPr="00133140">
        <w:rPr>
          <w:rFonts w:ascii="Cambria" w:hAnsi="Cambria" w:cs="Times New Roman"/>
          <w:bCs/>
          <w:color w:val="C00000"/>
          <w:sz w:val="22"/>
        </w:rPr>
        <w:t>L’Afrique orientale et l’océan Indien : connexions, pouvoirs et écriture de l’histoire (VIII</w:t>
      </w:r>
      <w:r w:rsidRPr="00133140">
        <w:rPr>
          <w:rFonts w:ascii="Cambria" w:hAnsi="Cambria" w:cs="Times New Roman"/>
          <w:bCs/>
          <w:color w:val="C00000"/>
          <w:sz w:val="22"/>
          <w:vertAlign w:val="superscript"/>
        </w:rPr>
        <w:t>e</w:t>
      </w:r>
      <w:r w:rsidRPr="00133140">
        <w:rPr>
          <w:rFonts w:ascii="Cambria" w:hAnsi="Cambria" w:cs="Times New Roman"/>
          <w:bCs/>
          <w:color w:val="C00000"/>
          <w:sz w:val="22"/>
        </w:rPr>
        <w:t>-XVII</w:t>
      </w:r>
      <w:r w:rsidRPr="00133140">
        <w:rPr>
          <w:rFonts w:ascii="Cambria" w:hAnsi="Cambria" w:cs="Times New Roman"/>
          <w:bCs/>
          <w:color w:val="C00000"/>
          <w:sz w:val="22"/>
          <w:vertAlign w:val="superscript"/>
        </w:rPr>
        <w:t>e</w:t>
      </w:r>
      <w:r w:rsidRPr="00133140">
        <w:rPr>
          <w:rFonts w:ascii="Cambria" w:hAnsi="Cambria" w:cs="Times New Roman"/>
          <w:bCs/>
          <w:color w:val="C00000"/>
          <w:sz w:val="22"/>
        </w:rPr>
        <w:t xml:space="preserve"> siècle</w:t>
      </w:r>
      <w:bookmarkEnd w:id="13"/>
      <w:r w:rsidRPr="00133140">
        <w:rPr>
          <w:rFonts w:ascii="Cambria" w:hAnsi="Cambria" w:cs="Times New Roman"/>
          <w:bCs/>
          <w:color w:val="C00000"/>
          <w:sz w:val="22"/>
        </w:rPr>
        <w:t>)</w:t>
      </w:r>
      <w:r w:rsidRPr="00133140">
        <w:rPr>
          <w:rFonts w:ascii="Cambria" w:hAnsi="Cambria" w:cs="Times New Roman"/>
          <w:b w:val="0"/>
          <w:bCs/>
          <w:color w:val="C00000"/>
          <w:sz w:val="22"/>
        </w:rPr>
        <w:t xml:space="preserve"> </w:t>
      </w:r>
    </w:p>
    <w:p w14:paraId="49CBF429" w14:textId="65DAC18E"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Ce cours a pour objectif d’approfondir des problématiques incontournables de l’histoire de l’Afrique médiévale à travers le cas des régions de l’Afrique orientale associées aux échanges du bassin de l’océan Indien. Les espaces concernés s’étendent du sud de la Somalie au Zimbabwe actuels, ils incluent le monde swahili de la côte orientale de l’Afrique (Zanzibar, Kenya, Tanzanie, Mozambique actuels), ainsi que Madagascar. Ces sociétés africaines étaient en contact, direct ou indirect, avec le Moyen-Orient, l’Inde, l’Asie du Sud-Est, la Chine et plus tard l’Empire portugais. Elles furent actrices des flux de la première mondialisation et adoptèrent et adaptèrent de nouveaux modes de vie et de nouvelles pratiques. Une place importante sera accordée à l’apport de l’archéologie, à la culture matérielle, ainsi qu’à l’élaboration de discours sur le passé par les sociétés concernées. Les documents étudiés seront d’une grande diversité, reflétant les sources de l’histoire médiévale de l’Afrique : géographie arabe médiévale, représentations du monde dans l’Occident médiéval (tel Marco Polo), chroniques est-africaines, traditions orales, récits de voyage européens, archives impériales. Une grande attention sera portée à la construction des savoirs historiques et à la méthode de l’analyse textuelle, en particulier afin de dégager les voix africaines. En raison de sa dispersion, une partie de la bibliographie sera disponible sur l’EPI.</w:t>
      </w:r>
    </w:p>
    <w:p w14:paraId="038480C9" w14:textId="77777777" w:rsidR="006458D3" w:rsidRPr="00133140" w:rsidRDefault="006458D3" w:rsidP="009553AF">
      <w:pPr>
        <w:spacing w:line="240" w:lineRule="auto"/>
        <w:jc w:val="both"/>
        <w:rPr>
          <w:rFonts w:ascii="Cambria" w:hAnsi="Cambria" w:cs="Times New Roman"/>
          <w:b w:val="0"/>
          <w:sz w:val="22"/>
        </w:rPr>
      </w:pPr>
    </w:p>
    <w:p w14:paraId="30629F5D" w14:textId="14405834"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Les principaux thèmes étudiés sont les suivants :</w:t>
      </w:r>
    </w:p>
    <w:p w14:paraId="52887DCA"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xml:space="preserve">- Connexions maritimes : l’Afrique dans l’océan Indien, </w:t>
      </w:r>
    </w:p>
    <w:p w14:paraId="594E8167"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Modalités et formes de l’expansion de l’islam, hybridations culturelles,</w:t>
      </w:r>
    </w:p>
    <w:p w14:paraId="33C73026"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Culture matérielle et archives du contact, dialogue entre histoire et archéologie,</w:t>
      </w:r>
    </w:p>
    <w:p w14:paraId="7B8EF293"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Elaboration des savoirs géographiques médiévaux, mythes de fondation et écriture de l’histoire,</w:t>
      </w:r>
    </w:p>
    <w:p w14:paraId="35FCEA43"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Mondes urbains africains, construction des hiérarchies sociales, traites et esclavage,</w:t>
      </w:r>
    </w:p>
    <w:p w14:paraId="42B3E5BB"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Nouveaux contextes aux XVI</w:t>
      </w:r>
      <w:r w:rsidRPr="00133140">
        <w:rPr>
          <w:rFonts w:ascii="Cambria" w:hAnsi="Cambria" w:cs="Times New Roman"/>
          <w:b w:val="0"/>
          <w:sz w:val="22"/>
          <w:vertAlign w:val="superscript"/>
        </w:rPr>
        <w:t>e</w:t>
      </w:r>
      <w:r w:rsidRPr="00133140">
        <w:rPr>
          <w:rFonts w:ascii="Cambria" w:hAnsi="Cambria" w:cs="Times New Roman"/>
          <w:b w:val="0"/>
          <w:sz w:val="22"/>
        </w:rPr>
        <w:t>-XVII</w:t>
      </w:r>
      <w:r w:rsidRPr="00133140">
        <w:rPr>
          <w:rFonts w:ascii="Cambria" w:hAnsi="Cambria" w:cs="Times New Roman"/>
          <w:b w:val="0"/>
          <w:sz w:val="22"/>
          <w:vertAlign w:val="superscript"/>
        </w:rPr>
        <w:t>e</w:t>
      </w:r>
      <w:r w:rsidRPr="00133140">
        <w:rPr>
          <w:rFonts w:ascii="Cambria" w:hAnsi="Cambria" w:cs="Times New Roman"/>
          <w:b w:val="0"/>
          <w:sz w:val="22"/>
        </w:rPr>
        <w:t xml:space="preserve"> siècles : expansion européenne et agentivités africaines</w:t>
      </w:r>
    </w:p>
    <w:p w14:paraId="0A81052A" w14:textId="77777777" w:rsidR="009553AF" w:rsidRPr="00133140" w:rsidRDefault="009553AF" w:rsidP="009553AF">
      <w:pPr>
        <w:spacing w:line="276" w:lineRule="auto"/>
        <w:jc w:val="both"/>
        <w:rPr>
          <w:rFonts w:ascii="Cambria" w:hAnsi="Cambria" w:cs="Times New Roman"/>
          <w:bCs/>
          <w:sz w:val="22"/>
        </w:rPr>
      </w:pPr>
      <w:r w:rsidRPr="00133140">
        <w:rPr>
          <w:rFonts w:ascii="Cambria" w:hAnsi="Cambria" w:cs="Times New Roman"/>
          <w:bCs/>
          <w:sz w:val="22"/>
        </w:rPr>
        <w:t xml:space="preserve">Bibliographie indicative </w:t>
      </w:r>
    </w:p>
    <w:p w14:paraId="12AFC1A6" w14:textId="77777777" w:rsidR="009553AF" w:rsidRPr="00133140" w:rsidRDefault="009553AF" w:rsidP="009553AF">
      <w:pPr>
        <w:spacing w:after="0" w:line="360" w:lineRule="auto"/>
        <w:jc w:val="both"/>
        <w:rPr>
          <w:rFonts w:ascii="Cambria" w:eastAsia="Times New Roman" w:hAnsi="Cambria" w:cs="Times New Roman"/>
          <w:b w:val="0"/>
          <w:kern w:val="0"/>
          <w:sz w:val="22"/>
          <w:lang w:eastAsia="zh-CN"/>
        </w:rPr>
      </w:pPr>
      <w:r w:rsidRPr="00133140">
        <w:rPr>
          <w:rFonts w:ascii="Cambria" w:eastAsia="Times New Roman" w:hAnsi="Cambria" w:cs="Times New Roman"/>
          <w:b w:val="0"/>
          <w:caps/>
          <w:kern w:val="0"/>
          <w:sz w:val="22"/>
          <w:lang w:eastAsia="zh-CN"/>
        </w:rPr>
        <w:t xml:space="preserve">P. </w:t>
      </w:r>
      <w:r w:rsidRPr="00133140">
        <w:rPr>
          <w:rFonts w:ascii="Cambria" w:eastAsia="Times New Roman" w:hAnsi="Cambria" w:cs="Times New Roman"/>
          <w:b w:val="0"/>
          <w:smallCaps/>
          <w:kern w:val="0"/>
          <w:sz w:val="22"/>
          <w:lang w:eastAsia="zh-CN"/>
        </w:rPr>
        <w:t>Beaujard</w:t>
      </w:r>
      <w:r w:rsidRPr="00133140">
        <w:rPr>
          <w:rFonts w:ascii="Cambria" w:eastAsia="Times New Roman" w:hAnsi="Cambria" w:cs="Times New Roman"/>
          <w:b w:val="0"/>
          <w:kern w:val="0"/>
          <w:sz w:val="22"/>
          <w:lang w:eastAsia="zh-CN"/>
        </w:rPr>
        <w:t xml:space="preserve">, </w:t>
      </w:r>
      <w:r w:rsidRPr="00133140">
        <w:rPr>
          <w:rFonts w:ascii="Cambria" w:eastAsia="Times New Roman" w:hAnsi="Cambria" w:cs="Times New Roman"/>
          <w:b w:val="0"/>
          <w:i/>
          <w:kern w:val="0"/>
          <w:sz w:val="22"/>
          <w:lang w:eastAsia="zh-CN"/>
        </w:rPr>
        <w:t>Les mondes de l’océan Indien</w:t>
      </w:r>
      <w:r w:rsidRPr="00133140">
        <w:rPr>
          <w:rFonts w:ascii="Cambria" w:eastAsia="Times New Roman" w:hAnsi="Cambria" w:cs="Times New Roman"/>
          <w:b w:val="0"/>
          <w:kern w:val="0"/>
          <w:sz w:val="22"/>
          <w:lang w:eastAsia="zh-CN"/>
        </w:rPr>
        <w:t>, tome 2, Paris, Armand Colin, 2012.</w:t>
      </w:r>
    </w:p>
    <w:p w14:paraId="7BA4C947" w14:textId="77777777" w:rsidR="009553AF" w:rsidRPr="00133140" w:rsidRDefault="009553AF" w:rsidP="009553AF">
      <w:pPr>
        <w:spacing w:after="0" w:line="360" w:lineRule="auto"/>
        <w:jc w:val="both"/>
        <w:rPr>
          <w:rFonts w:ascii="Cambria" w:eastAsia="Times New Roman" w:hAnsi="Cambria" w:cs="Times New Roman"/>
          <w:b w:val="0"/>
          <w:iCs/>
          <w:kern w:val="0"/>
          <w:sz w:val="22"/>
          <w:lang w:val="en-US" w:eastAsia="zh-CN"/>
        </w:rPr>
      </w:pPr>
      <w:r w:rsidRPr="00133140">
        <w:rPr>
          <w:rFonts w:ascii="Cambria" w:eastAsia="Times New Roman" w:hAnsi="Cambria" w:cs="Times New Roman"/>
          <w:b w:val="0"/>
          <w:iCs/>
          <w:kern w:val="0"/>
          <w:sz w:val="22"/>
          <w:lang w:eastAsia="zh-CN"/>
        </w:rPr>
        <w:t xml:space="preserve">F.-X. </w:t>
      </w:r>
      <w:r w:rsidRPr="00133140">
        <w:rPr>
          <w:rFonts w:ascii="Cambria" w:eastAsia="Times New Roman" w:hAnsi="Cambria" w:cs="Times New Roman"/>
          <w:b w:val="0"/>
          <w:iCs/>
          <w:smallCaps/>
          <w:kern w:val="0"/>
          <w:sz w:val="22"/>
          <w:lang w:eastAsia="zh-CN"/>
        </w:rPr>
        <w:t>Fauvelle</w:t>
      </w:r>
      <w:r w:rsidRPr="00133140">
        <w:rPr>
          <w:rFonts w:ascii="Cambria" w:eastAsia="Times New Roman" w:hAnsi="Cambria" w:cs="Times New Roman"/>
          <w:b w:val="0"/>
          <w:iCs/>
          <w:kern w:val="0"/>
          <w:sz w:val="22"/>
          <w:lang w:eastAsia="zh-CN"/>
        </w:rPr>
        <w:t xml:space="preserve"> (dir.), </w:t>
      </w:r>
      <w:r w:rsidRPr="00133140">
        <w:rPr>
          <w:rFonts w:ascii="Cambria" w:eastAsia="Times New Roman" w:hAnsi="Cambria" w:cs="Times New Roman"/>
          <w:b w:val="0"/>
          <w:i/>
          <w:kern w:val="0"/>
          <w:sz w:val="22"/>
          <w:lang w:eastAsia="zh-CN"/>
        </w:rPr>
        <w:t xml:space="preserve">L’Afrique ancienne : De l’Acacus au Zimbabwe. </w:t>
      </w:r>
      <w:r w:rsidRPr="00133140">
        <w:rPr>
          <w:rFonts w:ascii="Cambria" w:eastAsia="Times New Roman" w:hAnsi="Cambria" w:cs="Times New Roman"/>
          <w:b w:val="0"/>
          <w:i/>
          <w:kern w:val="0"/>
          <w:sz w:val="22"/>
          <w:lang w:val="en-US" w:eastAsia="zh-CN"/>
        </w:rPr>
        <w:t>20 000 avant notre ère-XVIIe siècle</w:t>
      </w:r>
      <w:r w:rsidRPr="00133140">
        <w:rPr>
          <w:rFonts w:ascii="Cambria" w:eastAsia="Times New Roman" w:hAnsi="Cambria" w:cs="Times New Roman"/>
          <w:b w:val="0"/>
          <w:iCs/>
          <w:kern w:val="0"/>
          <w:sz w:val="22"/>
          <w:lang w:val="en-US" w:eastAsia="zh-CN"/>
        </w:rPr>
        <w:t>, Paris Belin, rééd. 2023.</w:t>
      </w:r>
    </w:p>
    <w:p w14:paraId="7BCAB009" w14:textId="77777777" w:rsidR="009553AF" w:rsidRPr="00133140" w:rsidRDefault="009553AF" w:rsidP="009553AF">
      <w:pPr>
        <w:spacing w:after="0" w:line="360" w:lineRule="auto"/>
        <w:jc w:val="both"/>
        <w:rPr>
          <w:rFonts w:ascii="Cambria" w:eastAsia="Times New Roman" w:hAnsi="Cambria" w:cs="Times New Roman"/>
          <w:b w:val="0"/>
          <w:kern w:val="0"/>
          <w:sz w:val="22"/>
          <w:lang w:val="en-US" w:eastAsia="zh-CN"/>
        </w:rPr>
      </w:pPr>
      <w:r w:rsidRPr="00133140">
        <w:rPr>
          <w:rFonts w:ascii="Cambria" w:eastAsia="Times New Roman" w:hAnsi="Cambria" w:cs="Times New Roman"/>
          <w:b w:val="0"/>
          <w:smallCaps/>
          <w:kern w:val="0"/>
          <w:sz w:val="22"/>
          <w:lang w:val="en-GB" w:eastAsia="zh-CN"/>
        </w:rPr>
        <w:t>S. Randrianja</w:t>
      </w:r>
      <w:r w:rsidRPr="00133140">
        <w:rPr>
          <w:rFonts w:ascii="Cambria" w:eastAsia="Times New Roman" w:hAnsi="Cambria" w:cs="Times New Roman"/>
          <w:b w:val="0"/>
          <w:kern w:val="0"/>
          <w:sz w:val="22"/>
          <w:lang w:val="en-GB" w:eastAsia="zh-CN"/>
        </w:rPr>
        <w:t xml:space="preserve"> et S. </w:t>
      </w:r>
      <w:r w:rsidRPr="00133140">
        <w:rPr>
          <w:rFonts w:ascii="Cambria" w:eastAsia="Times New Roman" w:hAnsi="Cambria" w:cs="Times New Roman"/>
          <w:b w:val="0"/>
          <w:smallCaps/>
          <w:kern w:val="0"/>
          <w:sz w:val="22"/>
          <w:lang w:val="en-GB" w:eastAsia="zh-CN"/>
        </w:rPr>
        <w:t>Ellis</w:t>
      </w:r>
      <w:r w:rsidRPr="00133140">
        <w:rPr>
          <w:rFonts w:ascii="Cambria" w:eastAsia="Times New Roman" w:hAnsi="Cambria" w:cs="Times New Roman"/>
          <w:b w:val="0"/>
          <w:kern w:val="0"/>
          <w:sz w:val="22"/>
          <w:lang w:val="en-GB" w:eastAsia="zh-CN"/>
        </w:rPr>
        <w:t xml:space="preserve">, </w:t>
      </w:r>
      <w:r w:rsidRPr="00133140">
        <w:rPr>
          <w:rFonts w:ascii="Cambria" w:eastAsia="Times New Roman" w:hAnsi="Cambria" w:cs="Times New Roman"/>
          <w:b w:val="0"/>
          <w:i/>
          <w:kern w:val="0"/>
          <w:sz w:val="22"/>
          <w:lang w:val="en-GB" w:eastAsia="zh-CN"/>
        </w:rPr>
        <w:t>Madagascar, a short history</w:t>
      </w:r>
      <w:r w:rsidRPr="00133140">
        <w:rPr>
          <w:rFonts w:ascii="Cambria" w:eastAsia="Times New Roman" w:hAnsi="Cambria" w:cs="Times New Roman"/>
          <w:b w:val="0"/>
          <w:kern w:val="0"/>
          <w:sz w:val="22"/>
          <w:lang w:val="en-GB" w:eastAsia="zh-CN"/>
        </w:rPr>
        <w:t>, Chicago, University of Chicago Press, 2009.</w:t>
      </w:r>
    </w:p>
    <w:p w14:paraId="29D0443B" w14:textId="77777777" w:rsidR="009553AF" w:rsidRPr="00133140" w:rsidRDefault="009553AF" w:rsidP="009553AF">
      <w:pPr>
        <w:spacing w:after="0" w:line="360" w:lineRule="auto"/>
        <w:jc w:val="both"/>
        <w:rPr>
          <w:rFonts w:ascii="Cambria" w:eastAsia="Times New Roman" w:hAnsi="Cambria" w:cs="Times New Roman"/>
          <w:b w:val="0"/>
          <w:kern w:val="0"/>
          <w:sz w:val="22"/>
          <w:lang w:eastAsia="zh-CN"/>
        </w:rPr>
      </w:pPr>
      <w:r w:rsidRPr="00133140">
        <w:rPr>
          <w:rFonts w:ascii="Cambria" w:eastAsia="Times New Roman" w:hAnsi="Cambria" w:cs="Times New Roman"/>
          <w:b w:val="0"/>
          <w:smallCaps/>
          <w:kern w:val="0"/>
          <w:sz w:val="22"/>
          <w:lang w:eastAsia="zh-CN"/>
        </w:rPr>
        <w:t>S. Urfer</w:t>
      </w:r>
      <w:r w:rsidRPr="00133140">
        <w:rPr>
          <w:rFonts w:ascii="Cambria" w:eastAsia="Times New Roman" w:hAnsi="Cambria" w:cs="Times New Roman"/>
          <w:b w:val="0"/>
          <w:kern w:val="0"/>
          <w:sz w:val="22"/>
          <w:lang w:eastAsia="zh-CN"/>
        </w:rPr>
        <w:t xml:space="preserve">, (dir.), </w:t>
      </w:r>
      <w:r w:rsidRPr="00133140">
        <w:rPr>
          <w:rFonts w:ascii="Cambria" w:eastAsia="Times New Roman" w:hAnsi="Cambria" w:cs="Times New Roman"/>
          <w:b w:val="0"/>
          <w:i/>
          <w:iCs/>
          <w:kern w:val="0"/>
          <w:sz w:val="22"/>
          <w:lang w:eastAsia="zh-CN"/>
        </w:rPr>
        <w:t>Histoire de Madagascar. La construction d’une nation</w:t>
      </w:r>
      <w:r w:rsidRPr="00133140">
        <w:rPr>
          <w:rFonts w:ascii="Cambria" w:eastAsia="Times New Roman" w:hAnsi="Cambria" w:cs="Times New Roman"/>
          <w:b w:val="0"/>
          <w:kern w:val="0"/>
          <w:sz w:val="22"/>
          <w:lang w:eastAsia="zh-CN"/>
        </w:rPr>
        <w:t>, Paris, Hémisphères, 2021.</w:t>
      </w:r>
    </w:p>
    <w:p w14:paraId="35D641C2" w14:textId="77777777" w:rsidR="009553AF" w:rsidRPr="00133140" w:rsidRDefault="009553AF" w:rsidP="009553AF">
      <w:pPr>
        <w:spacing w:after="0" w:line="360" w:lineRule="auto"/>
        <w:rPr>
          <w:rFonts w:ascii="Cambria" w:eastAsia="Times New Roman" w:hAnsi="Cambria" w:cs="Times New Roman"/>
          <w:b w:val="0"/>
          <w:kern w:val="0"/>
          <w:sz w:val="22"/>
          <w:lang w:val="en-US" w:eastAsia="zh-CN"/>
        </w:rPr>
      </w:pPr>
      <w:r w:rsidRPr="00133140">
        <w:rPr>
          <w:rFonts w:ascii="Cambria" w:eastAsia="Times New Roman" w:hAnsi="Cambria" w:cs="Times New Roman"/>
          <w:b w:val="0"/>
          <w:kern w:val="0"/>
          <w:sz w:val="22"/>
          <w:lang w:val="en-US" w:eastAsia="zh-CN"/>
        </w:rPr>
        <w:t xml:space="preserve">T. </w:t>
      </w:r>
      <w:r w:rsidRPr="00133140">
        <w:rPr>
          <w:rFonts w:ascii="Cambria" w:eastAsia="Times New Roman" w:hAnsi="Cambria" w:cs="Times New Roman"/>
          <w:b w:val="0"/>
          <w:smallCaps/>
          <w:kern w:val="0"/>
          <w:sz w:val="22"/>
          <w:lang w:val="en-US" w:eastAsia="zh-CN"/>
        </w:rPr>
        <w:t>Vernet-Habasque</w:t>
      </w:r>
      <w:r w:rsidRPr="00133140">
        <w:rPr>
          <w:rFonts w:ascii="Cambria" w:eastAsia="Times New Roman" w:hAnsi="Cambria" w:cs="Times New Roman"/>
          <w:b w:val="0"/>
          <w:kern w:val="0"/>
          <w:sz w:val="22"/>
          <w:lang w:val="en-US" w:eastAsia="zh-CN"/>
        </w:rPr>
        <w:t xml:space="preserve">, « Slave trade and urban slavery on the Swahili Coast from medieval times to abolition », </w:t>
      </w:r>
      <w:r w:rsidRPr="00133140">
        <w:rPr>
          <w:rFonts w:ascii="Cambria" w:eastAsia="Times New Roman" w:hAnsi="Cambria" w:cs="Times New Roman"/>
          <w:b w:val="0"/>
          <w:i/>
          <w:iCs/>
          <w:kern w:val="0"/>
          <w:sz w:val="22"/>
          <w:lang w:val="en-US" w:eastAsia="zh-CN"/>
        </w:rPr>
        <w:t>Oxford Research Encyclopedia of African History</w:t>
      </w:r>
      <w:r w:rsidRPr="00133140">
        <w:rPr>
          <w:rFonts w:ascii="Cambria" w:eastAsia="Times New Roman" w:hAnsi="Cambria" w:cs="Times New Roman"/>
          <w:b w:val="0"/>
          <w:kern w:val="0"/>
          <w:sz w:val="22"/>
          <w:lang w:val="en-US" w:eastAsia="zh-CN"/>
        </w:rPr>
        <w:t>, Oxford University Press, 2024, en ligne.</w:t>
      </w:r>
    </w:p>
    <w:p w14:paraId="5F094CE5" w14:textId="2240903B" w:rsidR="006458D3" w:rsidRPr="00133140" w:rsidRDefault="009553AF" w:rsidP="003225C8">
      <w:pPr>
        <w:spacing w:after="0" w:line="360" w:lineRule="auto"/>
        <w:rPr>
          <w:rFonts w:ascii="Cambria" w:eastAsia="Times New Roman" w:hAnsi="Cambria" w:cs="Times New Roman"/>
          <w:b w:val="0"/>
          <w:kern w:val="0"/>
          <w:sz w:val="22"/>
          <w:lang w:eastAsia="zh-CN"/>
        </w:rPr>
      </w:pPr>
      <w:r w:rsidRPr="00133140">
        <w:rPr>
          <w:rFonts w:ascii="Cambria" w:eastAsia="Times New Roman" w:hAnsi="Cambria" w:cs="Times New Roman"/>
          <w:b w:val="0"/>
          <w:kern w:val="0"/>
          <w:sz w:val="22"/>
          <w:lang w:eastAsia="zh-CN"/>
        </w:rPr>
        <w:t xml:space="preserve">S. </w:t>
      </w:r>
      <w:r w:rsidRPr="00133140">
        <w:rPr>
          <w:rFonts w:ascii="Cambria" w:eastAsia="Times New Roman" w:hAnsi="Cambria" w:cs="Times New Roman"/>
          <w:b w:val="0"/>
          <w:smallCaps/>
          <w:kern w:val="0"/>
          <w:sz w:val="22"/>
          <w:lang w:eastAsia="zh-CN"/>
        </w:rPr>
        <w:t>Wynne-Jones</w:t>
      </w:r>
      <w:r w:rsidRPr="00133140">
        <w:rPr>
          <w:rFonts w:ascii="Cambria" w:eastAsia="Times New Roman" w:hAnsi="Cambria" w:cs="Times New Roman"/>
          <w:b w:val="0"/>
          <w:kern w:val="0"/>
          <w:sz w:val="22"/>
          <w:lang w:eastAsia="zh-CN"/>
        </w:rPr>
        <w:t xml:space="preserve"> et A. </w:t>
      </w:r>
      <w:r w:rsidRPr="00133140">
        <w:rPr>
          <w:rFonts w:ascii="Cambria" w:eastAsia="Times New Roman" w:hAnsi="Cambria" w:cs="Times New Roman"/>
          <w:b w:val="0"/>
          <w:smallCaps/>
          <w:kern w:val="0"/>
          <w:sz w:val="22"/>
          <w:lang w:eastAsia="zh-CN"/>
        </w:rPr>
        <w:t>LaViolette</w:t>
      </w:r>
      <w:r w:rsidRPr="00133140">
        <w:rPr>
          <w:rFonts w:ascii="Cambria" w:eastAsia="Times New Roman" w:hAnsi="Cambria" w:cs="Times New Roman"/>
          <w:b w:val="0"/>
          <w:kern w:val="0"/>
          <w:sz w:val="22"/>
          <w:lang w:eastAsia="zh-CN"/>
        </w:rPr>
        <w:t xml:space="preserve"> (dir.), </w:t>
      </w:r>
      <w:r w:rsidRPr="00133140">
        <w:rPr>
          <w:rFonts w:ascii="Cambria" w:eastAsia="Times New Roman" w:hAnsi="Cambria" w:cs="Times New Roman"/>
          <w:b w:val="0"/>
          <w:i/>
          <w:iCs/>
          <w:kern w:val="0"/>
          <w:sz w:val="22"/>
          <w:lang w:eastAsia="zh-CN"/>
        </w:rPr>
        <w:t>The Swahili World</w:t>
      </w:r>
      <w:r w:rsidRPr="00133140">
        <w:rPr>
          <w:rFonts w:ascii="Cambria" w:eastAsia="Times New Roman" w:hAnsi="Cambria" w:cs="Times New Roman"/>
          <w:b w:val="0"/>
          <w:kern w:val="0"/>
          <w:sz w:val="22"/>
          <w:lang w:eastAsia="zh-CN"/>
        </w:rPr>
        <w:t xml:space="preserve">, Londres, Routledge, 2017. </w:t>
      </w:r>
    </w:p>
    <w:p w14:paraId="12B0FB80" w14:textId="2C8C5FEC" w:rsidR="00E94CB3" w:rsidRPr="00133140" w:rsidRDefault="00EE1768" w:rsidP="004207D8">
      <w:pPr>
        <w:spacing w:after="0" w:line="276" w:lineRule="auto"/>
        <w:contextualSpacing/>
        <w:jc w:val="center"/>
        <w:rPr>
          <w:rFonts w:ascii="Cambria" w:hAnsi="Cambria"/>
          <w:i/>
          <w:color w:val="C00000"/>
          <w:sz w:val="28"/>
          <w:lang w:eastAsia="en-US"/>
        </w:rPr>
      </w:pPr>
      <w:r w:rsidRPr="00133140">
        <w:rPr>
          <w:rFonts w:ascii="Cambria" w:hAnsi="Cambria"/>
          <w:i/>
          <w:color w:val="C00000"/>
          <w:sz w:val="28"/>
          <w:lang w:eastAsia="en-US"/>
        </w:rPr>
        <w:t>J3020519/J3020619</w:t>
      </w:r>
      <w:r w:rsidR="00E94CB3" w:rsidRPr="00133140">
        <w:rPr>
          <w:rFonts w:ascii="Cambria" w:hAnsi="Cambria"/>
          <w:i/>
          <w:color w:val="C00000"/>
          <w:sz w:val="28"/>
          <w:lang w:eastAsia="en-US"/>
        </w:rPr>
        <w:t xml:space="preserve"> : </w:t>
      </w:r>
      <w:r w:rsidR="00904D18" w:rsidRPr="00133140">
        <w:rPr>
          <w:rFonts w:ascii="Cambria" w:hAnsi="Cambria"/>
          <w:i/>
          <w:color w:val="C00000"/>
          <w:sz w:val="28"/>
          <w:lang w:eastAsia="en-US"/>
        </w:rPr>
        <w:t xml:space="preserve">Histoire du monde </w:t>
      </w:r>
      <w:r w:rsidR="00F43166" w:rsidRPr="00133140">
        <w:rPr>
          <w:rFonts w:ascii="Cambria" w:hAnsi="Cambria"/>
          <w:i/>
          <w:color w:val="C00000"/>
          <w:sz w:val="28"/>
          <w:lang w:eastAsia="en-US"/>
        </w:rPr>
        <w:t>byzantin</w:t>
      </w:r>
    </w:p>
    <w:p w14:paraId="769EF68E" w14:textId="77777777" w:rsidR="008861B3" w:rsidRPr="00133140" w:rsidRDefault="008861B3" w:rsidP="008861B3">
      <w:pPr>
        <w:spacing w:after="0" w:line="276" w:lineRule="auto"/>
        <w:contextualSpacing/>
        <w:jc w:val="center"/>
        <w:rPr>
          <w:rFonts w:ascii="Cambria" w:hAnsi="Cambria" w:cs="Times New Roman"/>
          <w:sz w:val="22"/>
        </w:rPr>
      </w:pPr>
    </w:p>
    <w:p w14:paraId="60208783" w14:textId="0D43F7D2" w:rsidR="008861B3" w:rsidRPr="00133140" w:rsidRDefault="008861B3" w:rsidP="00812CE1">
      <w:pPr>
        <w:spacing w:after="0" w:line="276" w:lineRule="auto"/>
        <w:contextualSpacing/>
        <w:jc w:val="center"/>
        <w:rPr>
          <w:rFonts w:ascii="Cambria" w:hAnsi="Cambria" w:cs="Times New Roman"/>
          <w:sz w:val="22"/>
        </w:rPr>
      </w:pPr>
      <w:r w:rsidRPr="00133140">
        <w:rPr>
          <w:rFonts w:ascii="Cambria" w:hAnsi="Cambria" w:cs="Times New Roman"/>
          <w:sz w:val="22"/>
        </w:rPr>
        <w:t>Sophie Métivier (CM),</w:t>
      </w:r>
      <w:r w:rsidR="00BF63AD" w:rsidRPr="00133140">
        <w:rPr>
          <w:rFonts w:ascii="Cambria" w:hAnsi="Cambria" w:cs="Times New Roman"/>
          <w:sz w:val="22"/>
        </w:rPr>
        <w:t xml:space="preserve"> Bastien Dumont (TD)</w:t>
      </w:r>
    </w:p>
    <w:p w14:paraId="2FAB80F7" w14:textId="77777777" w:rsidR="00274E24" w:rsidRPr="00133140" w:rsidRDefault="00274E24" w:rsidP="00274E24">
      <w:pPr>
        <w:spacing w:after="0" w:line="276" w:lineRule="auto"/>
        <w:contextualSpacing/>
        <w:rPr>
          <w:rFonts w:ascii="Cambria" w:hAnsi="Cambria" w:cs="Times New Roman"/>
          <w:sz w:val="22"/>
        </w:rPr>
      </w:pPr>
    </w:p>
    <w:p w14:paraId="6D5D620E" w14:textId="1F1C9A41" w:rsidR="00851A79" w:rsidRPr="00133140" w:rsidRDefault="00F024F2" w:rsidP="00851A79">
      <w:pPr>
        <w:jc w:val="both"/>
        <w:rPr>
          <w:rFonts w:ascii="Cambria" w:hAnsi="Cambria" w:cs="Times New Roman"/>
          <w:b w:val="0"/>
          <w:color w:val="C00000"/>
          <w:sz w:val="22"/>
        </w:rPr>
      </w:pPr>
      <w:r w:rsidRPr="00133140">
        <w:rPr>
          <w:rFonts w:ascii="Cambria" w:hAnsi="Cambria" w:cs="Times New Roman"/>
          <w:color w:val="C00000"/>
          <w:sz w:val="22"/>
          <w:u w:val="single"/>
        </w:rPr>
        <w:t>Sujet du cours</w:t>
      </w:r>
      <w:r w:rsidRPr="00133140">
        <w:rPr>
          <w:rFonts w:ascii="Cambria" w:hAnsi="Cambria" w:cs="Times New Roman"/>
          <w:b w:val="0"/>
          <w:color w:val="C00000"/>
          <w:sz w:val="22"/>
          <w:u w:val="single"/>
        </w:rPr>
        <w:t xml:space="preserve"> </w:t>
      </w:r>
      <w:r w:rsidR="00D67C89" w:rsidRPr="00133140">
        <w:rPr>
          <w:rFonts w:ascii="Cambria" w:hAnsi="Cambria" w:cs="Times New Roman"/>
          <w:color w:val="C00000"/>
          <w:sz w:val="22"/>
          <w:u w:val="single"/>
        </w:rPr>
        <w:t>semestre 1</w:t>
      </w:r>
      <w:r w:rsidRPr="00133140">
        <w:rPr>
          <w:rFonts w:ascii="Cambria" w:hAnsi="Cambria" w:cs="Times New Roman"/>
          <w:color w:val="C00000"/>
          <w:sz w:val="22"/>
        </w:rPr>
        <w:t xml:space="preserve"> : </w:t>
      </w:r>
      <w:r w:rsidR="00F43166" w:rsidRPr="00133140">
        <w:rPr>
          <w:rFonts w:ascii="Cambria" w:hAnsi="Cambria" w:cs="Times New Roman"/>
          <w:color w:val="C00000"/>
          <w:sz w:val="22"/>
        </w:rPr>
        <w:t>Le nouvel Empire (717-813)</w:t>
      </w:r>
    </w:p>
    <w:p w14:paraId="20FB72C0" w14:textId="77777777" w:rsidR="00F43166" w:rsidRPr="00133140" w:rsidRDefault="00F43166" w:rsidP="00F43166">
      <w:pPr>
        <w:jc w:val="both"/>
        <w:rPr>
          <w:rFonts w:ascii="Cambria" w:hAnsi="Cambria"/>
          <w:b w:val="0"/>
          <w:bCs/>
          <w:sz w:val="22"/>
        </w:rPr>
      </w:pPr>
      <w:r w:rsidRPr="00133140">
        <w:rPr>
          <w:rFonts w:ascii="Cambria" w:hAnsi="Cambria"/>
          <w:b w:val="0"/>
          <w:bCs/>
          <w:sz w:val="22"/>
        </w:rPr>
        <w:t xml:space="preserve">En 718, </w:t>
      </w:r>
      <w:r w:rsidRPr="00133140">
        <w:rPr>
          <w:rFonts w:ascii="Cambria" w:hAnsi="Cambria"/>
          <w:b w:val="0"/>
          <w:bCs/>
          <w:color w:val="000000" w:themeColor="text1"/>
          <w:sz w:val="22"/>
        </w:rPr>
        <w:t xml:space="preserve">le nouvel empereur Léon III obtient la levée du siège de Constantinople par les Arabes, son fils Constantin V remporte pour la première fois une victoire importante contre les troupes du califat en 740, en Asie Mineure, et sa dynastie reste au pouvoir pendant tout le </w:t>
      </w:r>
      <w:r w:rsidRPr="00133140">
        <w:rPr>
          <w:rFonts w:ascii="Cambria" w:hAnsi="Cambria"/>
          <w:b w:val="0"/>
          <w:bCs/>
          <w:smallCaps/>
          <w:color w:val="000000" w:themeColor="text1"/>
          <w:sz w:val="22"/>
        </w:rPr>
        <w:t>viii</w:t>
      </w:r>
      <w:r w:rsidRPr="00133140">
        <w:rPr>
          <w:rFonts w:ascii="Cambria" w:hAnsi="Cambria"/>
          <w:b w:val="0"/>
          <w:bCs/>
          <w:color w:val="000000" w:themeColor="text1"/>
          <w:sz w:val="22"/>
          <w:vertAlign w:val="superscript"/>
        </w:rPr>
        <w:t>e</w:t>
      </w:r>
      <w:r w:rsidRPr="00133140">
        <w:rPr>
          <w:rFonts w:ascii="Cambria" w:hAnsi="Cambria"/>
          <w:b w:val="0"/>
          <w:bCs/>
          <w:color w:val="000000" w:themeColor="text1"/>
          <w:sz w:val="22"/>
        </w:rPr>
        <w:t xml:space="preserve"> siècle. Pourtant, et parce qu’il a introduit </w:t>
      </w:r>
      <w:r w:rsidRPr="00133140">
        <w:rPr>
          <w:rFonts w:ascii="Cambria" w:hAnsi="Cambria"/>
          <w:b w:val="0"/>
          <w:bCs/>
          <w:sz w:val="22"/>
        </w:rPr>
        <w:t>l’iconoclasme dans l’empire en interdisant les images à caractère religieux, Léon III reste honni, comme son fils et son petit-fils, dans la tradition byzantine. L’ensemble de cette période, essentielle dans la restauration de l’Empire dans le monde méditerranéen, mérite une autre lecture.</w:t>
      </w:r>
    </w:p>
    <w:p w14:paraId="3C98415B" w14:textId="4C053496" w:rsidR="00F43166" w:rsidRPr="00133140" w:rsidRDefault="00F43166" w:rsidP="00F43166">
      <w:pPr>
        <w:jc w:val="both"/>
        <w:rPr>
          <w:rFonts w:ascii="Cambria" w:hAnsi="Cambria"/>
          <w:b w:val="0"/>
          <w:bCs/>
          <w:sz w:val="22"/>
        </w:rPr>
      </w:pPr>
      <w:r w:rsidRPr="00133140">
        <w:rPr>
          <w:rFonts w:ascii="Cambria" w:hAnsi="Cambria"/>
          <w:b w:val="0"/>
          <w:bCs/>
          <w:sz w:val="22"/>
        </w:rPr>
        <w:t xml:space="preserve">Nouvelles normes religieuses, nouvelles règles juridiques, équilibres sociaux différents, réforme des armées et du gouvernement des territoires, tout concourt à faire de Byzance à cette époque un État médiéval. </w:t>
      </w:r>
    </w:p>
    <w:p w14:paraId="38101FBE" w14:textId="77777777" w:rsidR="00F43166" w:rsidRPr="00133140" w:rsidRDefault="00F43166" w:rsidP="00F43166">
      <w:pPr>
        <w:jc w:val="both"/>
        <w:rPr>
          <w:rFonts w:ascii="Times New Roman" w:hAnsi="Times New Roman"/>
        </w:rPr>
      </w:pPr>
      <w:r w:rsidRPr="00133140">
        <w:rPr>
          <w:rFonts w:ascii="Times New Roman" w:hAnsi="Times New Roman"/>
        </w:rPr>
        <w:t>Bibliographie</w:t>
      </w:r>
    </w:p>
    <w:p w14:paraId="5D9E9423" w14:textId="77777777" w:rsidR="00F43166" w:rsidRPr="00133140" w:rsidRDefault="00F43166" w:rsidP="00F43166">
      <w:pPr>
        <w:rPr>
          <w:rFonts w:ascii="Cambria" w:hAnsi="Cambria"/>
          <w:b w:val="0"/>
          <w:bCs/>
          <w:sz w:val="22"/>
        </w:rPr>
      </w:pPr>
      <w:r w:rsidRPr="00133140">
        <w:rPr>
          <w:rFonts w:ascii="Cambria" w:hAnsi="Cambria"/>
          <w:b w:val="0"/>
          <w:bCs/>
          <w:sz w:val="22"/>
        </w:rPr>
        <w:t>J.-C. </w:t>
      </w:r>
      <w:r w:rsidRPr="00133140">
        <w:rPr>
          <w:rFonts w:ascii="Cambria" w:hAnsi="Cambria"/>
          <w:b w:val="0"/>
          <w:bCs/>
          <w:smallCaps/>
          <w:sz w:val="22"/>
        </w:rPr>
        <w:t>Cheynet</w:t>
      </w:r>
      <w:r w:rsidRPr="00133140">
        <w:rPr>
          <w:rFonts w:ascii="Cambria" w:hAnsi="Cambria"/>
          <w:b w:val="0"/>
          <w:bCs/>
          <w:sz w:val="22"/>
        </w:rPr>
        <w:t xml:space="preserve">, </w:t>
      </w:r>
      <w:r w:rsidRPr="00133140">
        <w:rPr>
          <w:rFonts w:ascii="Cambria" w:hAnsi="Cambria"/>
          <w:b w:val="0"/>
          <w:bCs/>
          <w:i/>
          <w:sz w:val="22"/>
        </w:rPr>
        <w:t>Histoire de Byzance</w:t>
      </w:r>
      <w:r w:rsidRPr="00133140">
        <w:rPr>
          <w:rFonts w:ascii="Cambria" w:hAnsi="Cambria"/>
          <w:b w:val="0"/>
          <w:bCs/>
          <w:sz w:val="22"/>
        </w:rPr>
        <w:t>, Paris 2005 (Que sais-je ? n° 107).</w:t>
      </w:r>
    </w:p>
    <w:p w14:paraId="27A5F3EF" w14:textId="77777777" w:rsidR="00F43166" w:rsidRPr="00133140" w:rsidRDefault="00F43166" w:rsidP="00F43166">
      <w:pPr>
        <w:rPr>
          <w:rFonts w:ascii="Cambria" w:hAnsi="Cambria"/>
          <w:b w:val="0"/>
          <w:bCs/>
          <w:sz w:val="22"/>
        </w:rPr>
      </w:pPr>
      <w:r w:rsidRPr="00133140">
        <w:rPr>
          <w:rFonts w:ascii="Cambria" w:hAnsi="Cambria"/>
          <w:b w:val="0"/>
          <w:bCs/>
          <w:i/>
          <w:iCs/>
          <w:sz w:val="22"/>
        </w:rPr>
        <w:t>Le monde byzantin</w:t>
      </w:r>
      <w:r w:rsidRPr="00133140">
        <w:rPr>
          <w:rFonts w:ascii="Cambria" w:hAnsi="Cambria"/>
          <w:b w:val="0"/>
          <w:bCs/>
          <w:sz w:val="22"/>
        </w:rPr>
        <w:t xml:space="preserve">, t. II : </w:t>
      </w:r>
      <w:r w:rsidRPr="00133140">
        <w:rPr>
          <w:rFonts w:ascii="Cambria" w:hAnsi="Cambria"/>
          <w:b w:val="0"/>
          <w:bCs/>
          <w:i/>
          <w:iCs/>
          <w:sz w:val="22"/>
        </w:rPr>
        <w:t>L’Empire byzantin (641-1204)</w:t>
      </w:r>
      <w:r w:rsidRPr="00133140">
        <w:rPr>
          <w:rFonts w:ascii="Cambria" w:hAnsi="Cambria"/>
          <w:b w:val="0"/>
          <w:bCs/>
          <w:sz w:val="22"/>
        </w:rPr>
        <w:t xml:space="preserve">, dir. J.-C. </w:t>
      </w:r>
      <w:r w:rsidRPr="00133140">
        <w:rPr>
          <w:rFonts w:ascii="Cambria" w:hAnsi="Cambria"/>
          <w:b w:val="0"/>
          <w:bCs/>
          <w:smallCaps/>
          <w:sz w:val="22"/>
        </w:rPr>
        <w:t>Cheynet,</w:t>
      </w:r>
      <w:r w:rsidRPr="00133140">
        <w:rPr>
          <w:rFonts w:ascii="Cambria" w:hAnsi="Cambria"/>
          <w:b w:val="0"/>
          <w:bCs/>
          <w:sz w:val="22"/>
        </w:rPr>
        <w:t xml:space="preserve"> Paris 2006.</w:t>
      </w:r>
    </w:p>
    <w:p w14:paraId="248BDCE9" w14:textId="77777777" w:rsidR="00F43166" w:rsidRPr="00133140" w:rsidRDefault="00F43166" w:rsidP="00F43166">
      <w:pPr>
        <w:ind w:right="418"/>
        <w:rPr>
          <w:rFonts w:ascii="Cambria" w:hAnsi="Cambria"/>
          <w:b w:val="0"/>
          <w:bCs/>
          <w:sz w:val="22"/>
        </w:rPr>
      </w:pPr>
      <w:r w:rsidRPr="00133140">
        <w:rPr>
          <w:rFonts w:ascii="Cambria" w:hAnsi="Cambria"/>
          <w:b w:val="0"/>
          <w:bCs/>
          <w:sz w:val="22"/>
        </w:rPr>
        <w:t>M. F. </w:t>
      </w:r>
      <w:r w:rsidRPr="00133140">
        <w:rPr>
          <w:rFonts w:ascii="Cambria" w:hAnsi="Cambria"/>
          <w:b w:val="0"/>
          <w:bCs/>
          <w:smallCaps/>
          <w:sz w:val="22"/>
        </w:rPr>
        <w:t>Auzépy</w:t>
      </w:r>
      <w:r w:rsidRPr="00133140">
        <w:rPr>
          <w:rFonts w:ascii="Cambria" w:hAnsi="Cambria"/>
          <w:b w:val="0"/>
          <w:bCs/>
          <w:sz w:val="22"/>
        </w:rPr>
        <w:t xml:space="preserve">, État d'urgence, c. 700 - c. 850, dans </w:t>
      </w:r>
      <w:r w:rsidRPr="00133140">
        <w:rPr>
          <w:rFonts w:ascii="Cambria" w:hAnsi="Cambria"/>
          <w:b w:val="0"/>
          <w:bCs/>
          <w:i/>
          <w:iCs/>
          <w:sz w:val="22"/>
        </w:rPr>
        <w:t>L’histoire des iconoclastes</w:t>
      </w:r>
      <w:r w:rsidRPr="00133140">
        <w:rPr>
          <w:rFonts w:ascii="Cambria" w:hAnsi="Cambria"/>
          <w:b w:val="0"/>
          <w:bCs/>
          <w:sz w:val="22"/>
        </w:rPr>
        <w:t xml:space="preserve"> (Bilans de recherche 2), Paris 2007.</w:t>
      </w:r>
    </w:p>
    <w:p w14:paraId="24A69C41" w14:textId="77777777" w:rsidR="00F43166" w:rsidRPr="00133140" w:rsidRDefault="00F43166" w:rsidP="00F43166">
      <w:pPr>
        <w:jc w:val="both"/>
        <w:rPr>
          <w:rFonts w:ascii="Cambria" w:hAnsi="Cambria"/>
          <w:b w:val="0"/>
          <w:bCs/>
          <w:sz w:val="22"/>
          <w:lang w:val="en-US"/>
        </w:rPr>
      </w:pPr>
      <w:r w:rsidRPr="00133140">
        <w:rPr>
          <w:rFonts w:ascii="Cambria" w:hAnsi="Cambria"/>
          <w:b w:val="0"/>
          <w:bCs/>
          <w:sz w:val="22"/>
          <w:lang w:val="en-US"/>
        </w:rPr>
        <w:t>L. </w:t>
      </w:r>
      <w:r w:rsidRPr="00133140">
        <w:rPr>
          <w:rFonts w:ascii="Cambria" w:hAnsi="Cambria"/>
          <w:b w:val="0"/>
          <w:bCs/>
          <w:smallCaps/>
          <w:sz w:val="22"/>
          <w:lang w:val="en-US"/>
        </w:rPr>
        <w:t>Brubaker</w:t>
      </w:r>
      <w:r w:rsidRPr="00133140">
        <w:rPr>
          <w:rFonts w:ascii="Cambria" w:hAnsi="Cambria"/>
          <w:b w:val="0"/>
          <w:bCs/>
          <w:sz w:val="22"/>
          <w:lang w:val="en-US"/>
        </w:rPr>
        <w:t xml:space="preserve"> et J. </w:t>
      </w:r>
      <w:r w:rsidRPr="00133140">
        <w:rPr>
          <w:rFonts w:ascii="Cambria" w:hAnsi="Cambria"/>
          <w:b w:val="0"/>
          <w:bCs/>
          <w:smallCaps/>
          <w:sz w:val="22"/>
          <w:lang w:val="en-US"/>
        </w:rPr>
        <w:t>Haldon</w:t>
      </w:r>
      <w:r w:rsidRPr="00133140">
        <w:rPr>
          <w:rFonts w:ascii="Cambria" w:hAnsi="Cambria"/>
          <w:b w:val="0"/>
          <w:bCs/>
          <w:sz w:val="22"/>
          <w:lang w:val="en-US"/>
        </w:rPr>
        <w:t xml:space="preserve">, </w:t>
      </w:r>
      <w:r w:rsidRPr="00133140">
        <w:rPr>
          <w:rFonts w:ascii="Cambria" w:hAnsi="Cambria"/>
          <w:b w:val="0"/>
          <w:bCs/>
          <w:i/>
          <w:sz w:val="22"/>
          <w:lang w:val="en-US"/>
        </w:rPr>
        <w:t>Byzantium in the Iconoclast Era c. 680-850: A History</w:t>
      </w:r>
      <w:r w:rsidRPr="00133140">
        <w:rPr>
          <w:rFonts w:ascii="Cambria" w:hAnsi="Cambria"/>
          <w:b w:val="0"/>
          <w:bCs/>
          <w:sz w:val="22"/>
          <w:lang w:val="en-US"/>
        </w:rPr>
        <w:t>, Cambridge 2011.</w:t>
      </w:r>
    </w:p>
    <w:p w14:paraId="1E1D8E60" w14:textId="2B5BF0EE" w:rsidR="00D35F7D" w:rsidRPr="00133140" w:rsidRDefault="00F43166" w:rsidP="002059B7">
      <w:pPr>
        <w:rPr>
          <w:rFonts w:ascii="Cambria" w:hAnsi="Cambria" w:cs="Times New Roman"/>
          <w:b w:val="0"/>
          <w:bCs/>
          <w:sz w:val="22"/>
        </w:rPr>
      </w:pPr>
      <w:r w:rsidRPr="00133140">
        <w:rPr>
          <w:rFonts w:ascii="Cambria" w:hAnsi="Cambria"/>
          <w:b w:val="0"/>
          <w:bCs/>
          <w:i/>
          <w:sz w:val="22"/>
        </w:rPr>
        <w:t>Histoire du christianisme</w:t>
      </w:r>
      <w:r w:rsidRPr="00133140">
        <w:rPr>
          <w:rFonts w:ascii="Cambria" w:hAnsi="Cambria"/>
          <w:b w:val="0"/>
          <w:bCs/>
          <w:sz w:val="22"/>
        </w:rPr>
        <w:t xml:space="preserve">, t. 4, éd. J.-M. </w:t>
      </w:r>
      <w:r w:rsidRPr="00133140">
        <w:rPr>
          <w:rFonts w:ascii="Cambria" w:hAnsi="Cambria"/>
          <w:b w:val="0"/>
          <w:bCs/>
          <w:smallCaps/>
          <w:sz w:val="22"/>
        </w:rPr>
        <w:t>Mayeur</w:t>
      </w:r>
      <w:r w:rsidRPr="00133140">
        <w:rPr>
          <w:rFonts w:ascii="Cambria" w:hAnsi="Cambria"/>
          <w:b w:val="0"/>
          <w:bCs/>
          <w:sz w:val="22"/>
        </w:rPr>
        <w:t xml:space="preserve">, C. et L. </w:t>
      </w:r>
      <w:r w:rsidRPr="00133140">
        <w:rPr>
          <w:rFonts w:ascii="Cambria" w:hAnsi="Cambria"/>
          <w:b w:val="0"/>
          <w:bCs/>
          <w:smallCaps/>
          <w:sz w:val="22"/>
        </w:rPr>
        <w:t>Pietri</w:t>
      </w:r>
      <w:r w:rsidRPr="00133140">
        <w:rPr>
          <w:rFonts w:ascii="Cambria" w:hAnsi="Cambria"/>
          <w:b w:val="0"/>
          <w:bCs/>
          <w:sz w:val="22"/>
        </w:rPr>
        <w:t xml:space="preserve">, A. </w:t>
      </w:r>
      <w:r w:rsidRPr="00133140">
        <w:rPr>
          <w:rFonts w:ascii="Cambria" w:hAnsi="Cambria"/>
          <w:b w:val="0"/>
          <w:bCs/>
          <w:smallCaps/>
          <w:sz w:val="22"/>
        </w:rPr>
        <w:t>Vauchez</w:t>
      </w:r>
      <w:r w:rsidRPr="00133140">
        <w:rPr>
          <w:rFonts w:ascii="Cambria" w:hAnsi="Cambria"/>
          <w:b w:val="0"/>
          <w:bCs/>
          <w:sz w:val="22"/>
        </w:rPr>
        <w:t xml:space="preserve"> et M. </w:t>
      </w:r>
      <w:r w:rsidRPr="00133140">
        <w:rPr>
          <w:rFonts w:ascii="Cambria" w:hAnsi="Cambria"/>
          <w:b w:val="0"/>
          <w:bCs/>
          <w:smallCaps/>
          <w:sz w:val="22"/>
        </w:rPr>
        <w:t>Venard</w:t>
      </w:r>
      <w:r w:rsidRPr="00133140">
        <w:rPr>
          <w:rFonts w:ascii="Cambria" w:hAnsi="Cambria"/>
          <w:b w:val="0"/>
          <w:bCs/>
          <w:sz w:val="22"/>
        </w:rPr>
        <w:t>, Paris 1993.</w:t>
      </w:r>
    </w:p>
    <w:p w14:paraId="7E582CDB" w14:textId="77777777" w:rsidR="002059B7" w:rsidRPr="00133140" w:rsidRDefault="002059B7" w:rsidP="00851A79">
      <w:pPr>
        <w:jc w:val="both"/>
        <w:rPr>
          <w:rFonts w:ascii="Cambria" w:hAnsi="Cambria" w:cs="Times New Roman"/>
          <w:color w:val="B71E42" w:themeColor="accent1"/>
          <w:sz w:val="22"/>
          <w:u w:val="single"/>
        </w:rPr>
      </w:pPr>
    </w:p>
    <w:p w14:paraId="66CAEC2D" w14:textId="77777777" w:rsidR="002059B7" w:rsidRPr="00133140" w:rsidRDefault="002059B7" w:rsidP="00851A79">
      <w:pPr>
        <w:jc w:val="both"/>
        <w:rPr>
          <w:rFonts w:ascii="Cambria" w:hAnsi="Cambria" w:cs="Times New Roman"/>
          <w:color w:val="B71E42" w:themeColor="accent1"/>
          <w:sz w:val="22"/>
          <w:u w:val="single"/>
        </w:rPr>
      </w:pPr>
    </w:p>
    <w:p w14:paraId="3A4AD474" w14:textId="34AB237F" w:rsidR="00851A79" w:rsidRPr="00133140" w:rsidRDefault="00851A79" w:rsidP="00851A79">
      <w:pPr>
        <w:jc w:val="both"/>
        <w:rPr>
          <w:rFonts w:ascii="Cambria" w:hAnsi="Cambria" w:cs="Times New Roman"/>
          <w:color w:val="C00000"/>
          <w:sz w:val="22"/>
        </w:rPr>
      </w:pPr>
      <w:r w:rsidRPr="00133140">
        <w:rPr>
          <w:rFonts w:ascii="Cambria" w:hAnsi="Cambria" w:cs="Times New Roman"/>
          <w:color w:val="C00000"/>
          <w:sz w:val="22"/>
          <w:u w:val="single"/>
        </w:rPr>
        <w:t xml:space="preserve">Sujet du cours </w:t>
      </w:r>
      <w:r w:rsidR="00D67C89" w:rsidRPr="00133140">
        <w:rPr>
          <w:rFonts w:ascii="Cambria" w:hAnsi="Cambria" w:cs="Times New Roman"/>
          <w:color w:val="C00000"/>
          <w:sz w:val="22"/>
          <w:u w:val="single"/>
        </w:rPr>
        <w:t>semestre 2</w:t>
      </w:r>
      <w:r w:rsidRPr="00133140">
        <w:rPr>
          <w:rFonts w:ascii="Cambria" w:hAnsi="Cambria" w:cs="Times New Roman"/>
          <w:color w:val="C00000"/>
          <w:sz w:val="22"/>
        </w:rPr>
        <w:t xml:space="preserve"> : </w:t>
      </w:r>
      <w:r w:rsidR="004403BD" w:rsidRPr="00133140">
        <w:rPr>
          <w:rFonts w:ascii="Cambria" w:hAnsi="Cambria" w:cs="Times New Roman"/>
          <w:color w:val="C00000"/>
          <w:sz w:val="22"/>
        </w:rPr>
        <w:t>L’empire e</w:t>
      </w:r>
      <w:r w:rsidR="005B7ED4" w:rsidRPr="00133140">
        <w:rPr>
          <w:rFonts w:ascii="Cambria" w:hAnsi="Cambria" w:cs="Times New Roman"/>
          <w:color w:val="C00000"/>
          <w:sz w:val="22"/>
        </w:rPr>
        <w:t>n</w:t>
      </w:r>
      <w:r w:rsidR="004403BD" w:rsidRPr="00133140">
        <w:rPr>
          <w:rFonts w:ascii="Cambria" w:hAnsi="Cambria" w:cs="Times New Roman"/>
          <w:color w:val="C00000"/>
          <w:sz w:val="22"/>
        </w:rPr>
        <w:t xml:space="preserve"> expansion (842-1025)</w:t>
      </w:r>
    </w:p>
    <w:p w14:paraId="03838EC2" w14:textId="77777777" w:rsidR="002059B7" w:rsidRPr="00133140" w:rsidRDefault="002059B7" w:rsidP="002059B7">
      <w:pPr>
        <w:jc w:val="both"/>
        <w:rPr>
          <w:rFonts w:ascii="Cambria" w:hAnsi="Cambria" w:cs="Times New Roman"/>
          <w:b w:val="0"/>
          <w:bCs/>
          <w:color w:val="000000" w:themeColor="text1"/>
          <w:sz w:val="22"/>
        </w:rPr>
      </w:pPr>
      <w:r w:rsidRPr="00133140">
        <w:rPr>
          <w:rFonts w:ascii="Cambria" w:hAnsi="Cambria" w:cs="Times New Roman"/>
          <w:b w:val="0"/>
          <w:bCs/>
          <w:sz w:val="22"/>
        </w:rPr>
        <w:t>Après</w:t>
      </w:r>
      <w:r w:rsidRPr="00133140">
        <w:rPr>
          <w:rFonts w:ascii="Cambria" w:hAnsi="Cambria" w:cs="Times New Roman"/>
          <w:b w:val="0"/>
          <w:bCs/>
          <w:color w:val="000000" w:themeColor="text1"/>
          <w:sz w:val="22"/>
        </w:rPr>
        <w:t xml:space="preserve"> de graves difficultés du </w:t>
      </w:r>
      <w:r w:rsidRPr="00133140">
        <w:rPr>
          <w:rFonts w:ascii="Cambria" w:hAnsi="Cambria" w:cs="Times New Roman"/>
          <w:b w:val="0"/>
          <w:bCs/>
          <w:smallCaps/>
          <w:color w:val="000000" w:themeColor="text1"/>
          <w:sz w:val="22"/>
        </w:rPr>
        <w:t>vii</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au milieu du </w:t>
      </w:r>
      <w:r w:rsidRPr="00133140">
        <w:rPr>
          <w:rFonts w:ascii="Cambria" w:hAnsi="Cambria" w:cs="Times New Roman"/>
          <w:b w:val="0"/>
          <w:bCs/>
          <w:smallCaps/>
          <w:color w:val="000000" w:themeColor="text1"/>
          <w:sz w:val="22"/>
        </w:rPr>
        <w:t>ix</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siècle, l’Empire byzantin connaît une longue période de croissance démographique et économique qui s’accompagne de nouvelles transformations territoriales, d’un développement de l’aristocratie et de la production culturelle. À partir des années 930, une véritable dynamique de conquêtes s'enclenche, si bien que l’Empire atteint en 1025 une superficie inégalée depuis le milieu du </w:t>
      </w:r>
      <w:r w:rsidRPr="00133140">
        <w:rPr>
          <w:rFonts w:ascii="Cambria" w:hAnsi="Cambria" w:cs="Times New Roman"/>
          <w:b w:val="0"/>
          <w:bCs/>
          <w:smallCaps/>
          <w:color w:val="000000" w:themeColor="text1"/>
          <w:sz w:val="22"/>
        </w:rPr>
        <w:t>vii</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siècle et dans les siècles suivants. Cette dynamique territoriale va de pair avec une intensification de l’activité diplomatique et commerciale, jusqu’au califat de Cordoue et à la Rus’ de Kiev.</w:t>
      </w:r>
    </w:p>
    <w:p w14:paraId="069A49E5" w14:textId="0A6944DD" w:rsidR="002059B7" w:rsidRPr="00133140" w:rsidRDefault="002059B7" w:rsidP="002059B7">
      <w:pPr>
        <w:jc w:val="both"/>
        <w:rPr>
          <w:rFonts w:ascii="Cambria" w:hAnsi="Cambria" w:cs="Times New Roman"/>
          <w:b w:val="0"/>
          <w:bCs/>
          <w:color w:val="000000" w:themeColor="text1"/>
          <w:sz w:val="22"/>
        </w:rPr>
      </w:pPr>
      <w:r w:rsidRPr="00133140">
        <w:rPr>
          <w:rFonts w:ascii="Cambria" w:hAnsi="Cambria" w:cs="Times New Roman"/>
          <w:b w:val="0"/>
          <w:bCs/>
          <w:color w:val="000000" w:themeColor="text1"/>
          <w:sz w:val="22"/>
        </w:rPr>
        <w:t xml:space="preserve">Comment expliquer cette expansion de l’Empire, qui ne fut pas seulement territoriale, et qu’elles furent les conséquences de cette expansion sur son fonctionnement ? Répondre à cette question implique tout d’abord d’étudier les principaux milieux impliqués dans ce processus et leurs rapports, qui purent être conflictuels : les </w:t>
      </w:r>
      <w:r w:rsidRPr="00133140">
        <w:rPr>
          <w:rFonts w:ascii="Cambria" w:hAnsi="Cambria" w:cs="Times New Roman"/>
          <w:b w:val="0"/>
          <w:bCs/>
          <w:sz w:val="22"/>
        </w:rPr>
        <w:t>empereurs, bien sûr, mais aussi les familles aristocratiques, qui dominaient les hautes fonctions civiles et militaires, et les nombreux évêchés et monastères qui profitèrent de la croissance économique et des investissements des empereurs et des aristocrates. L’expansion obligea également les gouvernants à s’adapter aux populations nouvellement intégrées à l’Empire et à affirmer l’idéologie impériale, parfois en la réélaborant, auprès des États et peuples étrangers. Dans ce contexte, le développement et l’évolution de la production culturelle ne peuvent se comprendre qu’en tenant compte de ses usages politiques et sociaux. Étudier ces facteurs et ces conséquences permettra de voir que l’expansion d’un empire peut mettre à l’épreuve son organisation autant qu’elle accroît la puissance de son État et de ses élites dirigeantes.</w:t>
      </w:r>
    </w:p>
    <w:p w14:paraId="34EA0B49" w14:textId="77777777" w:rsidR="00026798" w:rsidRPr="00133140" w:rsidRDefault="00026798" w:rsidP="00026798">
      <w:pPr>
        <w:jc w:val="both"/>
        <w:rPr>
          <w:rFonts w:ascii="Cambria" w:hAnsi="Cambria"/>
          <w:sz w:val="22"/>
        </w:rPr>
      </w:pPr>
      <w:r w:rsidRPr="00133140">
        <w:rPr>
          <w:rFonts w:ascii="Cambria" w:hAnsi="Cambria"/>
          <w:sz w:val="22"/>
        </w:rPr>
        <w:t>Bibliographie</w:t>
      </w:r>
    </w:p>
    <w:p w14:paraId="2B9D48F9" w14:textId="77777777" w:rsidR="002059B7" w:rsidRPr="00133140" w:rsidRDefault="002059B7" w:rsidP="002059B7">
      <w:pPr>
        <w:rPr>
          <w:rFonts w:ascii="Cambria" w:hAnsi="Cambria"/>
          <w:b w:val="0"/>
          <w:bCs/>
          <w:sz w:val="22"/>
        </w:rPr>
      </w:pPr>
      <w:r w:rsidRPr="00133140">
        <w:rPr>
          <w:rFonts w:ascii="Cambria" w:hAnsi="Cambria"/>
          <w:b w:val="0"/>
          <w:bCs/>
          <w:sz w:val="22"/>
        </w:rPr>
        <w:t>J.-C. </w:t>
      </w:r>
      <w:r w:rsidRPr="00133140">
        <w:rPr>
          <w:rFonts w:ascii="Cambria" w:hAnsi="Cambria"/>
          <w:b w:val="0"/>
          <w:bCs/>
          <w:smallCaps/>
          <w:sz w:val="22"/>
        </w:rPr>
        <w:t>Cheynet</w:t>
      </w:r>
      <w:r w:rsidRPr="00133140">
        <w:rPr>
          <w:rFonts w:ascii="Cambria" w:hAnsi="Cambria"/>
          <w:b w:val="0"/>
          <w:bCs/>
          <w:sz w:val="22"/>
        </w:rPr>
        <w:t xml:space="preserve">, </w:t>
      </w:r>
      <w:r w:rsidRPr="00133140">
        <w:rPr>
          <w:rFonts w:ascii="Cambria" w:hAnsi="Cambria"/>
          <w:b w:val="0"/>
          <w:bCs/>
          <w:i/>
          <w:sz w:val="22"/>
        </w:rPr>
        <w:t>Histoire de Byzance</w:t>
      </w:r>
      <w:r w:rsidRPr="00133140">
        <w:rPr>
          <w:rFonts w:ascii="Cambria" w:hAnsi="Cambria"/>
          <w:b w:val="0"/>
          <w:bCs/>
          <w:sz w:val="22"/>
        </w:rPr>
        <w:t>, Paris 2005 (Que sais-je ? n° 107).</w:t>
      </w:r>
    </w:p>
    <w:p w14:paraId="421ACB87" w14:textId="29CCA9DD" w:rsidR="002059B7" w:rsidRPr="00133140" w:rsidRDefault="002059B7" w:rsidP="002059B7">
      <w:pPr>
        <w:rPr>
          <w:rFonts w:ascii="Cambria" w:hAnsi="Cambria"/>
          <w:b w:val="0"/>
          <w:bCs/>
          <w:sz w:val="22"/>
        </w:rPr>
      </w:pPr>
      <w:r w:rsidRPr="00133140">
        <w:rPr>
          <w:rFonts w:ascii="Cambria" w:hAnsi="Cambria" w:cs="Times New Roman"/>
          <w:b w:val="0"/>
          <w:bCs/>
          <w:i/>
          <w:iCs/>
          <w:sz w:val="22"/>
        </w:rPr>
        <w:t>Le monde byzantin</w:t>
      </w:r>
      <w:r w:rsidRPr="00133140">
        <w:rPr>
          <w:rFonts w:ascii="Cambria" w:hAnsi="Cambria" w:cs="Times New Roman"/>
          <w:b w:val="0"/>
          <w:bCs/>
          <w:sz w:val="22"/>
        </w:rPr>
        <w:t xml:space="preserve">, t. II : </w:t>
      </w:r>
      <w:r w:rsidRPr="00133140">
        <w:rPr>
          <w:rFonts w:ascii="Cambria" w:hAnsi="Cambria" w:cs="Times New Roman"/>
          <w:b w:val="0"/>
          <w:bCs/>
          <w:i/>
          <w:iCs/>
          <w:sz w:val="22"/>
        </w:rPr>
        <w:t>L’Empire byzantin (641-1204)</w:t>
      </w:r>
      <w:r w:rsidRPr="00133140">
        <w:rPr>
          <w:rFonts w:ascii="Cambria" w:hAnsi="Cambria" w:cs="Times New Roman"/>
          <w:b w:val="0"/>
          <w:bCs/>
          <w:sz w:val="22"/>
        </w:rPr>
        <w:t xml:space="preserve">, dir. J.-C. </w:t>
      </w:r>
      <w:r w:rsidRPr="00133140">
        <w:rPr>
          <w:rFonts w:ascii="Cambria" w:hAnsi="Cambria" w:cs="Times New Roman"/>
          <w:b w:val="0"/>
          <w:bCs/>
          <w:smallCaps/>
          <w:sz w:val="22"/>
        </w:rPr>
        <w:t>Cheynet,</w:t>
      </w:r>
      <w:r w:rsidRPr="00133140">
        <w:rPr>
          <w:rFonts w:ascii="Cambria" w:hAnsi="Cambria" w:cs="Times New Roman"/>
          <w:b w:val="0"/>
          <w:bCs/>
          <w:sz w:val="22"/>
        </w:rPr>
        <w:t xml:space="preserve"> Paris 2006.</w:t>
      </w:r>
    </w:p>
    <w:p w14:paraId="653EA43D" w14:textId="247D87F8" w:rsidR="00C92074" w:rsidRPr="00133140" w:rsidRDefault="002059B7" w:rsidP="002059B7">
      <w:pPr>
        <w:rPr>
          <w:rFonts w:ascii="Cambria" w:hAnsi="Cambria" w:cs="Times New Roman"/>
          <w:b w:val="0"/>
          <w:bCs/>
          <w:sz w:val="22"/>
        </w:rPr>
      </w:pPr>
      <w:r w:rsidRPr="00133140">
        <w:rPr>
          <w:rFonts w:ascii="Cambria" w:eastAsia="Times New Roman" w:hAnsi="Cambria" w:cs="Times New Roman"/>
          <w:b w:val="0"/>
          <w:bCs/>
          <w:i/>
          <w:color w:val="000000"/>
          <w:sz w:val="22"/>
        </w:rPr>
        <w:t>Autour du Premier humanisme byzantin &amp; des Cinq études sur le XI</w:t>
      </w:r>
      <w:r w:rsidRPr="00133140">
        <w:rPr>
          <w:rFonts w:ascii="Cambria" w:eastAsia="Times New Roman" w:hAnsi="Cambria" w:cs="Times New Roman"/>
          <w:b w:val="0"/>
          <w:bCs/>
          <w:i/>
          <w:color w:val="000000"/>
          <w:sz w:val="22"/>
          <w:vertAlign w:val="superscript"/>
        </w:rPr>
        <w:t>e</w:t>
      </w:r>
      <w:r w:rsidRPr="00133140">
        <w:rPr>
          <w:rFonts w:ascii="Cambria" w:eastAsia="Times New Roman" w:hAnsi="Cambria" w:cs="Times New Roman"/>
          <w:b w:val="0"/>
          <w:bCs/>
          <w:i/>
          <w:color w:val="000000"/>
          <w:sz w:val="22"/>
        </w:rPr>
        <w:t xml:space="preserve"> siècle, quarante ans après Paul Lemerle</w:t>
      </w:r>
      <w:r w:rsidRPr="00133140">
        <w:rPr>
          <w:rFonts w:ascii="Cambria" w:eastAsia="Times New Roman" w:hAnsi="Cambria" w:cs="Times New Roman"/>
          <w:b w:val="0"/>
          <w:bCs/>
          <w:color w:val="000000"/>
          <w:sz w:val="22"/>
        </w:rPr>
        <w:t xml:space="preserve">, éd. J.-C. </w:t>
      </w:r>
      <w:r w:rsidRPr="00133140">
        <w:rPr>
          <w:rFonts w:ascii="Cambria" w:eastAsia="Times New Roman" w:hAnsi="Cambria" w:cs="Times New Roman"/>
          <w:b w:val="0"/>
          <w:bCs/>
          <w:smallCaps/>
          <w:color w:val="000000"/>
          <w:sz w:val="22"/>
        </w:rPr>
        <w:t>Cheynet</w:t>
      </w:r>
      <w:r w:rsidRPr="00133140">
        <w:rPr>
          <w:rFonts w:ascii="Cambria" w:eastAsia="Times New Roman" w:hAnsi="Cambria" w:cs="Times New Roman"/>
          <w:b w:val="0"/>
          <w:bCs/>
          <w:color w:val="000000"/>
          <w:sz w:val="22"/>
        </w:rPr>
        <w:t xml:space="preserve"> et al., Paris 201</w:t>
      </w:r>
      <w:r w:rsidR="005B7ED4" w:rsidRPr="00133140">
        <w:rPr>
          <w:rFonts w:ascii="Cambria" w:eastAsia="Times New Roman" w:hAnsi="Cambria" w:cs="Times New Roman"/>
          <w:b w:val="0"/>
          <w:bCs/>
          <w:color w:val="000000"/>
          <w:sz w:val="22"/>
        </w:rPr>
        <w:t>7</w:t>
      </w:r>
    </w:p>
    <w:p w14:paraId="5E0E639F" w14:textId="77777777" w:rsidR="00D67C89" w:rsidRPr="00133140" w:rsidRDefault="00D67C89" w:rsidP="00373338">
      <w:pPr>
        <w:spacing w:after="0" w:line="276" w:lineRule="auto"/>
        <w:contextualSpacing/>
        <w:jc w:val="center"/>
        <w:rPr>
          <w:rFonts w:ascii="Cambria" w:hAnsi="Cambria"/>
          <w:i/>
          <w:color w:val="C00000"/>
          <w:sz w:val="28"/>
          <w:lang w:eastAsia="en-US"/>
        </w:rPr>
      </w:pPr>
    </w:p>
    <w:p w14:paraId="2D6953C2" w14:textId="479A4646" w:rsidR="00037175" w:rsidRPr="00133140" w:rsidRDefault="00EE1768" w:rsidP="005755C5">
      <w:pPr>
        <w:spacing w:after="0" w:line="276" w:lineRule="auto"/>
        <w:contextualSpacing/>
        <w:jc w:val="center"/>
        <w:rPr>
          <w:rFonts w:ascii="Cambria" w:hAnsi="Cambria"/>
          <w:i/>
          <w:color w:val="C00000"/>
          <w:sz w:val="28"/>
          <w:lang w:eastAsia="en-US"/>
        </w:rPr>
      </w:pPr>
      <w:r w:rsidRPr="00133140">
        <w:rPr>
          <w:rFonts w:ascii="Cambria" w:hAnsi="Cambria"/>
          <w:i/>
          <w:color w:val="C00000"/>
          <w:sz w:val="28"/>
          <w:lang w:eastAsia="en-US"/>
        </w:rPr>
        <w:t>J3020719</w:t>
      </w:r>
      <w:r w:rsidR="00E94CB3" w:rsidRPr="00133140">
        <w:rPr>
          <w:rFonts w:ascii="Cambria" w:hAnsi="Cambria"/>
          <w:i/>
          <w:color w:val="C00000"/>
          <w:sz w:val="28"/>
          <w:lang w:eastAsia="en-US"/>
        </w:rPr>
        <w:t>/J30</w:t>
      </w:r>
      <w:r w:rsidRPr="00133140">
        <w:rPr>
          <w:rFonts w:ascii="Cambria" w:hAnsi="Cambria"/>
          <w:i/>
          <w:color w:val="C00000"/>
          <w:sz w:val="28"/>
          <w:lang w:eastAsia="en-US"/>
        </w:rPr>
        <w:t>20819</w:t>
      </w:r>
      <w:r w:rsidR="00373338" w:rsidRPr="00133140">
        <w:rPr>
          <w:rFonts w:ascii="Cambria" w:hAnsi="Cambria"/>
          <w:i/>
          <w:color w:val="C00000"/>
          <w:sz w:val="28"/>
          <w:lang w:eastAsia="en-US"/>
        </w:rPr>
        <w:t xml:space="preserve"> : Histoire du haut Moyen </w:t>
      </w:r>
      <w:r w:rsidR="00373338" w:rsidRPr="00133140">
        <w:rPr>
          <w:rFonts w:ascii="Cambria" w:hAnsi="Cambria"/>
          <w:i/>
          <w:color w:val="C00000"/>
          <w:sz w:val="28"/>
          <w:szCs w:val="28"/>
          <w:lang w:eastAsia="en-US"/>
        </w:rPr>
        <w:t>Â</w:t>
      </w:r>
      <w:r w:rsidR="00E94CB3" w:rsidRPr="00133140">
        <w:rPr>
          <w:rFonts w:ascii="Cambria" w:hAnsi="Cambria"/>
          <w:i/>
          <w:color w:val="C00000"/>
          <w:sz w:val="28"/>
          <w:lang w:eastAsia="en-US"/>
        </w:rPr>
        <w:t>ge</w:t>
      </w:r>
    </w:p>
    <w:p w14:paraId="4133BAC6" w14:textId="77777777" w:rsidR="005755C5" w:rsidRPr="00133140" w:rsidRDefault="005755C5" w:rsidP="005755C5">
      <w:pPr>
        <w:spacing w:after="0" w:line="276" w:lineRule="auto"/>
        <w:contextualSpacing/>
        <w:jc w:val="center"/>
        <w:rPr>
          <w:rFonts w:ascii="Cambria" w:hAnsi="Cambria"/>
          <w:i/>
          <w:color w:val="C00000"/>
          <w:sz w:val="28"/>
          <w:lang w:eastAsia="en-US"/>
        </w:rPr>
      </w:pPr>
    </w:p>
    <w:p w14:paraId="0614D470" w14:textId="4D00EE32" w:rsidR="00037175" w:rsidRPr="00133140" w:rsidRDefault="00037175" w:rsidP="00373338">
      <w:pPr>
        <w:spacing w:after="0" w:line="276" w:lineRule="auto"/>
        <w:contextualSpacing/>
        <w:jc w:val="center"/>
        <w:rPr>
          <w:rFonts w:ascii="Cambria" w:hAnsi="Cambria"/>
          <w:i/>
          <w:sz w:val="22"/>
          <w:lang w:eastAsia="en-US"/>
        </w:rPr>
      </w:pPr>
      <w:r w:rsidRPr="00133140">
        <w:rPr>
          <w:rFonts w:ascii="Cambria" w:hAnsi="Cambria"/>
          <w:i/>
          <w:sz w:val="22"/>
          <w:lang w:eastAsia="en-US"/>
        </w:rPr>
        <w:t xml:space="preserve">Sylvie Joye (CM), </w:t>
      </w:r>
    </w:p>
    <w:p w14:paraId="6FA8CA19" w14:textId="0AD8DCB2" w:rsidR="00037175" w:rsidRPr="00133140" w:rsidRDefault="00037175" w:rsidP="00373338">
      <w:pPr>
        <w:spacing w:after="0" w:line="276" w:lineRule="auto"/>
        <w:contextualSpacing/>
        <w:jc w:val="center"/>
        <w:rPr>
          <w:rFonts w:ascii="Cambria" w:hAnsi="Cambria"/>
          <w:i/>
          <w:sz w:val="22"/>
          <w:lang w:eastAsia="en-US"/>
        </w:rPr>
      </w:pPr>
      <w:r w:rsidRPr="00133140">
        <w:rPr>
          <w:rFonts w:ascii="Cambria" w:hAnsi="Cambria"/>
          <w:i/>
          <w:sz w:val="22"/>
          <w:lang w:eastAsia="en-US"/>
        </w:rPr>
        <w:t>Claire de Cazanove</w:t>
      </w:r>
      <w:r w:rsidR="00B912ED" w:rsidRPr="00133140">
        <w:rPr>
          <w:rFonts w:ascii="Cambria" w:hAnsi="Cambria"/>
          <w:i/>
          <w:sz w:val="22"/>
          <w:lang w:eastAsia="en-US"/>
        </w:rPr>
        <w:t xml:space="preserve"> (TD S1)</w:t>
      </w:r>
      <w:r w:rsidRPr="00133140">
        <w:rPr>
          <w:rFonts w:ascii="Cambria" w:hAnsi="Cambria"/>
          <w:i/>
          <w:sz w:val="22"/>
          <w:lang w:eastAsia="en-US"/>
        </w:rPr>
        <w:t xml:space="preserve">, </w:t>
      </w:r>
      <w:r w:rsidR="00B912ED" w:rsidRPr="00133140">
        <w:rPr>
          <w:rFonts w:ascii="Cambria" w:hAnsi="Cambria"/>
          <w:i/>
          <w:sz w:val="22"/>
          <w:lang w:eastAsia="en-US"/>
        </w:rPr>
        <w:t xml:space="preserve">Axel Le </w:t>
      </w:r>
      <w:r w:rsidR="002D7514" w:rsidRPr="00133140">
        <w:rPr>
          <w:rFonts w:ascii="Cambria" w:hAnsi="Cambria"/>
          <w:i/>
          <w:sz w:val="22"/>
          <w:lang w:eastAsia="en-US"/>
        </w:rPr>
        <w:t>Bou</w:t>
      </w:r>
      <w:r w:rsidR="002557B8" w:rsidRPr="00133140">
        <w:rPr>
          <w:rFonts w:ascii="Cambria" w:hAnsi="Cambria"/>
          <w:i/>
          <w:sz w:val="22"/>
          <w:lang w:eastAsia="en-US"/>
        </w:rPr>
        <w:t>l</w:t>
      </w:r>
      <w:r w:rsidR="002D7514" w:rsidRPr="00133140">
        <w:rPr>
          <w:rFonts w:ascii="Cambria" w:hAnsi="Cambria"/>
          <w:i/>
          <w:sz w:val="22"/>
          <w:lang w:eastAsia="en-US"/>
        </w:rPr>
        <w:t>icaut</w:t>
      </w:r>
      <w:r w:rsidRPr="00133140">
        <w:rPr>
          <w:rFonts w:ascii="Cambria" w:hAnsi="Cambria"/>
          <w:i/>
          <w:sz w:val="22"/>
          <w:lang w:eastAsia="en-US"/>
        </w:rPr>
        <w:t xml:space="preserve"> (TD</w:t>
      </w:r>
      <w:r w:rsidR="00B912ED" w:rsidRPr="00133140">
        <w:rPr>
          <w:rFonts w:ascii="Cambria" w:hAnsi="Cambria"/>
          <w:i/>
          <w:sz w:val="22"/>
          <w:lang w:eastAsia="en-US"/>
        </w:rPr>
        <w:t xml:space="preserve"> S2)</w:t>
      </w:r>
    </w:p>
    <w:p w14:paraId="131B0E96" w14:textId="77777777" w:rsidR="00373338" w:rsidRPr="00133140" w:rsidRDefault="00373338" w:rsidP="00A814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szCs w:val="24"/>
        </w:rPr>
      </w:pPr>
    </w:p>
    <w:p w14:paraId="76C984BB" w14:textId="38251391" w:rsidR="00B96761" w:rsidRPr="00133140" w:rsidRDefault="00B96761" w:rsidP="00D67C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color w:val="B71E42" w:themeColor="accent1"/>
          <w:sz w:val="22"/>
        </w:rPr>
      </w:pPr>
      <w:r w:rsidRPr="00133140">
        <w:rPr>
          <w:rFonts w:ascii="Cambria" w:hAnsi="Cambria" w:cs="Times New Roman"/>
          <w:color w:val="B71E42" w:themeColor="accent1"/>
          <w:sz w:val="22"/>
          <w:u w:val="single"/>
        </w:rPr>
        <w:t xml:space="preserve">Sujet du cours </w:t>
      </w:r>
      <w:r w:rsidR="00D67C89" w:rsidRPr="00133140">
        <w:rPr>
          <w:rFonts w:ascii="Cambria" w:hAnsi="Cambria" w:cs="Times New Roman"/>
          <w:color w:val="B71E42" w:themeColor="accent1"/>
          <w:sz w:val="22"/>
          <w:u w:val="single"/>
        </w:rPr>
        <w:t>semestre 1</w:t>
      </w:r>
      <w:r w:rsidRPr="00133140">
        <w:rPr>
          <w:rFonts w:ascii="Cambria" w:hAnsi="Cambria" w:cs="Times New Roman"/>
          <w:color w:val="B71E42" w:themeColor="accent1"/>
          <w:sz w:val="22"/>
        </w:rPr>
        <w:t xml:space="preserve"> : </w:t>
      </w:r>
      <w:bookmarkStart w:id="14" w:name="_Hlk170726790"/>
      <w:r w:rsidRPr="00133140">
        <w:rPr>
          <w:rFonts w:ascii="Cambria" w:hAnsi="Cambria" w:cs="Times New Roman"/>
          <w:color w:val="B71E42" w:themeColor="accent1"/>
          <w:sz w:val="22"/>
        </w:rPr>
        <w:t>Femmes, hommes et genre dans les sociétés occidentales du haut Moyen Âge (Ve-</w:t>
      </w:r>
      <w:r w:rsidR="008E7BFA" w:rsidRPr="00133140">
        <w:rPr>
          <w:rFonts w:ascii="Cambria" w:hAnsi="Cambria" w:cs="Times New Roman"/>
          <w:color w:val="B71E42" w:themeColor="accent1"/>
          <w:sz w:val="22"/>
        </w:rPr>
        <w:t xml:space="preserve"> </w:t>
      </w:r>
      <w:r w:rsidRPr="00133140">
        <w:rPr>
          <w:rFonts w:ascii="Cambria" w:hAnsi="Cambria" w:cs="Times New Roman"/>
          <w:color w:val="B71E42" w:themeColor="accent1"/>
          <w:sz w:val="22"/>
        </w:rPr>
        <w:t>Xe s.)</w:t>
      </w:r>
    </w:p>
    <w:bookmarkEnd w:id="14"/>
    <w:p w14:paraId="2BF5F9C3" w14:textId="77777777" w:rsidR="00B96761" w:rsidRPr="00133140" w:rsidRDefault="00B96761" w:rsidP="00B967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sz w:val="22"/>
        </w:rPr>
      </w:pPr>
    </w:p>
    <w:p w14:paraId="70697C53" w14:textId="5B523667" w:rsidR="005755C5" w:rsidRPr="00725306" w:rsidRDefault="005755C5" w:rsidP="007253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szCs w:val="24"/>
        </w:rPr>
      </w:pPr>
      <w:r w:rsidRPr="00133140">
        <w:rPr>
          <w:rFonts w:ascii="Times New Roman" w:hAnsi="Times New Roman" w:cs="Times New Roman"/>
          <w:szCs w:val="24"/>
        </w:rPr>
        <w:t>Enseignant.e. s</w:t>
      </w:r>
      <w:r w:rsidR="003225C8" w:rsidRPr="00133140">
        <w:rPr>
          <w:rFonts w:ascii="Times New Roman" w:hAnsi="Times New Roman" w:cs="Times New Roman"/>
          <w:szCs w:val="24"/>
        </w:rPr>
        <w:t> : Sylvie Joye, Claire de Cazanove</w:t>
      </w:r>
    </w:p>
    <w:p w14:paraId="2E4258C6" w14:textId="77777777" w:rsidR="003225C8"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 xml:space="preserve">L’histoire des femmes s’est développée dans les années 1960 et a connu d’abord un grand développement dans les pays anglophones, avec les </w:t>
      </w:r>
      <w:r w:rsidRPr="00725306">
        <w:rPr>
          <w:rFonts w:ascii="Cambria" w:hAnsi="Cambria" w:cs="Times New Roman"/>
          <w:b w:val="0"/>
          <w:bCs/>
          <w:i/>
          <w:sz w:val="22"/>
        </w:rPr>
        <w:t>Women studies</w:t>
      </w:r>
      <w:r w:rsidRPr="00725306">
        <w:rPr>
          <w:rFonts w:ascii="Cambria" w:hAnsi="Cambria" w:cs="Times New Roman"/>
          <w:b w:val="0"/>
          <w:bCs/>
          <w:sz w:val="22"/>
        </w:rPr>
        <w:t xml:space="preserve">. Les </w:t>
      </w:r>
      <w:r w:rsidRPr="00725306">
        <w:rPr>
          <w:rFonts w:ascii="Cambria" w:hAnsi="Cambria" w:cs="Times New Roman"/>
          <w:b w:val="0"/>
          <w:bCs/>
          <w:i/>
          <w:sz w:val="22"/>
        </w:rPr>
        <w:t>Gender studies</w:t>
      </w:r>
      <w:r w:rsidRPr="00725306">
        <w:rPr>
          <w:rFonts w:ascii="Cambria" w:hAnsi="Cambria" w:cs="Times New Roman"/>
          <w:b w:val="0"/>
          <w:bCs/>
          <w:sz w:val="22"/>
        </w:rPr>
        <w:t xml:space="preserve"> ont pris le relai dans une perspective nouvelle qui a pris en compte la construction des identités masculines et féminines, avant de s’attacher à définir le masculin et le féminin eux-mêmes dans le contexte de chaque société ainsi que la façon dont ces marqueurs étaient utilisés pour justifier et renforcer les rapports de force au sein de ces sociétés, le genre se définissant dès lors davantage comme une relation que comme une identité.</w:t>
      </w:r>
    </w:p>
    <w:p w14:paraId="1527A993" w14:textId="7767626A" w:rsidR="005755C5"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Temps de mutations et de recompositions, le haut Moyen Âge est une époque pour laquelle bien des historiens mettent désormais en valeur au sujet du genre des mutations fondamentales, qui accompagnent les bouleversements politiques et sociaux attachés à l’essor des royaumes et empires médiévaux ainsi qu’à la christianisation de la société. Après une réflexion générale sur la construction des identités genrées dans l’Antiquité tardive et le haut Moyen Âge, on abordera plusieurs grandes thématiques : celle de la place des femmes et des hommes au sein de la famille – notamment dans le cadre du mariage et du veuvage ; celle des relations entre hommes/femmes et sacré en interrogeant notamment la place du corps, enfin celle de la dimension genrée du pouvoir.</w:t>
      </w:r>
    </w:p>
    <w:p w14:paraId="0624C494" w14:textId="3D7A3A9F" w:rsidR="003225C8"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On essaiera à chaque fois de montrer comment l’histoire des femmes doit être comprise comme une composante essentielle de l’histoire dont celles-ci sont partie prenante, sans l’isoler de l’ensemble de l’histoire et comment le critère féminin/masculin permet de reconsidérer les relations au sein des sociétés du haut Moyen Âge occidental. On prêtera aussi une attention particulière aux stratégies discursives des auteurs altimédiévaux, qui usent de stratégies discursives genrées différentes selon les œuvres qu’ils rédigent (régimes de genre).</w:t>
      </w:r>
    </w:p>
    <w:p w14:paraId="6F910239" w14:textId="77777777" w:rsidR="005755C5" w:rsidRPr="00725306" w:rsidRDefault="005755C5" w:rsidP="003225C8">
      <w:pPr>
        <w:rPr>
          <w:rFonts w:ascii="Times New Roman" w:hAnsi="Times New Roman" w:cs="Times New Roman"/>
          <w:sz w:val="22"/>
        </w:rPr>
      </w:pPr>
    </w:p>
    <w:p w14:paraId="57B6DD53" w14:textId="5909FF39" w:rsidR="003225C8" w:rsidRPr="00133140" w:rsidRDefault="003225C8" w:rsidP="003225C8">
      <w:pPr>
        <w:rPr>
          <w:rFonts w:ascii="Times New Roman" w:hAnsi="Times New Roman" w:cs="Times New Roman"/>
          <w:b w:val="0"/>
        </w:rPr>
      </w:pPr>
      <w:r w:rsidRPr="00133140">
        <w:rPr>
          <w:rFonts w:ascii="Times New Roman" w:hAnsi="Times New Roman" w:cs="Times New Roman"/>
        </w:rPr>
        <w:t>Bibliographie</w:t>
      </w:r>
    </w:p>
    <w:p w14:paraId="1D5596AA"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J. Audebrand, </w:t>
      </w:r>
      <w:r w:rsidRPr="00133140">
        <w:rPr>
          <w:rFonts w:ascii="Cambria" w:hAnsi="Cambria" w:cs="Times New Roman"/>
          <w:b w:val="0"/>
          <w:bCs/>
          <w:i/>
        </w:rPr>
        <w:t>La vie des femmes au Moyen Âge. Une autre histoire, VIe-XIe siècle</w:t>
      </w:r>
      <w:r w:rsidRPr="00133140">
        <w:rPr>
          <w:rFonts w:ascii="Cambria" w:hAnsi="Cambria" w:cs="Times New Roman"/>
          <w:b w:val="0"/>
          <w:bCs/>
        </w:rPr>
        <w:t>, Paris, 2026.</w:t>
      </w:r>
    </w:p>
    <w:p w14:paraId="7781C59B"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R. Le Jan,</w:t>
      </w:r>
      <w:r w:rsidRPr="00133140">
        <w:rPr>
          <w:rFonts w:ascii="Cambria" w:hAnsi="Cambria" w:cs="Times New Roman"/>
          <w:b w:val="0"/>
          <w:bCs/>
          <w:i/>
        </w:rPr>
        <w:t xml:space="preserve"> Femmes, pouvoir et société, </w:t>
      </w:r>
      <w:r w:rsidRPr="00133140">
        <w:rPr>
          <w:rFonts w:ascii="Cambria" w:hAnsi="Cambria" w:cs="Times New Roman"/>
          <w:b w:val="0"/>
          <w:bCs/>
        </w:rPr>
        <w:t>Paris, Picard, 2001.</w:t>
      </w:r>
    </w:p>
    <w:p w14:paraId="4886C0F2" w14:textId="77777777" w:rsidR="003225C8" w:rsidRPr="00133140" w:rsidRDefault="003225C8" w:rsidP="003225C8">
      <w:pPr>
        <w:jc w:val="both"/>
        <w:rPr>
          <w:rFonts w:ascii="Cambria" w:hAnsi="Cambria" w:cs="Times New Roman"/>
          <w:b w:val="0"/>
          <w:bCs/>
          <w:lang w:val="en-US"/>
        </w:rPr>
      </w:pPr>
      <w:r w:rsidRPr="00133140">
        <w:rPr>
          <w:rFonts w:ascii="Cambria" w:hAnsi="Cambria" w:cs="Times New Roman"/>
          <w:b w:val="0"/>
          <w:bCs/>
          <w:i/>
          <w:lang w:val="en-US"/>
        </w:rPr>
        <w:t>Gender in the Early Medieval World, East and west 300-900</w:t>
      </w:r>
      <w:r w:rsidRPr="00133140">
        <w:rPr>
          <w:rFonts w:ascii="Cambria" w:hAnsi="Cambria" w:cs="Times New Roman"/>
          <w:b w:val="0"/>
          <w:bCs/>
          <w:lang w:val="en-US"/>
        </w:rPr>
        <w:t>, ed. L. Brubaker et J. H. Smith, Cambridge University Press, 2004.</w:t>
      </w:r>
    </w:p>
    <w:p w14:paraId="74A4E4A5" w14:textId="77777777" w:rsidR="003225C8" w:rsidRPr="00133140" w:rsidRDefault="003225C8" w:rsidP="003225C8">
      <w:pPr>
        <w:jc w:val="both"/>
        <w:rPr>
          <w:rFonts w:ascii="Cambria" w:hAnsi="Cambria" w:cs="Times New Roman"/>
          <w:b w:val="0"/>
          <w:bCs/>
          <w:szCs w:val="24"/>
        </w:rPr>
      </w:pPr>
      <w:r w:rsidRPr="00133140">
        <w:rPr>
          <w:rFonts w:ascii="Cambria" w:hAnsi="Cambria" w:cs="Times New Roman"/>
          <w:b w:val="0"/>
          <w:bCs/>
          <w:szCs w:val="24"/>
        </w:rPr>
        <w:t xml:space="preserve">S. Joye, « La ‘crise de la famille’. Débats contemporains et représentations médiévales à la lecture des sources du haut Moyen Âge occidental », </w:t>
      </w:r>
      <w:r w:rsidRPr="00133140">
        <w:rPr>
          <w:rFonts w:ascii="Cambria" w:hAnsi="Cambria" w:cs="Times New Roman"/>
          <w:b w:val="0"/>
          <w:bCs/>
          <w:i/>
          <w:szCs w:val="24"/>
        </w:rPr>
        <w:t>Mélanges de l’École française de Rome</w:t>
      </w:r>
      <w:r w:rsidRPr="00133140">
        <w:rPr>
          <w:rFonts w:ascii="Cambria" w:hAnsi="Cambria" w:cs="Times New Roman"/>
          <w:b w:val="0"/>
          <w:bCs/>
          <w:szCs w:val="24"/>
        </w:rPr>
        <w:t xml:space="preserve"> (131/1), 2019, p. 55-65 [ </w:t>
      </w:r>
      <w:hyperlink r:id="rId16" w:history="1">
        <w:r w:rsidRPr="00133140">
          <w:rPr>
            <w:rStyle w:val="Lienhypertexte"/>
            <w:rFonts w:ascii="Cambria" w:hAnsi="Cambria" w:cs="Times New Roman"/>
            <w:b w:val="0"/>
            <w:bCs/>
            <w:szCs w:val="24"/>
          </w:rPr>
          <w:t>https://doi.org/10.4000/mefrm.5450</w:t>
        </w:r>
      </w:hyperlink>
      <w:r w:rsidRPr="00133140">
        <w:rPr>
          <w:rFonts w:ascii="Cambria" w:hAnsi="Cambria" w:cs="Times New Roman"/>
          <w:b w:val="0"/>
          <w:bCs/>
          <w:szCs w:val="24"/>
        </w:rPr>
        <w:t xml:space="preserve"> ]</w:t>
      </w:r>
    </w:p>
    <w:p w14:paraId="74E47AE2"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S. Joye et R. Le Jan (éd.), </w:t>
      </w:r>
      <w:r w:rsidRPr="00133140">
        <w:rPr>
          <w:rFonts w:ascii="Cambria" w:hAnsi="Cambria" w:cs="Times New Roman"/>
          <w:b w:val="0"/>
          <w:bCs/>
          <w:i/>
        </w:rPr>
        <w:t>Genre et compétition dans les sociétés occidentales du haut Moyen Âge (IVe-XIe s.)</w:t>
      </w:r>
      <w:r w:rsidRPr="00133140">
        <w:rPr>
          <w:rFonts w:ascii="Cambria" w:hAnsi="Cambria" w:cs="Times New Roman"/>
          <w:b w:val="0"/>
          <w:bCs/>
        </w:rPr>
        <w:t>, Turnhout, Brepols, 2018.</w:t>
      </w:r>
    </w:p>
    <w:p w14:paraId="7C4B347F"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S. Joye, </w:t>
      </w:r>
      <w:r w:rsidRPr="00133140">
        <w:rPr>
          <w:rFonts w:ascii="Cambria" w:hAnsi="Cambria" w:cs="Times New Roman"/>
          <w:b w:val="0"/>
          <w:bCs/>
          <w:i/>
        </w:rPr>
        <w:t>La femme ravie. Le mariage par rapt dans les sociétés occidentales du haut Moyen Âge</w:t>
      </w:r>
      <w:r w:rsidRPr="00133140">
        <w:rPr>
          <w:rFonts w:ascii="Cambria" w:hAnsi="Cambria" w:cs="Times New Roman"/>
          <w:b w:val="0"/>
          <w:bCs/>
        </w:rPr>
        <w:t>, Turnhout, Brepols, 2012.</w:t>
      </w:r>
    </w:p>
    <w:p w14:paraId="6C29EAD7"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E. Santinelli, </w:t>
      </w:r>
      <w:r w:rsidRPr="00133140">
        <w:rPr>
          <w:rFonts w:ascii="Cambria" w:hAnsi="Cambria" w:cs="Times New Roman"/>
          <w:b w:val="0"/>
          <w:bCs/>
          <w:i/>
        </w:rPr>
        <w:t>Des femmes éplorées ? Les veuves dans la société aristocratique du haut Moyen Âge</w:t>
      </w:r>
      <w:r w:rsidRPr="00133140">
        <w:rPr>
          <w:rFonts w:ascii="Cambria" w:hAnsi="Cambria" w:cs="Times New Roman"/>
          <w:b w:val="0"/>
          <w:bCs/>
        </w:rPr>
        <w:t>, Lille, Presses universitaires du Septentrion, 2003.</w:t>
      </w:r>
    </w:p>
    <w:p w14:paraId="1F2319F1"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E. Santinelli-Foltz, </w:t>
      </w:r>
      <w:r w:rsidRPr="00133140">
        <w:rPr>
          <w:rFonts w:ascii="Cambria" w:hAnsi="Cambria" w:cs="Times New Roman"/>
          <w:b w:val="0"/>
          <w:bCs/>
          <w:i/>
        </w:rPr>
        <w:t>Couples et conjugalité au haut Moyen Âge (Ve-XIIe s.)</w:t>
      </w:r>
      <w:r w:rsidRPr="00133140">
        <w:rPr>
          <w:rFonts w:ascii="Cambria" w:hAnsi="Cambria" w:cs="Times New Roman"/>
          <w:b w:val="0"/>
          <w:bCs/>
        </w:rPr>
        <w:t>, Turnhout, Brepols, 2022.</w:t>
      </w:r>
    </w:p>
    <w:p w14:paraId="04EFF2BD" w14:textId="20A6F251" w:rsidR="00D67C89" w:rsidRDefault="003225C8" w:rsidP="003225C8">
      <w:pPr>
        <w:jc w:val="both"/>
        <w:rPr>
          <w:rFonts w:ascii="Cambria" w:hAnsi="Cambria" w:cs="Times New Roman"/>
          <w:b w:val="0"/>
          <w:bCs/>
          <w:sz w:val="22"/>
          <w:lang w:val="en-US"/>
        </w:rPr>
      </w:pPr>
      <w:r w:rsidRPr="00725306">
        <w:rPr>
          <w:rFonts w:ascii="Cambria" w:hAnsi="Cambria" w:cs="Times New Roman"/>
          <w:b w:val="0"/>
          <w:bCs/>
          <w:sz w:val="22"/>
          <w:lang w:val="en-US"/>
        </w:rPr>
        <w:t xml:space="preserve">R. Stone, </w:t>
      </w:r>
      <w:r w:rsidRPr="00725306">
        <w:rPr>
          <w:rFonts w:ascii="Cambria" w:hAnsi="Cambria" w:cs="Times New Roman"/>
          <w:b w:val="0"/>
          <w:bCs/>
          <w:i/>
          <w:sz w:val="22"/>
          <w:lang w:val="en-US"/>
        </w:rPr>
        <w:t>Morality and Masculinity in the Carolingian Empire</w:t>
      </w:r>
      <w:r w:rsidRPr="00725306">
        <w:rPr>
          <w:rFonts w:ascii="Cambria" w:hAnsi="Cambria" w:cs="Times New Roman"/>
          <w:b w:val="0"/>
          <w:bCs/>
          <w:sz w:val="22"/>
          <w:lang w:val="en-US"/>
        </w:rPr>
        <w:t>, Cambridge University Press, 2012</w:t>
      </w:r>
    </w:p>
    <w:p w14:paraId="6D651E8F" w14:textId="77777777" w:rsidR="00725306" w:rsidRPr="00725306" w:rsidRDefault="00725306" w:rsidP="003225C8">
      <w:pPr>
        <w:jc w:val="both"/>
        <w:rPr>
          <w:rFonts w:ascii="Cambria" w:hAnsi="Cambria" w:cs="Times New Roman"/>
          <w:b w:val="0"/>
          <w:bCs/>
          <w:color w:val="C00000"/>
          <w:sz w:val="22"/>
          <w:lang w:val="en-US"/>
        </w:rPr>
      </w:pPr>
    </w:p>
    <w:p w14:paraId="3DE03524" w14:textId="042856B0" w:rsidR="00D246E7" w:rsidRPr="00725306" w:rsidRDefault="00B96761" w:rsidP="00725306">
      <w:pPr>
        <w:rPr>
          <w:rFonts w:ascii="Cambria" w:hAnsi="Cambria" w:cs="Times New Roman"/>
          <w:color w:val="B71E42" w:themeColor="accent1"/>
          <w:sz w:val="22"/>
        </w:rPr>
      </w:pPr>
      <w:r w:rsidRPr="00725306">
        <w:rPr>
          <w:rFonts w:ascii="Cambria" w:hAnsi="Cambria" w:cs="Times New Roman"/>
          <w:color w:val="B71E42" w:themeColor="accent1"/>
          <w:sz w:val="22"/>
          <w:u w:val="single"/>
        </w:rPr>
        <w:t xml:space="preserve">Sujet du cours </w:t>
      </w:r>
      <w:r w:rsidR="00D67C89" w:rsidRPr="00725306">
        <w:rPr>
          <w:rFonts w:ascii="Cambria" w:hAnsi="Cambria" w:cs="Times New Roman"/>
          <w:color w:val="B71E42" w:themeColor="accent1"/>
          <w:sz w:val="22"/>
          <w:u w:val="single"/>
        </w:rPr>
        <w:t>semestre 2</w:t>
      </w:r>
      <w:r w:rsidRPr="00725306">
        <w:rPr>
          <w:rFonts w:ascii="Cambria" w:hAnsi="Cambria" w:cs="Times New Roman"/>
          <w:color w:val="B71E42" w:themeColor="accent1"/>
          <w:sz w:val="22"/>
        </w:rPr>
        <w:t xml:space="preserve"> : </w:t>
      </w:r>
      <w:bookmarkStart w:id="15" w:name="_Hlk170726838"/>
      <w:r w:rsidRPr="00725306">
        <w:rPr>
          <w:rFonts w:ascii="Cambria" w:hAnsi="Cambria" w:cs="Times New Roman"/>
          <w:color w:val="B71E42" w:themeColor="accent1"/>
          <w:sz w:val="22"/>
        </w:rPr>
        <w:t xml:space="preserve">Normes et transgressions dans les sociétés occidentales du haut Moyen </w:t>
      </w:r>
      <w:r w:rsidR="00725B98" w:rsidRPr="00725306">
        <w:rPr>
          <w:rFonts w:ascii="Cambria" w:hAnsi="Cambria" w:cs="Times New Roman"/>
          <w:color w:val="B71E42" w:themeColor="accent1"/>
          <w:sz w:val="22"/>
        </w:rPr>
        <w:t>Âge (</w:t>
      </w:r>
      <w:r w:rsidRPr="00725306">
        <w:rPr>
          <w:rFonts w:ascii="Cambria" w:hAnsi="Cambria" w:cs="Times New Roman"/>
          <w:color w:val="B71E42" w:themeColor="accent1"/>
          <w:sz w:val="22"/>
        </w:rPr>
        <w:t>Ve-</w:t>
      </w:r>
      <w:r w:rsidR="008E7BFA" w:rsidRPr="00725306">
        <w:rPr>
          <w:rFonts w:ascii="Cambria" w:hAnsi="Cambria" w:cs="Times New Roman"/>
          <w:color w:val="B71E42" w:themeColor="accent1"/>
          <w:sz w:val="22"/>
        </w:rPr>
        <w:t xml:space="preserve"> </w:t>
      </w:r>
      <w:r w:rsidRPr="00725306">
        <w:rPr>
          <w:rFonts w:ascii="Cambria" w:hAnsi="Cambria" w:cs="Times New Roman"/>
          <w:color w:val="B71E42" w:themeColor="accent1"/>
          <w:sz w:val="22"/>
        </w:rPr>
        <w:t>Xe s.)</w:t>
      </w:r>
      <w:bookmarkEnd w:id="15"/>
    </w:p>
    <w:p w14:paraId="4F47A6BF" w14:textId="6A265D2A" w:rsidR="005755C5" w:rsidRPr="00725306" w:rsidRDefault="005755C5" w:rsidP="005755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sz w:val="22"/>
        </w:rPr>
      </w:pPr>
      <w:r w:rsidRPr="00725306">
        <w:rPr>
          <w:rFonts w:ascii="Times New Roman" w:hAnsi="Times New Roman" w:cs="Times New Roman"/>
          <w:sz w:val="22"/>
        </w:rPr>
        <w:t>Enseignant.e. s : Sylvie Joye, Axel Le Boulicaut</w:t>
      </w:r>
    </w:p>
    <w:p w14:paraId="0AD4D0AC" w14:textId="77777777" w:rsidR="005755C5" w:rsidRPr="00725306" w:rsidRDefault="005755C5" w:rsidP="005755C5">
      <w:pPr>
        <w:jc w:val="both"/>
        <w:rPr>
          <w:rFonts w:ascii="Cambria" w:hAnsi="Cambria" w:cs="Times New Roman"/>
          <w:b w:val="0"/>
          <w:bCs/>
          <w:sz w:val="22"/>
        </w:rPr>
      </w:pPr>
      <w:r w:rsidRPr="00725306">
        <w:rPr>
          <w:rFonts w:ascii="Cambria" w:hAnsi="Cambria" w:cs="Times New Roman"/>
          <w:b w:val="0"/>
          <w:bCs/>
          <w:sz w:val="22"/>
        </w:rPr>
        <w:t>La justice est la première des fonctions royales, que le souverain altimédiéval délègue au comte, et la mise par écrit de textes de loi et une des premières activités des rois francs. La rédaction de ces textes, dont l’étude a été profondément renouvelée ces dernières années, est un témoignage passionnant du creuset que constitue l’Occident du haut Moyen Âge. L’élaboration de nouvelles pratiques sociales et politiques est à la croisée d’héritages multiples et de capacités d’adaptation exceptionnelles dans ce monde que l’on a trop souvent décrit comme désordonné parce que non centralisé. Le cours de ce semestre ne s’attachera d’ailleurs pas seulement à évoquer la justice et le droit, mais aussi toutes les formes de normes, et en particulier les normes sociales, dont les transgressions révèlent les fondements symboliques et humains des sociétés altimédiévales, où les distinctions de genre et de statut juridique (libres, esclaves) ou religieux jouent des rôles essentiels, ainsi que les relations interpersonnelles.</w:t>
      </w:r>
    </w:p>
    <w:p w14:paraId="7AE8E9A2" w14:textId="78189ECF" w:rsidR="005755C5" w:rsidRPr="00725306" w:rsidRDefault="005755C5" w:rsidP="005755C5">
      <w:pPr>
        <w:jc w:val="both"/>
        <w:rPr>
          <w:rFonts w:ascii="Cambria" w:hAnsi="Cambria" w:cs="Times New Roman"/>
          <w:b w:val="0"/>
          <w:bCs/>
          <w:sz w:val="22"/>
        </w:rPr>
      </w:pPr>
      <w:r w:rsidRPr="00725306">
        <w:rPr>
          <w:rFonts w:ascii="Cambria" w:hAnsi="Cambria" w:cs="Times New Roman"/>
          <w:b w:val="0"/>
          <w:bCs/>
          <w:sz w:val="22"/>
        </w:rPr>
        <w:t>La question du règlement des conflits elle-même n’est d’ailleurs pas limitée à l’exercice de la justice par les agents royaux au haut Moyen Âge : là aussi variété et adaptabilité priment. L’époque se caractérise par des héritages juridiques multiples et complexes, mais aussi par une cohabitation de textes et de pratiques dont la contradiction n’est pas un signe de chaos mais de fluidité et d’adaptabilité. De nombreuses sources évoquent l’importance des arrangements entre les parties, souvent grâce à̀ la médiation de tiers. Les textes législatifs eux-mêmes prévoient essentiellement un retour à̀ l’équilibre, par le paiement de compositions pécuniaires aux victimes, et ce pour éviter les cycles de vengeance, surtout en cas de meurtres. Le règlement des affaires et le choix des juges, lorsque ceux-ci interviennent, se font plus encore selon le statut des personnes que selon la nature des délits ou des crimes. L’époque carolingienne voit une tentative de grande mise en ordre et d’usage politique et idéologique nouveau du droit, qui s’appuie sur une sacralisation des normes sociales, familiales et religieuses, et crée de ce fait de nouvelles notions, comme celle de contre-nature.</w:t>
      </w:r>
    </w:p>
    <w:p w14:paraId="1436D6E8" w14:textId="77777777" w:rsidR="00D37AAF" w:rsidRPr="00725306" w:rsidRDefault="00D37AAF" w:rsidP="005755C5">
      <w:pPr>
        <w:rPr>
          <w:rFonts w:ascii="Times New Roman" w:hAnsi="Times New Roman" w:cs="Times New Roman"/>
          <w:sz w:val="22"/>
        </w:rPr>
      </w:pPr>
    </w:p>
    <w:p w14:paraId="4B9D4BB1" w14:textId="4F58941C" w:rsidR="005755C5" w:rsidRPr="00725306" w:rsidRDefault="005755C5" w:rsidP="005755C5">
      <w:pPr>
        <w:rPr>
          <w:rFonts w:ascii="Times New Roman" w:hAnsi="Times New Roman" w:cs="Times New Roman"/>
          <w:b w:val="0"/>
          <w:sz w:val="22"/>
        </w:rPr>
      </w:pPr>
      <w:r w:rsidRPr="00725306">
        <w:rPr>
          <w:rFonts w:ascii="Times New Roman" w:hAnsi="Times New Roman" w:cs="Times New Roman"/>
          <w:sz w:val="22"/>
        </w:rPr>
        <w:t>Bibliographie</w:t>
      </w:r>
    </w:p>
    <w:p w14:paraId="6C6DABA7"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F. Bougard, </w:t>
      </w:r>
      <w:r w:rsidRPr="00725306">
        <w:rPr>
          <w:rFonts w:ascii="Times New Roman" w:hAnsi="Times New Roman" w:cs="Times New Roman"/>
          <w:b w:val="0"/>
          <w:bCs/>
          <w:i/>
          <w:sz w:val="22"/>
        </w:rPr>
        <w:t>Justice, culture juridique, pratiques documentaires durant le haut Moyen Âge (VIe-XIe s.)</w:t>
      </w:r>
      <w:r w:rsidRPr="00725306">
        <w:rPr>
          <w:rFonts w:ascii="Times New Roman" w:hAnsi="Times New Roman" w:cs="Times New Roman"/>
          <w:b w:val="0"/>
          <w:bCs/>
          <w:sz w:val="22"/>
        </w:rPr>
        <w:t>, Spolète, CISAM, 2024.</w:t>
      </w:r>
    </w:p>
    <w:p w14:paraId="465F0427" w14:textId="77777777" w:rsidR="005755C5" w:rsidRPr="00725306" w:rsidRDefault="005755C5" w:rsidP="005755C5">
      <w:pPr>
        <w:rPr>
          <w:rFonts w:ascii="Times New Roman" w:hAnsi="Times New Roman" w:cs="Times New Roman"/>
          <w:b w:val="0"/>
          <w:bCs/>
          <w:sz w:val="22"/>
          <w:lang w:val="en-US"/>
        </w:rPr>
      </w:pPr>
      <w:r w:rsidRPr="00725306">
        <w:rPr>
          <w:rFonts w:ascii="Times New Roman" w:hAnsi="Times New Roman" w:cs="Times New Roman"/>
          <w:b w:val="0"/>
          <w:bCs/>
          <w:sz w:val="22"/>
          <w:lang w:val="en-US"/>
        </w:rPr>
        <w:t xml:space="preserve">A. Rio (éd.), </w:t>
      </w:r>
      <w:r w:rsidRPr="00725306">
        <w:rPr>
          <w:rFonts w:ascii="Times New Roman" w:hAnsi="Times New Roman" w:cs="Times New Roman"/>
          <w:b w:val="0"/>
          <w:bCs/>
          <w:i/>
          <w:sz w:val="22"/>
          <w:lang w:val="en-US"/>
        </w:rPr>
        <w:t>Law, custom and justice in Late Antiquity and the Early Middle Ages</w:t>
      </w:r>
      <w:r w:rsidRPr="00725306">
        <w:rPr>
          <w:rFonts w:ascii="Times New Roman" w:hAnsi="Times New Roman" w:cs="Times New Roman"/>
          <w:b w:val="0"/>
          <w:bCs/>
          <w:sz w:val="22"/>
          <w:lang w:val="en-US"/>
        </w:rPr>
        <w:t>, Londres, Centre for Hellenic Studies, King’s College London, 2011.</w:t>
      </w:r>
    </w:p>
    <w:p w14:paraId="462F27F4" w14:textId="77777777" w:rsidR="005755C5" w:rsidRPr="00725306" w:rsidRDefault="005755C5" w:rsidP="005755C5">
      <w:pPr>
        <w:pStyle w:val="NormalWeb"/>
        <w:jc w:val="both"/>
        <w:rPr>
          <w:rFonts w:ascii="PalatinoLinotype" w:hAnsi="PalatinoLinotype"/>
          <w:bCs/>
          <w:sz w:val="22"/>
          <w:szCs w:val="22"/>
        </w:rPr>
      </w:pPr>
      <w:r w:rsidRPr="00725306">
        <w:rPr>
          <w:rFonts w:ascii="PalatinoLinotype" w:hAnsi="PalatinoLinotype"/>
          <w:bCs/>
          <w:sz w:val="22"/>
          <w:szCs w:val="22"/>
        </w:rPr>
        <w:t xml:space="preserve">O. Guillot, A. Rigaudière et Y. Sassier, </w:t>
      </w:r>
      <w:r w:rsidRPr="00725306">
        <w:rPr>
          <w:rFonts w:ascii="PalatinoLinotype" w:hAnsi="PalatinoLinotype"/>
          <w:bCs/>
          <w:i/>
          <w:iCs/>
          <w:sz w:val="22"/>
          <w:szCs w:val="22"/>
        </w:rPr>
        <w:t>Pouvoirs et institutions dans la France médiévale</w:t>
      </w:r>
      <w:r w:rsidRPr="00725306">
        <w:rPr>
          <w:rFonts w:ascii="PalatinoLinotype" w:hAnsi="PalatinoLinotype"/>
          <w:bCs/>
          <w:sz w:val="22"/>
          <w:szCs w:val="22"/>
        </w:rPr>
        <w:t xml:space="preserve">, </w:t>
      </w:r>
      <w:r w:rsidRPr="00725306">
        <w:rPr>
          <w:rFonts w:ascii="PalatinoLinotype" w:hAnsi="PalatinoLinotype"/>
          <w:bCs/>
          <w:i/>
          <w:iCs/>
          <w:sz w:val="22"/>
          <w:szCs w:val="22"/>
        </w:rPr>
        <w:t xml:space="preserve">tome I </w:t>
      </w:r>
      <w:r w:rsidRPr="00725306">
        <w:rPr>
          <w:rFonts w:ascii="PalatinoLinotype" w:hAnsi="PalatinoLinotype"/>
          <w:bCs/>
          <w:iCs/>
          <w:sz w:val="22"/>
          <w:szCs w:val="22"/>
        </w:rPr>
        <w:t>(O. Guillot)</w:t>
      </w:r>
      <w:r w:rsidRPr="00725306">
        <w:rPr>
          <w:rFonts w:ascii="PalatinoLinotype" w:hAnsi="PalatinoLinotype"/>
          <w:bCs/>
          <w:i/>
          <w:iCs/>
          <w:sz w:val="22"/>
          <w:szCs w:val="22"/>
        </w:rPr>
        <w:t xml:space="preserve"> : des origines à l'époque féodale</w:t>
      </w:r>
      <w:r w:rsidRPr="00725306">
        <w:rPr>
          <w:rFonts w:ascii="PalatinoLinotype" w:hAnsi="PalatinoLinotype"/>
          <w:bCs/>
          <w:sz w:val="22"/>
          <w:szCs w:val="22"/>
        </w:rPr>
        <w:t>, Paris, A. Colin, 1994.</w:t>
      </w:r>
    </w:p>
    <w:p w14:paraId="1A1CA90A" w14:textId="77777777" w:rsidR="005755C5" w:rsidRPr="00725306" w:rsidRDefault="005755C5" w:rsidP="005755C5">
      <w:pPr>
        <w:pStyle w:val="NormalWeb"/>
        <w:jc w:val="both"/>
        <w:rPr>
          <w:bCs/>
          <w:sz w:val="22"/>
          <w:szCs w:val="22"/>
          <w:lang w:val="en-US"/>
        </w:rPr>
      </w:pPr>
      <w:r w:rsidRPr="00725306">
        <w:rPr>
          <w:rFonts w:ascii="PalatinoLinotype" w:hAnsi="PalatinoLinotype"/>
          <w:bCs/>
          <w:sz w:val="22"/>
          <w:szCs w:val="22"/>
        </w:rPr>
        <w:t xml:space="preserve">R. Le Jan </w:t>
      </w:r>
      <w:r w:rsidRPr="00725306">
        <w:rPr>
          <w:rFonts w:ascii="PalatinoLinotype" w:hAnsi="PalatinoLinotype"/>
          <w:bCs/>
          <w:i/>
          <w:iCs/>
          <w:sz w:val="22"/>
          <w:szCs w:val="22"/>
        </w:rPr>
        <w:t>La société du haut Moyen Âge (VIe-IXe s.)</w:t>
      </w:r>
      <w:r w:rsidRPr="00725306">
        <w:rPr>
          <w:rFonts w:ascii="PalatinoLinotype" w:hAnsi="PalatinoLinotype"/>
          <w:bCs/>
          <w:sz w:val="22"/>
          <w:szCs w:val="22"/>
        </w:rPr>
        <w:t xml:space="preserve">, Paris, A. Colin (coll. </w:t>
      </w:r>
      <w:r w:rsidRPr="00725306">
        <w:rPr>
          <w:rFonts w:ascii="PalatinoLinotype" w:hAnsi="PalatinoLinotype"/>
          <w:bCs/>
          <w:sz w:val="22"/>
          <w:szCs w:val="22"/>
          <w:lang w:val="en-US"/>
        </w:rPr>
        <w:t xml:space="preserve">U), 2003. </w:t>
      </w:r>
    </w:p>
    <w:p w14:paraId="588D9F9A" w14:textId="77777777" w:rsidR="005755C5" w:rsidRPr="00725306" w:rsidRDefault="005755C5" w:rsidP="005755C5">
      <w:pPr>
        <w:pStyle w:val="NormalWeb"/>
        <w:jc w:val="both"/>
        <w:rPr>
          <w:rFonts w:ascii="PalatinoLinotype" w:hAnsi="PalatinoLinotype"/>
          <w:bCs/>
          <w:sz w:val="22"/>
          <w:szCs w:val="22"/>
          <w:lang w:val="en-US"/>
        </w:rPr>
      </w:pPr>
      <w:r w:rsidRPr="00725306">
        <w:rPr>
          <w:rFonts w:ascii="PalatinoLinotype" w:hAnsi="PalatinoLinotype"/>
          <w:bCs/>
          <w:sz w:val="22"/>
          <w:szCs w:val="22"/>
          <w:lang w:val="en-US"/>
        </w:rPr>
        <w:t xml:space="preserve">A. Rio, </w:t>
      </w:r>
      <w:r w:rsidRPr="00725306">
        <w:rPr>
          <w:rFonts w:ascii="PalatinoLinotype" w:hAnsi="PalatinoLinotype"/>
          <w:bCs/>
          <w:i/>
          <w:sz w:val="22"/>
          <w:szCs w:val="22"/>
          <w:lang w:val="en-US"/>
        </w:rPr>
        <w:t>Slavery after Rome. 500-1100</w:t>
      </w:r>
      <w:r w:rsidRPr="00725306">
        <w:rPr>
          <w:rFonts w:ascii="PalatinoLinotype" w:hAnsi="PalatinoLinotype"/>
          <w:bCs/>
          <w:sz w:val="22"/>
          <w:szCs w:val="22"/>
          <w:lang w:val="en-US"/>
        </w:rPr>
        <w:t>, Oxford University Press, 2017.</w:t>
      </w:r>
    </w:p>
    <w:p w14:paraId="4C30AEE9" w14:textId="77777777" w:rsidR="005755C5" w:rsidRPr="00725306" w:rsidRDefault="005755C5" w:rsidP="005755C5">
      <w:pPr>
        <w:rPr>
          <w:rFonts w:asciiTheme="majorBidi" w:hAnsiTheme="majorBidi" w:cstheme="majorBidi"/>
          <w:b w:val="0"/>
          <w:bCs/>
          <w:color w:val="191919"/>
          <w:sz w:val="22"/>
        </w:rPr>
      </w:pPr>
      <w:r w:rsidRPr="00725306">
        <w:rPr>
          <w:rFonts w:ascii="Times New Roman" w:hAnsi="Times New Roman" w:cs="Times New Roman"/>
          <w:b w:val="0"/>
          <w:bCs/>
          <w:i/>
          <w:sz w:val="22"/>
          <w:lang w:val="en-US"/>
        </w:rPr>
        <w:t xml:space="preserve">La forge du droit. </w:t>
      </w:r>
      <w:r w:rsidRPr="00725306">
        <w:rPr>
          <w:rFonts w:ascii="Times New Roman" w:hAnsi="Times New Roman" w:cs="Times New Roman"/>
          <w:b w:val="0"/>
          <w:bCs/>
          <w:i/>
          <w:sz w:val="22"/>
        </w:rPr>
        <w:t>Naissance des identités juridiques en Europe (</w:t>
      </w:r>
      <w:r w:rsidRPr="00725306">
        <w:rPr>
          <w:rFonts w:ascii="Times New Roman" w:hAnsi="Times New Roman" w:cs="Times New Roman"/>
          <w:b w:val="0"/>
          <w:bCs/>
          <w:i/>
          <w:smallCaps/>
          <w:sz w:val="22"/>
        </w:rPr>
        <w:t>iv</w:t>
      </w:r>
      <w:r w:rsidRPr="00725306">
        <w:rPr>
          <w:rFonts w:ascii="Times New Roman" w:hAnsi="Times New Roman" w:cs="Times New Roman"/>
          <w:b w:val="0"/>
          <w:bCs/>
          <w:i/>
          <w:sz w:val="22"/>
          <w:vertAlign w:val="superscript"/>
        </w:rPr>
        <w:t>e</w:t>
      </w:r>
      <w:r w:rsidRPr="00725306">
        <w:rPr>
          <w:rFonts w:ascii="Times New Roman" w:hAnsi="Times New Roman" w:cs="Times New Roman"/>
          <w:b w:val="0"/>
          <w:bCs/>
          <w:i/>
          <w:sz w:val="22"/>
        </w:rPr>
        <w:t>-</w:t>
      </w:r>
      <w:r w:rsidRPr="00725306">
        <w:rPr>
          <w:rFonts w:ascii="Times New Roman" w:hAnsi="Times New Roman" w:cs="Times New Roman"/>
          <w:b w:val="0"/>
          <w:bCs/>
          <w:i/>
          <w:smallCaps/>
          <w:sz w:val="22"/>
        </w:rPr>
        <w:t>xiii</w:t>
      </w:r>
      <w:r w:rsidRPr="00725306">
        <w:rPr>
          <w:rFonts w:ascii="Times New Roman" w:hAnsi="Times New Roman" w:cs="Times New Roman"/>
          <w:b w:val="0"/>
          <w:bCs/>
          <w:i/>
          <w:sz w:val="22"/>
          <w:vertAlign w:val="superscript"/>
        </w:rPr>
        <w:t>e</w:t>
      </w:r>
      <w:r w:rsidRPr="00725306">
        <w:rPr>
          <w:rFonts w:ascii="Times New Roman" w:hAnsi="Times New Roman" w:cs="Times New Roman"/>
          <w:b w:val="0"/>
          <w:bCs/>
          <w:i/>
          <w:sz w:val="22"/>
        </w:rPr>
        <w:t xml:space="preserve"> siècle)</w:t>
      </w:r>
      <w:r w:rsidRPr="00725306">
        <w:rPr>
          <w:rFonts w:ascii="Times New Roman" w:hAnsi="Times New Roman" w:cs="Times New Roman"/>
          <w:b w:val="0"/>
          <w:bCs/>
          <w:sz w:val="22"/>
        </w:rPr>
        <w:t xml:space="preserve">, </w:t>
      </w:r>
      <w:r w:rsidRPr="00725306">
        <w:rPr>
          <w:rFonts w:asciiTheme="majorBidi" w:hAnsiTheme="majorBidi" w:cstheme="majorBidi"/>
          <w:b w:val="0"/>
          <w:bCs/>
          <w:i/>
          <w:color w:val="191919"/>
          <w:sz w:val="22"/>
        </w:rPr>
        <w:t>Clio@Themis</w:t>
      </w:r>
      <w:r w:rsidRPr="00725306">
        <w:rPr>
          <w:rFonts w:asciiTheme="majorBidi" w:hAnsiTheme="majorBidi" w:cstheme="majorBidi"/>
          <w:b w:val="0"/>
          <w:bCs/>
          <w:color w:val="191919"/>
          <w:sz w:val="22"/>
        </w:rPr>
        <w:t xml:space="preserve">, 10, 2016 : </w:t>
      </w:r>
      <w:hyperlink r:id="rId17" w:history="1">
        <w:r w:rsidRPr="00725306">
          <w:rPr>
            <w:rStyle w:val="Lienhypertexte"/>
            <w:rFonts w:asciiTheme="majorBidi" w:hAnsiTheme="majorBidi"/>
            <w:b w:val="0"/>
            <w:bCs/>
            <w:sz w:val="22"/>
          </w:rPr>
          <w:t>https://journals.openedition.org/cliothemis/84</w:t>
        </w:r>
      </w:hyperlink>
      <w:r w:rsidRPr="00725306">
        <w:rPr>
          <w:rFonts w:asciiTheme="majorBidi" w:hAnsiTheme="majorBidi" w:cstheme="majorBidi"/>
          <w:b w:val="0"/>
          <w:bCs/>
          <w:color w:val="191919"/>
          <w:sz w:val="22"/>
        </w:rPr>
        <w:t xml:space="preserve"> </w:t>
      </w:r>
    </w:p>
    <w:p w14:paraId="02B303EE"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S. Joye (dir.), </w:t>
      </w:r>
      <w:r w:rsidRPr="00725306">
        <w:rPr>
          <w:rFonts w:ascii="Times New Roman" w:hAnsi="Times New Roman" w:cs="Times New Roman"/>
          <w:b w:val="0"/>
          <w:bCs/>
          <w:i/>
          <w:sz w:val="22"/>
        </w:rPr>
        <w:t>Les lois barbares. Dire le droit et le pouvoir après la disparition de l’Empire romain</w:t>
      </w:r>
      <w:r w:rsidRPr="00725306">
        <w:rPr>
          <w:rFonts w:ascii="Times New Roman" w:hAnsi="Times New Roman" w:cs="Times New Roman"/>
          <w:b w:val="0"/>
          <w:bCs/>
          <w:sz w:val="22"/>
        </w:rPr>
        <w:t>, Presses Universitaires de Rennes, Rennes, 2025.</w:t>
      </w:r>
    </w:p>
    <w:p w14:paraId="28AA686D"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S. Joye, « Fabrique d’une loi, fabrique d’un peuple, fabrique des mœurs : les lois barbares », dans V. Beaulande-Barraud, J. Claustre, E. Marmursztejn  éd., </w:t>
      </w:r>
      <w:r w:rsidRPr="00725306">
        <w:rPr>
          <w:rFonts w:ascii="Times New Roman" w:hAnsi="Times New Roman" w:cs="Times New Roman"/>
          <w:b w:val="0"/>
          <w:bCs/>
          <w:i/>
          <w:sz w:val="22"/>
        </w:rPr>
        <w:t>La fabrique de la norme. Lieux et modes de production des normes au Moyen Âge et à l’époque moderne</w:t>
      </w:r>
      <w:r w:rsidRPr="00725306">
        <w:rPr>
          <w:rFonts w:ascii="Times New Roman" w:hAnsi="Times New Roman" w:cs="Times New Roman"/>
          <w:b w:val="0"/>
          <w:bCs/>
          <w:sz w:val="22"/>
        </w:rPr>
        <w:t>, Rennes, 2012, p. 91-108.</w:t>
      </w:r>
    </w:p>
    <w:p w14:paraId="02652119" w14:textId="77777777" w:rsidR="00624B20" w:rsidRPr="00133140" w:rsidRDefault="00624B20"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47B504D9"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3E91F50"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FBD9D6C"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3D820E2E"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27065D3"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72CDE51E"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736C745"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70D2B3B6"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04D1BA6"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640FA783"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68C78FA" w14:textId="77777777" w:rsidR="00373338" w:rsidRPr="00725306" w:rsidRDefault="00373338" w:rsidP="00C62270">
      <w:pPr>
        <w:spacing w:after="0" w:line="276" w:lineRule="auto"/>
        <w:contextualSpacing/>
        <w:rPr>
          <w:rFonts w:ascii="Cambria" w:hAnsi="Cambria"/>
          <w:sz w:val="26"/>
          <w:szCs w:val="26"/>
        </w:rPr>
      </w:pPr>
    </w:p>
    <w:p w14:paraId="5609BAA7" w14:textId="77777777" w:rsidR="00E94CB3" w:rsidRPr="00725306" w:rsidRDefault="00FC408E" w:rsidP="00A82377">
      <w:pPr>
        <w:spacing w:after="0" w:line="276" w:lineRule="auto"/>
        <w:contextualSpacing/>
        <w:jc w:val="center"/>
        <w:rPr>
          <w:rFonts w:ascii="Cambria" w:hAnsi="Cambria"/>
          <w:i/>
          <w:sz w:val="26"/>
          <w:szCs w:val="26"/>
          <w:lang w:eastAsia="en-US"/>
        </w:rPr>
      </w:pPr>
      <w:r w:rsidRPr="00725306">
        <w:rPr>
          <w:rFonts w:ascii="Cambria" w:hAnsi="Cambria"/>
          <w:i/>
          <w:color w:val="C00000"/>
          <w:sz w:val="26"/>
          <w:szCs w:val="26"/>
          <w:lang w:eastAsia="en-US"/>
        </w:rPr>
        <w:t>J3021919/J3022019</w:t>
      </w:r>
      <w:r w:rsidR="00E94CB3" w:rsidRPr="00725306">
        <w:rPr>
          <w:rFonts w:ascii="Cambria" w:hAnsi="Cambria"/>
          <w:i/>
          <w:color w:val="C00000"/>
          <w:sz w:val="26"/>
          <w:szCs w:val="26"/>
          <w:lang w:eastAsia="en-US"/>
        </w:rPr>
        <w:t> : Histoire politique du bas Moyen Âge</w:t>
      </w:r>
    </w:p>
    <w:p w14:paraId="4E4A7C79" w14:textId="77777777" w:rsidR="00E94CB3" w:rsidRPr="00725306" w:rsidRDefault="00E94CB3" w:rsidP="00C62270">
      <w:pPr>
        <w:spacing w:after="0" w:line="276" w:lineRule="auto"/>
        <w:contextualSpacing/>
        <w:jc w:val="center"/>
        <w:rPr>
          <w:rFonts w:ascii="Cambria" w:hAnsi="Cambria"/>
          <w:i/>
          <w:sz w:val="26"/>
          <w:szCs w:val="26"/>
          <w:lang w:eastAsia="en-US"/>
        </w:rPr>
      </w:pPr>
    </w:p>
    <w:p w14:paraId="5CB79EC1" w14:textId="07197A27" w:rsidR="00675C1B" w:rsidRPr="00133140" w:rsidRDefault="006B6A08" w:rsidP="006B6A08">
      <w:pPr>
        <w:rPr>
          <w:rFonts w:ascii="Cambria" w:hAnsi="Cambria"/>
          <w:b w:val="0"/>
          <w:bCs/>
          <w:sz w:val="22"/>
        </w:rPr>
      </w:pPr>
      <w:r>
        <w:rPr>
          <w:rFonts w:ascii="Cambria" w:hAnsi="Cambria"/>
          <w:bCs/>
          <w:sz w:val="22"/>
        </w:rPr>
        <w:t xml:space="preserve">                         </w:t>
      </w:r>
      <w:r w:rsidR="00BB50F0" w:rsidRPr="00133140">
        <w:rPr>
          <w:rFonts w:ascii="Cambria" w:hAnsi="Cambria"/>
          <w:bCs/>
          <w:sz w:val="22"/>
        </w:rPr>
        <w:t xml:space="preserve">Olivier Mattéoni (CM), </w:t>
      </w:r>
      <w:r w:rsidR="00675C1B" w:rsidRPr="00133140">
        <w:rPr>
          <w:rFonts w:ascii="Cambria" w:hAnsi="Cambria"/>
          <w:bCs/>
          <w:sz w:val="22"/>
        </w:rPr>
        <w:t>Élisabeth Schmit (TD S1)</w:t>
      </w:r>
    </w:p>
    <w:p w14:paraId="61B54690" w14:textId="7BFE0154" w:rsidR="00BB50F0" w:rsidRDefault="00BB50F0" w:rsidP="00725306">
      <w:pPr>
        <w:jc w:val="center"/>
        <w:rPr>
          <w:rFonts w:ascii="Cambria" w:hAnsi="Cambria"/>
          <w:b w:val="0"/>
          <w:bCs/>
          <w:sz w:val="22"/>
        </w:rPr>
      </w:pPr>
      <w:r w:rsidRPr="00133140">
        <w:rPr>
          <w:rFonts w:ascii="Cambria" w:hAnsi="Cambria"/>
          <w:bCs/>
          <w:sz w:val="22"/>
        </w:rPr>
        <w:t>Marie Dejoux (TD S</w:t>
      </w:r>
      <w:r w:rsidR="00675C1B" w:rsidRPr="00133140">
        <w:rPr>
          <w:rFonts w:ascii="Cambria" w:hAnsi="Cambria"/>
          <w:bCs/>
          <w:sz w:val="22"/>
        </w:rPr>
        <w:t>2</w:t>
      </w:r>
      <w:r w:rsidRPr="00133140">
        <w:rPr>
          <w:rFonts w:ascii="Cambria" w:hAnsi="Cambria"/>
          <w:bCs/>
          <w:sz w:val="22"/>
        </w:rPr>
        <w:t>)</w:t>
      </w:r>
      <w:r w:rsidRPr="00133140">
        <w:rPr>
          <w:rFonts w:ascii="Cambria" w:hAnsi="Cambria"/>
          <w:b w:val="0"/>
          <w:bCs/>
          <w:sz w:val="22"/>
        </w:rPr>
        <w:t xml:space="preserve">, </w:t>
      </w:r>
    </w:p>
    <w:p w14:paraId="5FE0CBCB" w14:textId="77777777" w:rsidR="00725306" w:rsidRPr="00725306" w:rsidRDefault="00725306" w:rsidP="00725306">
      <w:pPr>
        <w:jc w:val="center"/>
        <w:rPr>
          <w:rFonts w:ascii="Cambria" w:hAnsi="Cambria"/>
          <w:b w:val="0"/>
          <w:bCs/>
          <w:sz w:val="22"/>
        </w:rPr>
      </w:pPr>
    </w:p>
    <w:p w14:paraId="7FF7784A" w14:textId="361A5762" w:rsidR="00BB50F0" w:rsidRPr="004D0850" w:rsidRDefault="00BB50F0" w:rsidP="00BB50F0">
      <w:pPr>
        <w:rPr>
          <w:rFonts w:ascii="Cambria" w:hAnsi="Cambria" w:cs="Times New Roman"/>
          <w:bCs/>
          <w:color w:val="C00000"/>
          <w:sz w:val="22"/>
        </w:rPr>
      </w:pPr>
      <w:r w:rsidRPr="004D0850">
        <w:rPr>
          <w:rFonts w:ascii="Cambria" w:hAnsi="Cambria" w:cs="Times New Roman"/>
          <w:bCs/>
          <w:color w:val="C00000"/>
          <w:sz w:val="22"/>
          <w:u w:val="single"/>
        </w:rPr>
        <w:t xml:space="preserve">Sujet du cours semestre </w:t>
      </w:r>
      <w:r w:rsidR="00675C1B" w:rsidRPr="004D0850">
        <w:rPr>
          <w:rFonts w:ascii="Cambria" w:hAnsi="Cambria" w:cs="Times New Roman"/>
          <w:bCs/>
          <w:color w:val="C00000"/>
          <w:sz w:val="22"/>
          <w:u w:val="single"/>
        </w:rPr>
        <w:t>1</w:t>
      </w:r>
      <w:r w:rsidRPr="004D0850">
        <w:rPr>
          <w:rFonts w:ascii="Cambria" w:hAnsi="Cambria" w:cs="Times New Roman"/>
          <w:bCs/>
          <w:color w:val="C00000"/>
          <w:sz w:val="22"/>
        </w:rPr>
        <w:t> : Le prince et la ville (France, Angleterre, Pays-Bas bourguignons, Empire, XIII</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-XV</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 xml:space="preserve"> siècle)</w:t>
      </w:r>
    </w:p>
    <w:p w14:paraId="53CEAFAF" w14:textId="77777777" w:rsidR="00BB50F0" w:rsidRPr="00133140" w:rsidRDefault="00BB50F0" w:rsidP="00BB50F0">
      <w:pPr>
        <w:jc w:val="both"/>
        <w:rPr>
          <w:rFonts w:ascii="Cambria" w:hAnsi="Cambria" w:cs="Times New Roman"/>
          <w:b w:val="0"/>
          <w:color w:val="000000" w:themeColor="text1"/>
          <w:sz w:val="22"/>
        </w:rPr>
      </w:pPr>
      <w:r w:rsidRPr="00133140">
        <w:rPr>
          <w:rFonts w:ascii="Cambria" w:hAnsi="Cambria" w:cs="Times New Roman"/>
          <w:b w:val="0"/>
          <w:color w:val="000000" w:themeColor="text1"/>
          <w:sz w:val="22"/>
        </w:rPr>
        <w:t xml:space="preserve">À partir du </w:t>
      </w:r>
      <w:r w:rsidRPr="00133140">
        <w:rPr>
          <w:rFonts w:ascii="Cambria" w:hAnsi="Cambria" w:cs="Times New Roman"/>
          <w:b w:val="0"/>
          <w:smallCaps/>
          <w:color w:val="000000" w:themeColor="text1"/>
          <w:sz w:val="22"/>
        </w:rPr>
        <w:t>xii</w:t>
      </w:r>
      <w:r w:rsidRPr="00133140">
        <w:rPr>
          <w:rFonts w:ascii="Cambria" w:hAnsi="Cambria" w:cs="Times New Roman"/>
          <w:b w:val="0"/>
          <w:color w:val="000000" w:themeColor="text1"/>
          <w:sz w:val="22"/>
          <w:vertAlign w:val="superscript"/>
        </w:rPr>
        <w:t>e</w:t>
      </w:r>
      <w:r w:rsidRPr="00133140">
        <w:rPr>
          <w:rFonts w:ascii="Cambria" w:hAnsi="Cambria" w:cs="Times New Roman"/>
          <w:b w:val="0"/>
          <w:color w:val="000000" w:themeColor="text1"/>
          <w:sz w:val="22"/>
        </w:rPr>
        <w:t xml:space="preserve"> siècle, le développement des villes a été une caractéristique de l’histoire de l’Occident latin. Si certaines zones ont été plus touchées que d’autres, le phénomène a néanmoins été général. Apparues dans des espaces qui étaient sous le contrôle de seigneurs, de princes et de rois, les villes ont très vite été contraintes de composer avec ces pouvoirs, dont certains – le pouvoir royal en France et en Angleterre – ont connu une même dynamique de croissance et de renforcement de leur assise. Dès lors, l’histoire des villes comme celle des pouvoirs princiers qui se sont renforcés à la fin du Moyen Âge ne peut se comprendre sans que soient prises en compte les interactions entre les deux entités. L’enjeu de cet enseignement est d’éclairer les relations du prince avec les villes, qui ont souvent été des points d’appui à son pouvoir. Lieux d’expériences politiques dont les princes ont pu tirer parti, les villes ont aussi été largement tributaires des pouvoirs supérieurs dans leur développement administratif et politique. Dès lors, entre le prince et la ville, se sont développées des relations faites d’imitation et de compétition, de collaboration et d’opposition. Riche de cet arrière-plan, l’enseignement abordera plusieurs thèmes : la place des villes dans l’armature territoriale des constructions princières, la participation des élites bourgeoises au gouvernement du prince, la place des villes dans la mise en place d’une fiscalité étatique, les modalités du nécessaire dialogue entre le prince et les villes par le biais des assemblées ou des entrées princières, les révoltes urbaines, le rôle du prince dans l’aménagement urbanistique des villes, l’émergence de capitales mais aussi de villes de cours et de résidence pour le prince. Il y a là autant de thématiques qui doivent </w:t>
      </w:r>
      <w:r w:rsidRPr="00133140">
        <w:rPr>
          <w:rFonts w:ascii="Cambria" w:hAnsi="Cambria" w:cs="Times New Roman"/>
          <w:b w:val="0"/>
          <w:i/>
          <w:iCs/>
          <w:color w:val="000000" w:themeColor="text1"/>
          <w:sz w:val="22"/>
        </w:rPr>
        <w:t>in fine</w:t>
      </w:r>
      <w:r w:rsidRPr="00133140">
        <w:rPr>
          <w:rFonts w:ascii="Cambria" w:hAnsi="Cambria" w:cs="Times New Roman"/>
          <w:b w:val="0"/>
          <w:color w:val="000000" w:themeColor="text1"/>
          <w:sz w:val="22"/>
        </w:rPr>
        <w:t xml:space="preserve"> conduire à s’interroger sur la culture politique des villes, et voir en quoi cette culture, construite autour de la notion de bien commun, était compatible avec les ambitions souveraines du prince. </w:t>
      </w:r>
    </w:p>
    <w:p w14:paraId="3B36AFB4" w14:textId="77777777" w:rsidR="00BB50F0" w:rsidRPr="00133140" w:rsidRDefault="00BB50F0" w:rsidP="00BB50F0">
      <w:pPr>
        <w:rPr>
          <w:rFonts w:ascii="Cambria" w:hAnsi="Cambria" w:cs="Times New Roman"/>
          <w:sz w:val="22"/>
        </w:rPr>
      </w:pPr>
      <w:r w:rsidRPr="00133140">
        <w:rPr>
          <w:rFonts w:ascii="Cambria" w:hAnsi="Cambria" w:cs="Times New Roman"/>
          <w:sz w:val="22"/>
        </w:rPr>
        <w:t>Bibliographie de base</w:t>
      </w:r>
    </w:p>
    <w:p w14:paraId="3BFF722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Patrick </w:t>
      </w:r>
      <w:r w:rsidRPr="00133140">
        <w:rPr>
          <w:rFonts w:ascii="Cambria" w:hAnsi="Cambria" w:cs="Times New Roman"/>
          <w:b w:val="0"/>
          <w:bCs/>
          <w:smallCaps/>
          <w:sz w:val="22"/>
        </w:rPr>
        <w:t>Boucheron</w:t>
      </w:r>
      <w:r w:rsidRPr="00133140">
        <w:rPr>
          <w:rFonts w:ascii="Cambria" w:hAnsi="Cambria" w:cs="Times New Roman"/>
          <w:b w:val="0"/>
          <w:bCs/>
          <w:sz w:val="22"/>
        </w:rPr>
        <w:t xml:space="preserve">, Denis </w:t>
      </w:r>
      <w:r w:rsidRPr="00133140">
        <w:rPr>
          <w:rFonts w:ascii="Cambria" w:hAnsi="Cambria" w:cs="Times New Roman"/>
          <w:b w:val="0"/>
          <w:bCs/>
          <w:smallCaps/>
          <w:sz w:val="22"/>
        </w:rPr>
        <w:t>Menjot</w:t>
      </w:r>
      <w:r w:rsidRPr="00133140">
        <w:rPr>
          <w:rFonts w:ascii="Cambria" w:hAnsi="Cambria" w:cs="Times New Roman"/>
          <w:b w:val="0"/>
          <w:bCs/>
          <w:sz w:val="22"/>
        </w:rPr>
        <w:t xml:space="preserve">, Marc </w:t>
      </w:r>
      <w:r w:rsidRPr="00133140">
        <w:rPr>
          <w:rFonts w:ascii="Cambria" w:hAnsi="Cambria" w:cs="Times New Roman"/>
          <w:b w:val="0"/>
          <w:bCs/>
          <w:smallCaps/>
          <w:sz w:val="22"/>
        </w:rPr>
        <w:t>Boone</w:t>
      </w:r>
      <w:r w:rsidRPr="00133140">
        <w:rPr>
          <w:rFonts w:ascii="Cambria" w:hAnsi="Cambria" w:cs="Times New Roman"/>
          <w:b w:val="0"/>
          <w:bCs/>
          <w:sz w:val="22"/>
        </w:rPr>
        <w:t xml:space="preserve">, </w:t>
      </w:r>
      <w:r w:rsidRPr="00133140">
        <w:rPr>
          <w:rFonts w:ascii="Cambria" w:hAnsi="Cambria" w:cs="Times New Roman"/>
          <w:b w:val="0"/>
          <w:bCs/>
          <w:i/>
          <w:iCs/>
          <w:sz w:val="22"/>
        </w:rPr>
        <w:t>Histoire de l’Europe urbaine</w:t>
      </w:r>
      <w:r w:rsidRPr="00133140">
        <w:rPr>
          <w:rFonts w:ascii="Cambria" w:hAnsi="Cambria" w:cs="Times New Roman"/>
          <w:b w:val="0"/>
          <w:bCs/>
          <w:sz w:val="22"/>
        </w:rPr>
        <w:t>, Paris, Seuil, 2011.</w:t>
      </w:r>
    </w:p>
    <w:p w14:paraId="51CAC28B"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Jacques </w:t>
      </w:r>
      <w:r w:rsidRPr="00133140">
        <w:rPr>
          <w:rFonts w:ascii="Cambria" w:hAnsi="Cambria" w:cs="Times New Roman"/>
          <w:b w:val="0"/>
          <w:bCs/>
          <w:smallCaps/>
          <w:sz w:val="22"/>
        </w:rPr>
        <w:t>Le Goff</w:t>
      </w:r>
      <w:r w:rsidRPr="00133140">
        <w:rPr>
          <w:rFonts w:ascii="Cambria" w:hAnsi="Cambria" w:cs="Times New Roman"/>
          <w:b w:val="0"/>
          <w:bCs/>
          <w:sz w:val="22"/>
        </w:rPr>
        <w:t xml:space="preserve"> (dir.), </w:t>
      </w:r>
      <w:r w:rsidRPr="00133140">
        <w:rPr>
          <w:rFonts w:ascii="Cambria" w:hAnsi="Cambria" w:cs="Times New Roman"/>
          <w:b w:val="0"/>
          <w:bCs/>
          <w:i/>
          <w:iCs/>
          <w:sz w:val="22"/>
        </w:rPr>
        <w:t>La ville médiévale des Carolingiens à la Renaissance</w:t>
      </w:r>
      <w:r w:rsidRPr="00133140">
        <w:rPr>
          <w:rFonts w:ascii="Cambria" w:hAnsi="Cambria" w:cs="Times New Roman"/>
          <w:b w:val="0"/>
          <w:bCs/>
          <w:sz w:val="22"/>
        </w:rPr>
        <w:t xml:space="preserve">, t. 2 de Georges Duby (dir.), </w:t>
      </w:r>
      <w:r w:rsidRPr="00133140">
        <w:rPr>
          <w:rFonts w:ascii="Cambria" w:hAnsi="Cambria" w:cs="Times New Roman"/>
          <w:b w:val="0"/>
          <w:bCs/>
          <w:i/>
          <w:iCs/>
          <w:sz w:val="22"/>
        </w:rPr>
        <w:t>Histoire de la France urbaine</w:t>
      </w:r>
      <w:r w:rsidRPr="00133140">
        <w:rPr>
          <w:rFonts w:ascii="Cambria" w:hAnsi="Cambria" w:cs="Times New Roman"/>
          <w:b w:val="0"/>
          <w:bCs/>
          <w:sz w:val="22"/>
        </w:rPr>
        <w:t>, Paris, Seuil, 1980.</w:t>
      </w:r>
    </w:p>
    <w:p w14:paraId="6A9624D0"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Julie </w:t>
      </w:r>
      <w:r w:rsidRPr="00133140">
        <w:rPr>
          <w:rFonts w:ascii="Cambria" w:hAnsi="Cambria" w:cs="Times New Roman"/>
          <w:b w:val="0"/>
          <w:bCs/>
          <w:smallCaps/>
          <w:sz w:val="22"/>
        </w:rPr>
        <w:t>Pilorget</w:t>
      </w:r>
      <w:r w:rsidRPr="00133140">
        <w:rPr>
          <w:rFonts w:ascii="Cambria" w:hAnsi="Cambria" w:cs="Times New Roman"/>
          <w:b w:val="0"/>
          <w:bCs/>
          <w:sz w:val="22"/>
        </w:rPr>
        <w:t xml:space="preserve">, Cécile </w:t>
      </w:r>
      <w:r w:rsidRPr="00133140">
        <w:rPr>
          <w:rFonts w:ascii="Cambria" w:hAnsi="Cambria" w:cs="Times New Roman"/>
          <w:b w:val="0"/>
          <w:bCs/>
          <w:smallCaps/>
          <w:sz w:val="22"/>
        </w:rPr>
        <w:t>Becchia</w:t>
      </w:r>
      <w:r w:rsidRPr="00133140">
        <w:rPr>
          <w:rFonts w:ascii="Cambria" w:hAnsi="Cambria" w:cs="Times New Roman"/>
          <w:b w:val="0"/>
          <w:bCs/>
          <w:sz w:val="22"/>
        </w:rPr>
        <w:t xml:space="preserve">, Tobias </w:t>
      </w:r>
      <w:r w:rsidRPr="00133140">
        <w:rPr>
          <w:rFonts w:ascii="Cambria" w:hAnsi="Cambria" w:cs="Times New Roman"/>
          <w:b w:val="0"/>
          <w:bCs/>
          <w:smallCaps/>
          <w:sz w:val="22"/>
        </w:rPr>
        <w:t>Boestad</w:t>
      </w:r>
      <w:r w:rsidRPr="00133140">
        <w:rPr>
          <w:rFonts w:ascii="Cambria" w:hAnsi="Cambria" w:cs="Times New Roman"/>
          <w:b w:val="0"/>
          <w:bCs/>
          <w:sz w:val="22"/>
        </w:rPr>
        <w:t xml:space="preserve"> et </w:t>
      </w:r>
      <w:r w:rsidRPr="00133140">
        <w:rPr>
          <w:rFonts w:ascii="Cambria" w:hAnsi="Cambria" w:cs="Times New Roman"/>
          <w:b w:val="0"/>
          <w:bCs/>
          <w:i/>
          <w:iCs/>
          <w:sz w:val="22"/>
        </w:rPr>
        <w:t>alii</w:t>
      </w:r>
      <w:r w:rsidRPr="00133140">
        <w:rPr>
          <w:rFonts w:ascii="Cambria" w:hAnsi="Cambria" w:cs="Times New Roman"/>
          <w:b w:val="0"/>
          <w:bCs/>
          <w:sz w:val="22"/>
        </w:rPr>
        <w:t xml:space="preserve">, </w:t>
      </w:r>
      <w:r w:rsidRPr="00133140">
        <w:rPr>
          <w:rFonts w:ascii="Cambria" w:hAnsi="Cambria" w:cs="Times New Roman"/>
          <w:b w:val="0"/>
          <w:bCs/>
          <w:i/>
          <w:iCs/>
          <w:sz w:val="22"/>
        </w:rPr>
        <w:t xml:space="preserve">Villes et constructions étatiques en Europe du Nord-Ouest, </w:t>
      </w:r>
      <w:r w:rsidRPr="00133140">
        <w:rPr>
          <w:rFonts w:ascii="Cambria" w:hAnsi="Cambria" w:cs="Times New Roman"/>
          <w:b w:val="0"/>
          <w:bCs/>
          <w:i/>
          <w:iCs/>
          <w:smallCaps/>
          <w:sz w:val="22"/>
        </w:rPr>
        <w:t>xiii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Atlande, 2022.</w:t>
      </w:r>
    </w:p>
    <w:p w14:paraId="1D0F22FF"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Neithard </w:t>
      </w:r>
      <w:r w:rsidRPr="00133140">
        <w:rPr>
          <w:rFonts w:ascii="Cambria" w:hAnsi="Cambria" w:cs="Times New Roman"/>
          <w:b w:val="0"/>
          <w:bCs/>
          <w:smallCaps/>
          <w:sz w:val="22"/>
        </w:rPr>
        <w:t>Bulst</w:t>
      </w:r>
      <w:r w:rsidRPr="00133140">
        <w:rPr>
          <w:rFonts w:ascii="Cambria" w:hAnsi="Cambria" w:cs="Times New Roman"/>
          <w:b w:val="0"/>
          <w:bCs/>
          <w:sz w:val="22"/>
        </w:rPr>
        <w:t xml:space="preserve"> et Jean-Philippe </w:t>
      </w:r>
      <w:r w:rsidRPr="00133140">
        <w:rPr>
          <w:rFonts w:ascii="Cambria" w:hAnsi="Cambria" w:cs="Times New Roman"/>
          <w:b w:val="0"/>
          <w:bCs/>
          <w:smallCaps/>
          <w:sz w:val="22"/>
        </w:rPr>
        <w:t>Genet</w:t>
      </w:r>
      <w:r w:rsidRPr="00133140">
        <w:rPr>
          <w:rFonts w:ascii="Cambria" w:hAnsi="Cambria" w:cs="Times New Roman"/>
          <w:b w:val="0"/>
          <w:bCs/>
          <w:sz w:val="22"/>
        </w:rPr>
        <w:t xml:space="preserve"> (dir.), </w:t>
      </w:r>
      <w:r w:rsidRPr="00133140">
        <w:rPr>
          <w:rFonts w:ascii="Cambria" w:hAnsi="Cambria" w:cs="Times New Roman"/>
          <w:b w:val="0"/>
          <w:bCs/>
          <w:i/>
          <w:iCs/>
          <w:sz w:val="22"/>
        </w:rPr>
        <w:t>La ville, la bourgeoise et la genèse de l’État moderne (</w:t>
      </w:r>
      <w:r w:rsidRPr="00133140">
        <w:rPr>
          <w:rFonts w:ascii="Cambria" w:hAnsi="Cambria" w:cs="Times New Roman"/>
          <w:b w:val="0"/>
          <w:bCs/>
          <w:i/>
          <w:iCs/>
          <w:smallCaps/>
          <w:sz w:val="22"/>
        </w:rPr>
        <w:t>xii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Éditions du CNRS, 1988.</w:t>
      </w:r>
    </w:p>
    <w:p w14:paraId="68BE4589"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Patrick </w:t>
      </w:r>
      <w:r w:rsidRPr="00133140">
        <w:rPr>
          <w:rFonts w:ascii="Cambria" w:hAnsi="Cambria" w:cs="Times New Roman"/>
          <w:b w:val="0"/>
          <w:bCs/>
          <w:smallCaps/>
          <w:sz w:val="22"/>
        </w:rPr>
        <w:t>Boucheron</w:t>
      </w:r>
      <w:r w:rsidRPr="00133140">
        <w:rPr>
          <w:rFonts w:ascii="Cambria" w:hAnsi="Cambria" w:cs="Times New Roman"/>
          <w:b w:val="0"/>
          <w:bCs/>
          <w:sz w:val="22"/>
        </w:rPr>
        <w:t xml:space="preserve">, Jean-Philippe </w:t>
      </w:r>
      <w:r w:rsidRPr="00133140">
        <w:rPr>
          <w:rFonts w:ascii="Cambria" w:hAnsi="Cambria" w:cs="Times New Roman"/>
          <w:b w:val="0"/>
          <w:bCs/>
          <w:smallCaps/>
          <w:sz w:val="22"/>
        </w:rPr>
        <w:t>Genet</w:t>
      </w:r>
      <w:r w:rsidRPr="00133140">
        <w:rPr>
          <w:rFonts w:ascii="Cambria" w:hAnsi="Cambria" w:cs="Times New Roman"/>
          <w:b w:val="0"/>
          <w:bCs/>
          <w:sz w:val="22"/>
        </w:rPr>
        <w:t xml:space="preserve"> (dir.), </w:t>
      </w:r>
      <w:r w:rsidRPr="00133140">
        <w:rPr>
          <w:rFonts w:ascii="Cambria" w:hAnsi="Cambria" w:cs="Times New Roman"/>
          <w:b w:val="0"/>
          <w:bCs/>
          <w:i/>
          <w:iCs/>
          <w:sz w:val="22"/>
        </w:rPr>
        <w:t>Marquer la ville. Signes, traces, empreintes du pouvoir (</w:t>
      </w:r>
      <w:r w:rsidRPr="00133140">
        <w:rPr>
          <w:rFonts w:ascii="Cambria" w:hAnsi="Cambria" w:cs="Times New Roman"/>
          <w:b w:val="0"/>
          <w:bCs/>
          <w:i/>
          <w:iCs/>
          <w:smallCaps/>
          <w:sz w:val="22"/>
        </w:rPr>
        <w:t>xiii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Paris-Rome, Publications de la Sorbonne/École française de Rome, 2013.</w:t>
      </w:r>
    </w:p>
    <w:p w14:paraId="667E7BBF"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Bernard </w:t>
      </w:r>
      <w:r w:rsidRPr="00133140">
        <w:rPr>
          <w:rFonts w:ascii="Cambria" w:hAnsi="Cambria" w:cs="Times New Roman"/>
          <w:b w:val="0"/>
          <w:bCs/>
          <w:smallCaps/>
          <w:sz w:val="22"/>
        </w:rPr>
        <w:t>Chevalier</w:t>
      </w:r>
      <w:r w:rsidRPr="00133140">
        <w:rPr>
          <w:rFonts w:ascii="Cambria" w:hAnsi="Cambria" w:cs="Times New Roman"/>
          <w:b w:val="0"/>
          <w:bCs/>
          <w:sz w:val="22"/>
        </w:rPr>
        <w:t xml:space="preserve">, </w:t>
      </w:r>
      <w:r w:rsidRPr="00133140">
        <w:rPr>
          <w:rFonts w:ascii="Cambria" w:hAnsi="Cambria" w:cs="Times New Roman"/>
          <w:b w:val="0"/>
          <w:bCs/>
          <w:i/>
          <w:iCs/>
          <w:sz w:val="22"/>
        </w:rPr>
        <w:t xml:space="preserve">Les bonnes villes de France du </w:t>
      </w:r>
      <w:r w:rsidRPr="00133140">
        <w:rPr>
          <w:rFonts w:ascii="Cambria" w:hAnsi="Cambria" w:cs="Times New Roman"/>
          <w:b w:val="0"/>
          <w:bCs/>
          <w:i/>
          <w:iCs/>
          <w:smallCaps/>
          <w:sz w:val="22"/>
        </w:rPr>
        <w:t>xiv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au </w:t>
      </w:r>
      <w:r w:rsidRPr="00133140">
        <w:rPr>
          <w:rFonts w:ascii="Cambria" w:hAnsi="Cambria" w:cs="Times New Roman"/>
          <w:b w:val="0"/>
          <w:bCs/>
          <w:i/>
          <w:iCs/>
          <w:smallCaps/>
          <w:sz w:val="22"/>
        </w:rPr>
        <w:t>xvi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Aubier-Montaigne, 1982.</w:t>
      </w:r>
    </w:p>
    <w:p w14:paraId="1D5E4C92"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Albert </w:t>
      </w:r>
      <w:r w:rsidRPr="00133140">
        <w:rPr>
          <w:rFonts w:ascii="Cambria" w:hAnsi="Cambria" w:cs="Times New Roman"/>
          <w:b w:val="0"/>
          <w:bCs/>
          <w:smallCaps/>
          <w:sz w:val="22"/>
        </w:rPr>
        <w:t>Rigaudière</w:t>
      </w:r>
      <w:r w:rsidRPr="00133140">
        <w:rPr>
          <w:rFonts w:ascii="Cambria" w:hAnsi="Cambria" w:cs="Times New Roman"/>
          <w:b w:val="0"/>
          <w:bCs/>
          <w:sz w:val="22"/>
        </w:rPr>
        <w:t xml:space="preserve">, </w:t>
      </w:r>
      <w:r w:rsidRPr="00133140">
        <w:rPr>
          <w:rFonts w:ascii="Cambria" w:hAnsi="Cambria" w:cs="Times New Roman"/>
          <w:b w:val="0"/>
          <w:bCs/>
          <w:i/>
          <w:iCs/>
          <w:sz w:val="22"/>
        </w:rPr>
        <w:t>Gouverner la ville au Moyen Âge</w:t>
      </w:r>
      <w:r w:rsidRPr="00133140">
        <w:rPr>
          <w:rFonts w:ascii="Cambria" w:hAnsi="Cambria" w:cs="Times New Roman"/>
          <w:b w:val="0"/>
          <w:bCs/>
          <w:sz w:val="22"/>
        </w:rPr>
        <w:t>, Paris, Anthropos, 1993.</w:t>
      </w:r>
    </w:p>
    <w:p w14:paraId="45AC2C0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Pierre </w:t>
      </w:r>
      <w:r w:rsidRPr="00133140">
        <w:rPr>
          <w:rFonts w:ascii="Cambria" w:hAnsi="Cambria" w:cs="Times New Roman"/>
          <w:b w:val="0"/>
          <w:bCs/>
          <w:smallCaps/>
          <w:sz w:val="22"/>
        </w:rPr>
        <w:t>Monnet</w:t>
      </w:r>
      <w:r w:rsidRPr="00133140">
        <w:rPr>
          <w:rFonts w:ascii="Cambria" w:hAnsi="Cambria" w:cs="Times New Roman"/>
          <w:b w:val="0"/>
          <w:bCs/>
          <w:sz w:val="22"/>
        </w:rPr>
        <w:t xml:space="preserve">, </w:t>
      </w:r>
      <w:r w:rsidRPr="00133140">
        <w:rPr>
          <w:rFonts w:ascii="Cambria" w:hAnsi="Cambria" w:cs="Times New Roman"/>
          <w:b w:val="0"/>
          <w:bCs/>
          <w:i/>
          <w:iCs/>
          <w:sz w:val="22"/>
        </w:rPr>
        <w:t>Villes d’Allemagne au Moyen Âge</w:t>
      </w:r>
      <w:r w:rsidRPr="00133140">
        <w:rPr>
          <w:rFonts w:ascii="Cambria" w:hAnsi="Cambria" w:cs="Times New Roman"/>
          <w:b w:val="0"/>
          <w:bCs/>
          <w:sz w:val="22"/>
        </w:rPr>
        <w:t>, Paris, Picard, 2004.</w:t>
      </w:r>
    </w:p>
    <w:p w14:paraId="79219162" w14:textId="77777777" w:rsidR="00BB50F0" w:rsidRPr="00133140" w:rsidRDefault="00BB50F0" w:rsidP="00BB50F0">
      <w:pPr>
        <w:jc w:val="both"/>
        <w:rPr>
          <w:rFonts w:ascii="Cambria" w:hAnsi="Cambria" w:cs="Times New Roman"/>
          <w:b w:val="0"/>
          <w:bCs/>
          <w:sz w:val="22"/>
          <w:lang w:val="en-US"/>
        </w:rPr>
      </w:pPr>
      <w:r w:rsidRPr="00133140">
        <w:rPr>
          <w:rFonts w:ascii="Cambria" w:hAnsi="Cambria" w:cs="Times New Roman"/>
          <w:b w:val="0"/>
          <w:bCs/>
          <w:sz w:val="22"/>
          <w:lang w:val="en-US"/>
        </w:rPr>
        <w:t xml:space="preserve">Lorraine </w:t>
      </w:r>
      <w:r w:rsidRPr="00133140">
        <w:rPr>
          <w:rFonts w:ascii="Cambria" w:hAnsi="Cambria" w:cs="Times New Roman"/>
          <w:b w:val="0"/>
          <w:bCs/>
          <w:smallCaps/>
          <w:sz w:val="22"/>
          <w:lang w:val="en-US"/>
        </w:rPr>
        <w:t>Attreed</w:t>
      </w:r>
      <w:r w:rsidRPr="00133140">
        <w:rPr>
          <w:rFonts w:ascii="Cambria" w:hAnsi="Cambria" w:cs="Times New Roman"/>
          <w:b w:val="0"/>
          <w:bCs/>
          <w:sz w:val="22"/>
          <w:lang w:val="en-US"/>
        </w:rPr>
        <w:t xml:space="preserve">, </w:t>
      </w:r>
      <w:r w:rsidRPr="00133140">
        <w:rPr>
          <w:rFonts w:ascii="Cambria" w:hAnsi="Cambria" w:cs="Times New Roman"/>
          <w:b w:val="0"/>
          <w:bCs/>
          <w:i/>
          <w:iCs/>
          <w:sz w:val="22"/>
          <w:lang w:val="en-US"/>
        </w:rPr>
        <w:t>The King’s Town. Identity and Survival In Late Medieval Boroughs</w:t>
      </w:r>
      <w:r w:rsidRPr="00133140">
        <w:rPr>
          <w:rFonts w:ascii="Cambria" w:hAnsi="Cambria" w:cs="Times New Roman"/>
          <w:b w:val="0"/>
          <w:bCs/>
          <w:sz w:val="22"/>
          <w:lang w:val="en-US"/>
        </w:rPr>
        <w:t>, New-York, Washington-Bern, Peter Lang, 2001.</w:t>
      </w:r>
    </w:p>
    <w:p w14:paraId="17D34714" w14:textId="77777777" w:rsidR="00BB50F0" w:rsidRPr="00133140" w:rsidRDefault="00BB50F0" w:rsidP="00BB50F0">
      <w:pPr>
        <w:jc w:val="both"/>
        <w:rPr>
          <w:rFonts w:ascii="Cambria" w:hAnsi="Cambria" w:cs="Times New Roman"/>
          <w:b w:val="0"/>
          <w:bCs/>
          <w:sz w:val="22"/>
          <w:lang w:val="en-US"/>
        </w:rPr>
      </w:pPr>
      <w:r w:rsidRPr="00133140">
        <w:rPr>
          <w:rFonts w:ascii="Cambria" w:hAnsi="Cambria" w:cs="Times New Roman"/>
          <w:b w:val="0"/>
          <w:bCs/>
          <w:sz w:val="22"/>
          <w:lang w:val="en-US"/>
        </w:rPr>
        <w:t xml:space="preserve">David M. </w:t>
      </w:r>
      <w:r w:rsidRPr="00133140">
        <w:rPr>
          <w:rFonts w:ascii="Cambria" w:hAnsi="Cambria" w:cs="Times New Roman"/>
          <w:b w:val="0"/>
          <w:bCs/>
          <w:smallCaps/>
          <w:sz w:val="22"/>
          <w:lang w:val="en-US"/>
        </w:rPr>
        <w:t>Pallister</w:t>
      </w:r>
      <w:r w:rsidRPr="00133140">
        <w:rPr>
          <w:rFonts w:ascii="Cambria" w:hAnsi="Cambria" w:cs="Times New Roman"/>
          <w:b w:val="0"/>
          <w:bCs/>
          <w:sz w:val="22"/>
          <w:lang w:val="en-US"/>
        </w:rPr>
        <w:t xml:space="preserve">, </w:t>
      </w:r>
      <w:r w:rsidRPr="00133140">
        <w:rPr>
          <w:rFonts w:ascii="Cambria" w:hAnsi="Cambria" w:cs="Times New Roman"/>
          <w:b w:val="0"/>
          <w:bCs/>
          <w:i/>
          <w:iCs/>
          <w:sz w:val="22"/>
          <w:lang w:val="en-US"/>
        </w:rPr>
        <w:t>Towns and Local Communities in Medieval and Early Modern England</w:t>
      </w:r>
      <w:r w:rsidRPr="00133140">
        <w:rPr>
          <w:rFonts w:ascii="Cambria" w:hAnsi="Cambria" w:cs="Times New Roman"/>
          <w:b w:val="0"/>
          <w:bCs/>
          <w:sz w:val="22"/>
          <w:lang w:val="en-US"/>
        </w:rPr>
        <w:t>, Aldershot-Burlington, Ashagate, 2006</w:t>
      </w:r>
    </w:p>
    <w:p w14:paraId="1F5A8217"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Claire </w:t>
      </w:r>
      <w:r w:rsidRPr="00133140">
        <w:rPr>
          <w:rFonts w:ascii="Cambria" w:hAnsi="Cambria" w:cs="Times New Roman"/>
          <w:b w:val="0"/>
          <w:bCs/>
          <w:smallCaps/>
          <w:sz w:val="22"/>
        </w:rPr>
        <w:t>Billen</w:t>
      </w:r>
      <w:r w:rsidRPr="00133140">
        <w:rPr>
          <w:rFonts w:ascii="Cambria" w:hAnsi="Cambria" w:cs="Times New Roman"/>
          <w:b w:val="0"/>
          <w:bCs/>
          <w:sz w:val="22"/>
        </w:rPr>
        <w:t xml:space="preserve">, Marc </w:t>
      </w:r>
      <w:r w:rsidRPr="00133140">
        <w:rPr>
          <w:rFonts w:ascii="Cambria" w:hAnsi="Cambria" w:cs="Times New Roman"/>
          <w:b w:val="0"/>
          <w:bCs/>
          <w:smallCaps/>
          <w:sz w:val="22"/>
        </w:rPr>
        <w:t>Boone</w:t>
      </w:r>
      <w:r w:rsidRPr="00133140">
        <w:rPr>
          <w:rFonts w:ascii="Cambria" w:hAnsi="Cambria" w:cs="Times New Roman"/>
          <w:b w:val="0"/>
          <w:bCs/>
          <w:sz w:val="22"/>
        </w:rPr>
        <w:t xml:space="preserve">, Bruno </w:t>
      </w:r>
      <w:r w:rsidRPr="00133140">
        <w:rPr>
          <w:rFonts w:ascii="Cambria" w:hAnsi="Cambria" w:cs="Times New Roman"/>
          <w:b w:val="0"/>
          <w:bCs/>
          <w:smallCaps/>
          <w:sz w:val="22"/>
        </w:rPr>
        <w:t>Blondé</w:t>
      </w:r>
      <w:r w:rsidRPr="00133140">
        <w:rPr>
          <w:rFonts w:ascii="Cambria" w:hAnsi="Cambria" w:cs="Times New Roman"/>
          <w:b w:val="0"/>
          <w:bCs/>
          <w:sz w:val="22"/>
        </w:rPr>
        <w:t xml:space="preserve"> et Anne-Laure </w:t>
      </w:r>
      <w:r w:rsidRPr="00133140">
        <w:rPr>
          <w:rFonts w:ascii="Cambria" w:hAnsi="Cambria" w:cs="Times New Roman"/>
          <w:b w:val="0"/>
          <w:bCs/>
          <w:smallCaps/>
          <w:sz w:val="22"/>
        </w:rPr>
        <w:t>Bruene</w:t>
      </w:r>
      <w:r w:rsidRPr="00133140">
        <w:rPr>
          <w:rFonts w:ascii="Cambria" w:hAnsi="Cambria" w:cs="Times New Roman"/>
          <w:b w:val="0"/>
          <w:bCs/>
          <w:sz w:val="22"/>
        </w:rPr>
        <w:t xml:space="preserve">, </w:t>
      </w:r>
      <w:r w:rsidRPr="00133140">
        <w:rPr>
          <w:rFonts w:ascii="Cambria" w:hAnsi="Cambria" w:cs="Times New Roman"/>
          <w:b w:val="0"/>
          <w:bCs/>
          <w:i/>
          <w:iCs/>
          <w:sz w:val="22"/>
        </w:rPr>
        <w:t>Faire société au Moyen Âge. Histoire urbaine des anciens Pays-Bas (1100-1600)</w:t>
      </w:r>
      <w:r w:rsidRPr="00133140">
        <w:rPr>
          <w:rFonts w:ascii="Cambria" w:hAnsi="Cambria" w:cs="Times New Roman"/>
          <w:b w:val="0"/>
          <w:bCs/>
          <w:sz w:val="22"/>
        </w:rPr>
        <w:t>, Paris, Classiques Garnier, 2021.</w:t>
      </w:r>
    </w:p>
    <w:p w14:paraId="6E3D6C31"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Marc </w:t>
      </w:r>
      <w:r w:rsidRPr="00133140">
        <w:rPr>
          <w:rFonts w:ascii="Cambria" w:hAnsi="Cambria" w:cs="Times New Roman"/>
          <w:b w:val="0"/>
          <w:bCs/>
          <w:smallCaps/>
          <w:sz w:val="22"/>
        </w:rPr>
        <w:t>Boone</w:t>
      </w:r>
      <w:r w:rsidRPr="00133140">
        <w:rPr>
          <w:rFonts w:ascii="Cambria" w:hAnsi="Cambria" w:cs="Times New Roman"/>
          <w:b w:val="0"/>
          <w:bCs/>
          <w:sz w:val="22"/>
        </w:rPr>
        <w:t xml:space="preserve">, </w:t>
      </w:r>
      <w:r w:rsidRPr="00133140">
        <w:rPr>
          <w:rFonts w:ascii="Cambria" w:hAnsi="Cambria" w:cs="Times New Roman"/>
          <w:b w:val="0"/>
          <w:bCs/>
          <w:i/>
          <w:iCs/>
          <w:sz w:val="22"/>
        </w:rPr>
        <w:t>À la recherche d’une modernité civique : la société urbaine des anciens Pays-Bas au bas Moyen Âge</w:t>
      </w:r>
      <w:r w:rsidRPr="00133140">
        <w:rPr>
          <w:rFonts w:ascii="Cambria" w:hAnsi="Cambria" w:cs="Times New Roman"/>
          <w:b w:val="0"/>
          <w:bCs/>
          <w:sz w:val="22"/>
        </w:rPr>
        <w:t>, Bruxelles, Éditions de l’université de Bruxelles, 2010.</w:t>
      </w:r>
    </w:p>
    <w:p w14:paraId="456C8AB6"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Élodie </w:t>
      </w:r>
      <w:r w:rsidRPr="00133140">
        <w:rPr>
          <w:rFonts w:ascii="Cambria" w:hAnsi="Cambria" w:cs="Times New Roman"/>
          <w:b w:val="0"/>
          <w:bCs/>
          <w:smallCaps/>
          <w:sz w:val="22"/>
        </w:rPr>
        <w:t>Lecuppre-Desjardin</w:t>
      </w:r>
      <w:r w:rsidRPr="00133140">
        <w:rPr>
          <w:rFonts w:ascii="Cambria" w:hAnsi="Cambria" w:cs="Times New Roman"/>
          <w:b w:val="0"/>
          <w:bCs/>
          <w:sz w:val="22"/>
        </w:rPr>
        <w:t xml:space="preserve">, </w:t>
      </w:r>
      <w:r w:rsidRPr="00133140">
        <w:rPr>
          <w:rFonts w:ascii="Cambria" w:hAnsi="Cambria" w:cs="Times New Roman"/>
          <w:b w:val="0"/>
          <w:bCs/>
          <w:i/>
          <w:iCs/>
          <w:sz w:val="22"/>
        </w:rPr>
        <w:t>La ville des cérémonies. Essai sur la communication politique dans les anciens Pays-Bas bourguignons</w:t>
      </w:r>
      <w:r w:rsidRPr="00133140">
        <w:rPr>
          <w:rFonts w:ascii="Cambria" w:hAnsi="Cambria" w:cs="Times New Roman"/>
          <w:b w:val="0"/>
          <w:bCs/>
          <w:sz w:val="22"/>
        </w:rPr>
        <w:t>, Turnhout, Brepols, 2004.</w:t>
      </w:r>
    </w:p>
    <w:p w14:paraId="70124C2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Cécile </w:t>
      </w:r>
      <w:r w:rsidRPr="00133140">
        <w:rPr>
          <w:rFonts w:ascii="Cambria" w:hAnsi="Cambria" w:cs="Times New Roman"/>
          <w:b w:val="0"/>
          <w:bCs/>
          <w:smallCaps/>
          <w:sz w:val="22"/>
        </w:rPr>
        <w:t>Becchia</w:t>
      </w:r>
      <w:r w:rsidRPr="00133140">
        <w:rPr>
          <w:rFonts w:ascii="Cambria" w:hAnsi="Cambria" w:cs="Times New Roman"/>
          <w:b w:val="0"/>
          <w:bCs/>
          <w:sz w:val="22"/>
        </w:rPr>
        <w:t xml:space="preserve">, </w:t>
      </w:r>
      <w:r w:rsidRPr="00133140">
        <w:rPr>
          <w:rFonts w:ascii="Cambria" w:hAnsi="Cambria" w:cs="Times New Roman"/>
          <w:b w:val="0"/>
          <w:bCs/>
          <w:i/>
          <w:iCs/>
          <w:sz w:val="22"/>
        </w:rPr>
        <w:t>Les Bourgeois et le prince. Dijonnais et Lillois auprès du pouvoir bourguignon (1419-1477)</w:t>
      </w:r>
      <w:r w:rsidRPr="00133140">
        <w:rPr>
          <w:rFonts w:ascii="Cambria" w:hAnsi="Cambria" w:cs="Times New Roman"/>
          <w:b w:val="0"/>
          <w:bCs/>
          <w:sz w:val="22"/>
        </w:rPr>
        <w:t xml:space="preserve">, Paris, Classiques Garnier, 2019. </w:t>
      </w:r>
    </w:p>
    <w:p w14:paraId="09001417"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Adrien </w:t>
      </w:r>
      <w:r w:rsidRPr="00133140">
        <w:rPr>
          <w:rFonts w:ascii="Cambria" w:hAnsi="Cambria" w:cs="Times New Roman"/>
          <w:b w:val="0"/>
          <w:bCs/>
          <w:smallCaps/>
          <w:sz w:val="22"/>
        </w:rPr>
        <w:t>Carbonnet</w:t>
      </w:r>
      <w:r w:rsidRPr="00133140">
        <w:rPr>
          <w:rFonts w:ascii="Cambria" w:hAnsi="Cambria" w:cs="Times New Roman"/>
          <w:b w:val="0"/>
          <w:bCs/>
          <w:sz w:val="22"/>
        </w:rPr>
        <w:t xml:space="preserve">, </w:t>
      </w:r>
      <w:r w:rsidRPr="00133140">
        <w:rPr>
          <w:rFonts w:ascii="Cambria" w:hAnsi="Cambria" w:cs="Times New Roman"/>
          <w:b w:val="0"/>
          <w:bCs/>
          <w:i/>
          <w:iCs/>
          <w:sz w:val="22"/>
        </w:rPr>
        <w:t>Louis XI et les villes en révolte (1461-1483),</w:t>
      </w:r>
      <w:r w:rsidRPr="00133140">
        <w:rPr>
          <w:rFonts w:ascii="Cambria" w:hAnsi="Cambria" w:cs="Times New Roman"/>
          <w:b w:val="0"/>
          <w:bCs/>
          <w:sz w:val="22"/>
        </w:rPr>
        <w:t xml:space="preserve"> Paris, Classiques Garnier, 2023.</w:t>
      </w:r>
    </w:p>
    <w:p w14:paraId="18DF05B4" w14:textId="77777777" w:rsidR="007F4BBC" w:rsidRPr="00133140" w:rsidRDefault="007F4BBC" w:rsidP="006A7563">
      <w:pPr>
        <w:spacing w:after="0" w:line="276" w:lineRule="auto"/>
        <w:contextualSpacing/>
        <w:jc w:val="center"/>
        <w:rPr>
          <w:rFonts w:ascii="Cambria" w:hAnsi="Cambria"/>
          <w:i/>
          <w:color w:val="C00000"/>
          <w:sz w:val="26"/>
          <w:szCs w:val="26"/>
        </w:rPr>
      </w:pPr>
    </w:p>
    <w:p w14:paraId="740306F5" w14:textId="7E70BD0F" w:rsidR="00675C1B" w:rsidRPr="004D0850" w:rsidRDefault="00675C1B" w:rsidP="00675C1B">
      <w:pPr>
        <w:rPr>
          <w:rFonts w:ascii="Cambria" w:hAnsi="Cambria" w:cs="Times New Roman"/>
          <w:b w:val="0"/>
          <w:bCs/>
          <w:color w:val="C00000"/>
          <w:sz w:val="22"/>
        </w:rPr>
      </w:pPr>
      <w:r w:rsidRPr="004D0850">
        <w:rPr>
          <w:rFonts w:ascii="Cambria" w:hAnsi="Cambria" w:cs="Times New Roman"/>
          <w:bCs/>
          <w:color w:val="C00000"/>
          <w:sz w:val="22"/>
          <w:u w:val="single"/>
        </w:rPr>
        <w:t>Sujet du cours semestre 2</w:t>
      </w:r>
      <w:r w:rsidRPr="004D0850">
        <w:rPr>
          <w:rFonts w:ascii="Cambria" w:hAnsi="Cambria" w:cs="Times New Roman"/>
          <w:bCs/>
          <w:color w:val="C00000"/>
          <w:sz w:val="22"/>
        </w:rPr>
        <w:t> : Le prince et l’animal (Occident, XIII</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-XV</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 xml:space="preserve"> siècle)</w:t>
      </w:r>
    </w:p>
    <w:p w14:paraId="332ECB35"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L’étude des animaux et du monde animal a fait l’objet ces dernières années de l’attention des historiens. Le sujet proposé pour cet enseignement, s’il entend bien sûr reprendre les acquis de ces recherches, se donne en fait comme ambition de réfléchir à ce que le rapport du prince à l’animal nous dit des principes du gouvernement princier et de la conception du monde que ceux-ci renvoient. Mené à l’échelle de plusieurs espaces princiers, le propos envisagera les pratiques de domestication et de domination de l’animal par différents biais : ainsi la pratique de la chasse, qui fait l’objet chez les princes d’une attention soutenue avec la rédaction de traités fort précis et savants, très au fait du savoir académique que développent les </w:t>
      </w:r>
      <w:r w:rsidRPr="00133140">
        <w:rPr>
          <w:rFonts w:ascii="Cambria" w:hAnsi="Cambria" w:cs="Times New Roman"/>
          <w:b w:val="0"/>
          <w:bCs/>
          <w:i/>
          <w:iCs/>
          <w:sz w:val="22"/>
        </w:rPr>
        <w:t>Sommes</w:t>
      </w:r>
      <w:r w:rsidRPr="00133140">
        <w:rPr>
          <w:rFonts w:ascii="Cambria" w:hAnsi="Cambria" w:cs="Times New Roman"/>
          <w:b w:val="0"/>
          <w:bCs/>
          <w:sz w:val="22"/>
        </w:rPr>
        <w:t xml:space="preserve"> du </w:t>
      </w:r>
      <w:r w:rsidRPr="00133140">
        <w:rPr>
          <w:rFonts w:ascii="Cambria" w:hAnsi="Cambria" w:cs="Times New Roman"/>
          <w:b w:val="0"/>
          <w:bCs/>
          <w:smallCaps/>
          <w:sz w:val="22"/>
        </w:rPr>
        <w:t>xiii</w:t>
      </w:r>
      <w:r w:rsidRPr="00133140">
        <w:rPr>
          <w:rFonts w:ascii="Cambria" w:hAnsi="Cambria" w:cs="Times New Roman"/>
          <w:b w:val="0"/>
          <w:bCs/>
          <w:sz w:val="22"/>
          <w:vertAlign w:val="superscript"/>
        </w:rPr>
        <w:t>e</w:t>
      </w:r>
      <w:r w:rsidRPr="00133140">
        <w:rPr>
          <w:rFonts w:ascii="Cambria" w:hAnsi="Cambria" w:cs="Times New Roman"/>
          <w:b w:val="0"/>
          <w:bCs/>
          <w:sz w:val="22"/>
        </w:rPr>
        <w:t xml:space="preserve"> siècle ; ainsi le développement des ménageries que les princes organisent dans leurs résidences, en essayant de rassembler une variété d’animaux exotiques, ce qui donne lieu à des échanges entre cours princières ; ainsi encore de l’organisation au sein des hôtels princiers de services dédiés aux soins des animaux et à la chasse ; ainsi toujours de la part de l’aliment carné dans l’alimentation des princes et de leur entourage. Au-delà, le propos réfléchira à la lecture symbolique que les Médiévaux, et en premier lieu les princes, ont développée sur les animaux et le sens qu’ils ont donné au bestiaire, métaphore du monde, partagé entre le Bien et le Mal.</w:t>
      </w:r>
    </w:p>
    <w:p w14:paraId="253680CE" w14:textId="77777777" w:rsidR="00675C1B" w:rsidRPr="00133140" w:rsidRDefault="00675C1B" w:rsidP="00675C1B">
      <w:pPr>
        <w:rPr>
          <w:rFonts w:ascii="Cambria" w:hAnsi="Cambria" w:cs="Times New Roman"/>
          <w:sz w:val="22"/>
        </w:rPr>
      </w:pPr>
      <w:r w:rsidRPr="00133140">
        <w:rPr>
          <w:rFonts w:ascii="Cambria" w:hAnsi="Cambria" w:cs="Times New Roman"/>
          <w:sz w:val="22"/>
        </w:rPr>
        <w:t>Bibliographie de base</w:t>
      </w:r>
    </w:p>
    <w:p w14:paraId="36F81C6E"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Robert </w:t>
      </w:r>
      <w:r w:rsidRPr="00133140">
        <w:rPr>
          <w:rFonts w:ascii="Cambria" w:hAnsi="Cambria" w:cs="Times New Roman"/>
          <w:b w:val="0"/>
          <w:bCs/>
          <w:smallCaps/>
          <w:sz w:val="22"/>
        </w:rPr>
        <w:t>Delort</w:t>
      </w:r>
      <w:r w:rsidRPr="00133140">
        <w:rPr>
          <w:rFonts w:ascii="Cambria" w:hAnsi="Cambria" w:cs="Times New Roman"/>
          <w:b w:val="0"/>
          <w:bCs/>
          <w:sz w:val="22"/>
        </w:rPr>
        <w:t xml:space="preserve">, </w:t>
      </w:r>
      <w:r w:rsidRPr="00133140">
        <w:rPr>
          <w:rFonts w:ascii="Cambria" w:hAnsi="Cambria" w:cs="Times New Roman"/>
          <w:b w:val="0"/>
          <w:bCs/>
          <w:i/>
          <w:iCs/>
          <w:sz w:val="22"/>
        </w:rPr>
        <w:t>Les animaux ont une histoire</w:t>
      </w:r>
      <w:r w:rsidRPr="00133140">
        <w:rPr>
          <w:rFonts w:ascii="Cambria" w:hAnsi="Cambria" w:cs="Times New Roman"/>
          <w:b w:val="0"/>
          <w:bCs/>
          <w:sz w:val="22"/>
        </w:rPr>
        <w:t>, Paris, Seuil, 1993.</w:t>
      </w:r>
    </w:p>
    <w:p w14:paraId="67676746"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i/>
          <w:iCs/>
          <w:sz w:val="22"/>
        </w:rPr>
        <w:t>La Chasse au Moyen Âge</w:t>
      </w:r>
      <w:r w:rsidRPr="00133140">
        <w:rPr>
          <w:rFonts w:ascii="Cambria" w:hAnsi="Cambria" w:cs="Times New Roman"/>
          <w:b w:val="0"/>
          <w:bCs/>
          <w:sz w:val="22"/>
        </w:rPr>
        <w:t>. Actes du colloque de Nice (juin 1979), Paris, Les Belles Lettres, 1980.</w:t>
      </w:r>
    </w:p>
    <w:p w14:paraId="04F1D4EE" w14:textId="77777777" w:rsidR="00675C1B" w:rsidRPr="00133140" w:rsidRDefault="00675C1B" w:rsidP="00675C1B">
      <w:pPr>
        <w:jc w:val="both"/>
        <w:rPr>
          <w:rFonts w:ascii="Cambria" w:hAnsi="Cambria" w:cs="Times New Roman"/>
          <w:b w:val="0"/>
          <w:bCs/>
          <w:sz w:val="22"/>
        </w:rPr>
      </w:pPr>
    </w:p>
    <w:p w14:paraId="4C826289"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Agostino </w:t>
      </w:r>
      <w:r w:rsidRPr="00133140">
        <w:rPr>
          <w:rFonts w:ascii="Cambria" w:hAnsi="Cambria" w:cs="Times New Roman"/>
          <w:b w:val="0"/>
          <w:bCs/>
          <w:smallCaps/>
          <w:sz w:val="22"/>
        </w:rPr>
        <w:t>Paravicini Bagliani</w:t>
      </w:r>
      <w:r w:rsidRPr="00133140">
        <w:rPr>
          <w:rFonts w:ascii="Cambria" w:hAnsi="Cambria" w:cs="Times New Roman"/>
          <w:b w:val="0"/>
          <w:bCs/>
          <w:sz w:val="22"/>
        </w:rPr>
        <w:t xml:space="preserve">, </w:t>
      </w:r>
      <w:r w:rsidRPr="00133140">
        <w:rPr>
          <w:rFonts w:ascii="Cambria" w:hAnsi="Cambria" w:cs="Times New Roman"/>
          <w:b w:val="0"/>
          <w:bCs/>
          <w:i/>
          <w:iCs/>
          <w:sz w:val="22"/>
        </w:rPr>
        <w:t>Le bestiaire du pape</w:t>
      </w:r>
      <w:r w:rsidRPr="00133140">
        <w:rPr>
          <w:rFonts w:ascii="Cambria" w:hAnsi="Cambria" w:cs="Times New Roman"/>
          <w:b w:val="0"/>
          <w:bCs/>
          <w:sz w:val="22"/>
        </w:rPr>
        <w:t>, Paris, Les Belles Lettres, 2018.</w:t>
      </w:r>
    </w:p>
    <w:p w14:paraId="410B04D3"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Corinne </w:t>
      </w:r>
      <w:r w:rsidRPr="00133140">
        <w:rPr>
          <w:rFonts w:ascii="Cambria" w:hAnsi="Cambria" w:cs="Times New Roman"/>
          <w:b w:val="0"/>
          <w:bCs/>
          <w:smallCaps/>
          <w:sz w:val="22"/>
        </w:rPr>
        <w:t>Beck</w:t>
      </w:r>
      <w:r w:rsidRPr="00133140">
        <w:rPr>
          <w:rFonts w:ascii="Cambria" w:hAnsi="Cambria" w:cs="Times New Roman"/>
          <w:b w:val="0"/>
          <w:bCs/>
          <w:sz w:val="22"/>
        </w:rPr>
        <w:t xml:space="preserve"> et Fabrice </w:t>
      </w:r>
      <w:r w:rsidRPr="00133140">
        <w:rPr>
          <w:rFonts w:ascii="Cambria" w:hAnsi="Cambria" w:cs="Times New Roman"/>
          <w:b w:val="0"/>
          <w:bCs/>
          <w:smallCaps/>
          <w:sz w:val="22"/>
        </w:rPr>
        <w:t>Guizard</w:t>
      </w:r>
      <w:r w:rsidRPr="00133140">
        <w:rPr>
          <w:rFonts w:ascii="Cambria" w:hAnsi="Cambria" w:cs="Times New Roman"/>
          <w:b w:val="0"/>
          <w:bCs/>
          <w:sz w:val="22"/>
        </w:rPr>
        <w:t xml:space="preserve"> (dir.), </w:t>
      </w:r>
      <w:r w:rsidRPr="00133140">
        <w:rPr>
          <w:rFonts w:ascii="Cambria" w:hAnsi="Cambria" w:cs="Times New Roman"/>
          <w:b w:val="0"/>
          <w:bCs/>
          <w:i/>
          <w:iCs/>
          <w:sz w:val="22"/>
        </w:rPr>
        <w:t>La bête captive au Moyen Âge et à l’époque moderne</w:t>
      </w:r>
      <w:r w:rsidRPr="00133140">
        <w:rPr>
          <w:rFonts w:ascii="Cambria" w:hAnsi="Cambria" w:cs="Times New Roman"/>
          <w:b w:val="0"/>
          <w:bCs/>
          <w:sz w:val="22"/>
        </w:rPr>
        <w:t>, Amiens, Encrage université, 2012.</w:t>
      </w:r>
    </w:p>
    <w:p w14:paraId="5EC4F16F"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Corinne </w:t>
      </w:r>
      <w:r w:rsidRPr="00133140">
        <w:rPr>
          <w:rFonts w:ascii="Cambria" w:hAnsi="Cambria" w:cs="Times New Roman"/>
          <w:b w:val="0"/>
          <w:bCs/>
          <w:smallCaps/>
          <w:sz w:val="22"/>
        </w:rPr>
        <w:t>Beck</w:t>
      </w:r>
      <w:r w:rsidRPr="00133140">
        <w:rPr>
          <w:rFonts w:ascii="Cambria" w:hAnsi="Cambria" w:cs="Times New Roman"/>
          <w:b w:val="0"/>
          <w:bCs/>
          <w:sz w:val="22"/>
        </w:rPr>
        <w:t xml:space="preserve"> et Elisabeth </w:t>
      </w:r>
      <w:r w:rsidRPr="00133140">
        <w:rPr>
          <w:rFonts w:ascii="Cambria" w:hAnsi="Cambria" w:cs="Times New Roman"/>
          <w:b w:val="0"/>
          <w:bCs/>
          <w:smallCaps/>
          <w:sz w:val="22"/>
        </w:rPr>
        <w:t>Rémy</w:t>
      </w:r>
      <w:r w:rsidRPr="00133140">
        <w:rPr>
          <w:rFonts w:ascii="Cambria" w:hAnsi="Cambria" w:cs="Times New Roman"/>
          <w:b w:val="0"/>
          <w:bCs/>
          <w:sz w:val="22"/>
        </w:rPr>
        <w:t xml:space="preserve">, </w:t>
      </w:r>
      <w:r w:rsidRPr="00133140">
        <w:rPr>
          <w:rFonts w:ascii="Cambria" w:hAnsi="Cambria" w:cs="Times New Roman"/>
          <w:b w:val="0"/>
          <w:bCs/>
          <w:i/>
          <w:iCs/>
          <w:sz w:val="22"/>
        </w:rPr>
        <w:t>Le faucon favori des princes</w:t>
      </w:r>
      <w:r w:rsidRPr="00133140">
        <w:rPr>
          <w:rFonts w:ascii="Cambria" w:hAnsi="Cambria" w:cs="Times New Roman"/>
          <w:b w:val="0"/>
          <w:bCs/>
          <w:sz w:val="22"/>
        </w:rPr>
        <w:t>, Paris, Gallimard, 1990.</w:t>
      </w:r>
    </w:p>
    <w:p w14:paraId="446F26E9"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Armand </w:t>
      </w:r>
      <w:r w:rsidRPr="00133140">
        <w:rPr>
          <w:rFonts w:ascii="Cambria" w:hAnsi="Cambria" w:cs="Times New Roman"/>
          <w:b w:val="0"/>
          <w:bCs/>
          <w:smallCaps/>
          <w:sz w:val="22"/>
        </w:rPr>
        <w:t>Strubel</w:t>
      </w:r>
      <w:r w:rsidRPr="00133140">
        <w:rPr>
          <w:rFonts w:ascii="Cambria" w:hAnsi="Cambria" w:cs="Times New Roman"/>
          <w:b w:val="0"/>
          <w:bCs/>
          <w:sz w:val="22"/>
        </w:rPr>
        <w:t xml:space="preserve"> et Chantal </w:t>
      </w:r>
      <w:r w:rsidRPr="00133140">
        <w:rPr>
          <w:rFonts w:ascii="Cambria" w:hAnsi="Cambria" w:cs="Times New Roman"/>
          <w:b w:val="0"/>
          <w:bCs/>
          <w:smallCaps/>
          <w:sz w:val="22"/>
        </w:rPr>
        <w:t>de Saulnier</w:t>
      </w:r>
      <w:r w:rsidRPr="00133140">
        <w:rPr>
          <w:rFonts w:ascii="Cambria" w:hAnsi="Cambria" w:cs="Times New Roman"/>
          <w:b w:val="0"/>
          <w:bCs/>
          <w:sz w:val="22"/>
        </w:rPr>
        <w:t xml:space="preserve">, </w:t>
      </w:r>
      <w:r w:rsidRPr="00133140">
        <w:rPr>
          <w:rFonts w:ascii="Cambria" w:hAnsi="Cambria" w:cs="Times New Roman"/>
          <w:b w:val="0"/>
          <w:bCs/>
          <w:i/>
          <w:iCs/>
          <w:sz w:val="22"/>
        </w:rPr>
        <w:t xml:space="preserve">La poétique de la chasse au Moyen Âge. Les livres de chasse du </w:t>
      </w:r>
      <w:r w:rsidRPr="00133140">
        <w:rPr>
          <w:rFonts w:ascii="Cambria" w:hAnsi="Cambria" w:cs="Times New Roman"/>
          <w:b w:val="0"/>
          <w:bCs/>
          <w:i/>
          <w:iCs/>
          <w:smallCaps/>
          <w:sz w:val="22"/>
        </w:rPr>
        <w:t>xiv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PUF, 1994.</w:t>
      </w:r>
    </w:p>
    <w:p w14:paraId="77348E96" w14:textId="77777777" w:rsidR="00675C1B" w:rsidRPr="00133140" w:rsidRDefault="00675C1B" w:rsidP="00675C1B">
      <w:pPr>
        <w:jc w:val="both"/>
        <w:rPr>
          <w:rFonts w:ascii="Cambria" w:hAnsi="Cambria" w:cs="Times New Roman"/>
          <w:b w:val="0"/>
          <w:bCs/>
          <w:sz w:val="22"/>
        </w:rPr>
      </w:pPr>
      <w:r w:rsidRPr="00133140">
        <w:rPr>
          <w:rFonts w:ascii="Cambria" w:eastAsia="Times New Roman" w:hAnsi="Cambria" w:cs="Times New Roman"/>
          <w:b w:val="0"/>
          <w:bCs/>
          <w:kern w:val="0"/>
          <w:sz w:val="22"/>
        </w:rPr>
        <w:t xml:space="preserve">Bertrand </w:t>
      </w:r>
      <w:r w:rsidRPr="00133140">
        <w:rPr>
          <w:rFonts w:ascii="Cambria" w:eastAsia="Times New Roman" w:hAnsi="Cambria" w:cs="Times New Roman"/>
          <w:b w:val="0"/>
          <w:bCs/>
          <w:smallCaps/>
          <w:kern w:val="0"/>
          <w:sz w:val="22"/>
        </w:rPr>
        <w:t>Schnerb</w:t>
      </w:r>
      <w:r w:rsidRPr="00133140">
        <w:rPr>
          <w:rFonts w:ascii="Cambria" w:eastAsia="Times New Roman" w:hAnsi="Cambria" w:cs="Times New Roman"/>
          <w:b w:val="0"/>
          <w:bCs/>
          <w:kern w:val="0"/>
          <w:sz w:val="22"/>
        </w:rPr>
        <w:t xml:space="preserve">, </w:t>
      </w:r>
      <w:r w:rsidRPr="00133140">
        <w:rPr>
          <w:rFonts w:ascii="Cambria" w:hAnsi="Cambria" w:cs="Times New Roman"/>
          <w:b w:val="0"/>
          <w:bCs/>
          <w:sz w:val="22"/>
        </w:rPr>
        <w:t xml:space="preserve">« Louis XI, roi chasseur », dans </w:t>
      </w:r>
      <w:r w:rsidRPr="00133140">
        <w:rPr>
          <w:rFonts w:ascii="Cambria" w:hAnsi="Cambria" w:cs="Times New Roman"/>
          <w:b w:val="0"/>
          <w:bCs/>
          <w:i/>
          <w:iCs/>
          <w:sz w:val="22"/>
        </w:rPr>
        <w:t>Louis XI, une figure controversée</w:t>
      </w:r>
      <w:r w:rsidRPr="00133140">
        <w:rPr>
          <w:rFonts w:ascii="Cambria" w:hAnsi="Cambria" w:cs="Times New Roman"/>
          <w:b w:val="0"/>
          <w:bCs/>
          <w:sz w:val="22"/>
        </w:rPr>
        <w:t xml:space="preserve">, M.-M. Castellani et F. McIntosh (dir.), numéro thématique de </w:t>
      </w:r>
      <w:r w:rsidRPr="00133140">
        <w:rPr>
          <w:rFonts w:ascii="Cambria" w:hAnsi="Cambria" w:cs="Times New Roman"/>
          <w:b w:val="0"/>
          <w:bCs/>
          <w:i/>
          <w:iCs/>
          <w:sz w:val="22"/>
        </w:rPr>
        <w:t>Bien dire et bien aprandre. Revue de Médiévistique</w:t>
      </w:r>
      <w:r w:rsidRPr="00133140">
        <w:rPr>
          <w:rFonts w:ascii="Cambria" w:hAnsi="Cambria" w:cs="Times New Roman"/>
          <w:b w:val="0"/>
          <w:bCs/>
          <w:sz w:val="22"/>
        </w:rPr>
        <w:t>, n° 27, 2010, p. 69-84.</w:t>
      </w:r>
    </w:p>
    <w:p w14:paraId="364EF772"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Fonts w:ascii="Cambria" w:hAnsi="Cambria" w:cs="Times New Roman"/>
          <w:b w:val="0"/>
          <w:bCs/>
          <w:i/>
          <w:iCs/>
          <w:sz w:val="22"/>
        </w:rPr>
        <w:t>L’historien face à l’animal. L’exemple du Moyen Âge</w:t>
      </w:r>
      <w:r w:rsidRPr="00133140">
        <w:rPr>
          <w:rFonts w:ascii="Cambria" w:hAnsi="Cambria" w:cs="Times New Roman"/>
          <w:b w:val="0"/>
          <w:bCs/>
          <w:sz w:val="22"/>
        </w:rPr>
        <w:t>, Paris, Ecole nationale des chartes, 2023.</w:t>
      </w:r>
    </w:p>
    <w:p w14:paraId="0E779A12"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Style w:val="Accentuation"/>
          <w:rFonts w:ascii="Cambria" w:hAnsi="Cambria"/>
          <w:bCs/>
          <w:sz w:val="22"/>
        </w:rPr>
        <w:t>Bestiaires du Moyen Âge</w:t>
      </w:r>
      <w:r w:rsidRPr="00133140">
        <w:rPr>
          <w:rFonts w:ascii="Cambria" w:hAnsi="Cambria" w:cs="Times New Roman"/>
          <w:b w:val="0"/>
          <w:bCs/>
          <w:sz w:val="22"/>
        </w:rPr>
        <w:t>, Paris, Seuil, 2011.</w:t>
      </w:r>
    </w:p>
    <w:p w14:paraId="1D5E6D39" w14:textId="77777777" w:rsidR="00675C1B" w:rsidRPr="00133140" w:rsidRDefault="00675C1B" w:rsidP="00675C1B">
      <w:pPr>
        <w:jc w:val="both"/>
        <w:rPr>
          <w:rFonts w:ascii="Cambria" w:eastAsia="Times New Roman" w:hAnsi="Cambria" w:cs="Times New Roman"/>
          <w:b w:val="0"/>
          <w:bCs/>
          <w:kern w:val="0"/>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Style w:val="Accentuation"/>
          <w:rFonts w:ascii="Cambria" w:hAnsi="Cambria"/>
          <w:bCs/>
          <w:sz w:val="22"/>
        </w:rPr>
        <w:t>Ours. Histoire d’un roi déchu</w:t>
      </w:r>
      <w:r w:rsidRPr="00133140">
        <w:rPr>
          <w:rFonts w:ascii="Cambria" w:hAnsi="Cambria" w:cs="Times New Roman"/>
          <w:b w:val="0"/>
          <w:bCs/>
          <w:sz w:val="22"/>
        </w:rPr>
        <w:t>, Paris, Seuil, 2007.</w:t>
      </w:r>
    </w:p>
    <w:p w14:paraId="4A90DE87"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Gustave </w:t>
      </w:r>
      <w:r w:rsidRPr="00133140">
        <w:rPr>
          <w:rFonts w:ascii="Cambria" w:hAnsi="Cambria" w:cs="Times New Roman"/>
          <w:b w:val="0"/>
          <w:bCs/>
          <w:smallCaps/>
          <w:sz w:val="22"/>
        </w:rPr>
        <w:t>Loisel</w:t>
      </w:r>
      <w:r w:rsidRPr="00133140">
        <w:rPr>
          <w:rFonts w:ascii="Cambria" w:hAnsi="Cambria" w:cs="Times New Roman"/>
          <w:b w:val="0"/>
          <w:bCs/>
          <w:sz w:val="22"/>
        </w:rPr>
        <w:t xml:space="preserve">, </w:t>
      </w:r>
      <w:r w:rsidRPr="00133140">
        <w:rPr>
          <w:rFonts w:ascii="Cambria" w:hAnsi="Cambria" w:cs="Times New Roman"/>
          <w:b w:val="0"/>
          <w:bCs/>
          <w:i/>
          <w:iCs/>
          <w:sz w:val="22"/>
        </w:rPr>
        <w:t>Histoire des ménageries, de l’Antiquité à nos jours</w:t>
      </w:r>
      <w:r w:rsidRPr="00133140">
        <w:rPr>
          <w:rFonts w:ascii="Cambria" w:hAnsi="Cambria" w:cs="Times New Roman"/>
          <w:b w:val="0"/>
          <w:bCs/>
          <w:sz w:val="22"/>
        </w:rPr>
        <w:t xml:space="preserve">, t. 1 : </w:t>
      </w:r>
      <w:r w:rsidRPr="00133140">
        <w:rPr>
          <w:rFonts w:ascii="Cambria" w:hAnsi="Cambria" w:cs="Times New Roman"/>
          <w:b w:val="0"/>
          <w:bCs/>
          <w:i/>
          <w:iCs/>
          <w:sz w:val="22"/>
        </w:rPr>
        <w:t>Antiquité, Moyen Âge, Renaissance</w:t>
      </w:r>
      <w:r w:rsidRPr="00133140">
        <w:rPr>
          <w:rFonts w:ascii="Cambria" w:hAnsi="Cambria" w:cs="Times New Roman"/>
          <w:b w:val="0"/>
          <w:bCs/>
          <w:sz w:val="22"/>
        </w:rPr>
        <w:t>, 1912.</w:t>
      </w:r>
    </w:p>
    <w:p w14:paraId="492FCE2D" w14:textId="77777777" w:rsidR="007F4BBC" w:rsidRPr="00133140" w:rsidRDefault="007F4BBC" w:rsidP="006A7563">
      <w:pPr>
        <w:spacing w:after="0" w:line="276" w:lineRule="auto"/>
        <w:contextualSpacing/>
        <w:jc w:val="center"/>
        <w:rPr>
          <w:rFonts w:ascii="Cambria" w:hAnsi="Cambria"/>
          <w:i/>
          <w:color w:val="C00000"/>
          <w:sz w:val="26"/>
          <w:szCs w:val="26"/>
        </w:rPr>
      </w:pPr>
    </w:p>
    <w:p w14:paraId="5EB9D220" w14:textId="77777777" w:rsidR="00675C1B" w:rsidRPr="00133140" w:rsidRDefault="00675C1B" w:rsidP="006A7563">
      <w:pPr>
        <w:spacing w:after="0" w:line="276" w:lineRule="auto"/>
        <w:contextualSpacing/>
        <w:jc w:val="center"/>
        <w:rPr>
          <w:rFonts w:ascii="Cambria" w:hAnsi="Cambria"/>
          <w:i/>
          <w:color w:val="C00000"/>
          <w:sz w:val="26"/>
          <w:szCs w:val="26"/>
        </w:rPr>
      </w:pPr>
    </w:p>
    <w:p w14:paraId="51C9824B" w14:textId="77777777" w:rsidR="00675C1B" w:rsidRPr="00133140" w:rsidRDefault="00675C1B" w:rsidP="006A7563">
      <w:pPr>
        <w:spacing w:after="0" w:line="276" w:lineRule="auto"/>
        <w:contextualSpacing/>
        <w:jc w:val="center"/>
        <w:rPr>
          <w:rFonts w:ascii="Cambria" w:hAnsi="Cambria"/>
          <w:i/>
          <w:color w:val="C00000"/>
          <w:sz w:val="26"/>
          <w:szCs w:val="26"/>
        </w:rPr>
      </w:pPr>
    </w:p>
    <w:p w14:paraId="7F40981C" w14:textId="77777777" w:rsidR="00675C1B" w:rsidRPr="00133140" w:rsidRDefault="00675C1B" w:rsidP="006A7563">
      <w:pPr>
        <w:spacing w:after="0" w:line="276" w:lineRule="auto"/>
        <w:contextualSpacing/>
        <w:jc w:val="center"/>
        <w:rPr>
          <w:rFonts w:ascii="Cambria" w:hAnsi="Cambria"/>
          <w:i/>
          <w:color w:val="C00000"/>
          <w:sz w:val="26"/>
          <w:szCs w:val="26"/>
        </w:rPr>
      </w:pPr>
    </w:p>
    <w:p w14:paraId="00A16C05" w14:textId="77777777" w:rsidR="00675C1B" w:rsidRPr="00133140" w:rsidRDefault="00675C1B" w:rsidP="006A7563">
      <w:pPr>
        <w:spacing w:after="0" w:line="276" w:lineRule="auto"/>
        <w:contextualSpacing/>
        <w:jc w:val="center"/>
        <w:rPr>
          <w:rFonts w:ascii="Cambria" w:hAnsi="Cambria"/>
          <w:i/>
          <w:color w:val="C00000"/>
          <w:sz w:val="26"/>
          <w:szCs w:val="26"/>
        </w:rPr>
      </w:pPr>
    </w:p>
    <w:p w14:paraId="325D2193" w14:textId="77777777" w:rsidR="007F4BBC" w:rsidRPr="00133140" w:rsidRDefault="007F4BBC" w:rsidP="00BC3B10">
      <w:pPr>
        <w:spacing w:after="0" w:line="276" w:lineRule="auto"/>
        <w:contextualSpacing/>
        <w:rPr>
          <w:rFonts w:ascii="Cambria" w:hAnsi="Cambria"/>
          <w:i/>
          <w:color w:val="C00000"/>
          <w:sz w:val="26"/>
          <w:szCs w:val="26"/>
        </w:rPr>
      </w:pPr>
    </w:p>
    <w:p w14:paraId="59839610" w14:textId="77777777" w:rsidR="00B91DAD" w:rsidRPr="00133140" w:rsidRDefault="00B91DAD" w:rsidP="006A7563">
      <w:pPr>
        <w:spacing w:after="0" w:line="276" w:lineRule="auto"/>
        <w:contextualSpacing/>
        <w:jc w:val="center"/>
        <w:rPr>
          <w:rFonts w:ascii="Cambria" w:hAnsi="Cambria"/>
          <w:i/>
          <w:color w:val="C00000"/>
          <w:sz w:val="26"/>
          <w:szCs w:val="26"/>
        </w:rPr>
      </w:pPr>
    </w:p>
    <w:p w14:paraId="3425FFED" w14:textId="309E8258" w:rsidR="006A7563" w:rsidRPr="00133140" w:rsidRDefault="00022D64" w:rsidP="002314AE">
      <w:pPr>
        <w:spacing w:after="0" w:line="276" w:lineRule="auto"/>
        <w:contextualSpacing/>
        <w:jc w:val="center"/>
        <w:rPr>
          <w:rFonts w:ascii="Cambria" w:eastAsia="Times New Roman" w:hAnsi="Cambria" w:cs="Times New Roman"/>
          <w:color w:val="C00000"/>
          <w:kern w:val="0"/>
          <w:sz w:val="26"/>
          <w:szCs w:val="26"/>
          <w:lang w:eastAsia="fr-FR"/>
        </w:rPr>
      </w:pPr>
      <w:r w:rsidRPr="00133140">
        <w:rPr>
          <w:rFonts w:ascii="Cambria" w:hAnsi="Cambria"/>
          <w:i/>
          <w:color w:val="C00000"/>
          <w:sz w:val="26"/>
          <w:szCs w:val="26"/>
        </w:rPr>
        <w:t>J3020919</w:t>
      </w:r>
      <w:r w:rsidR="00E94CB3" w:rsidRPr="00133140">
        <w:rPr>
          <w:rFonts w:ascii="Cambria" w:hAnsi="Cambria"/>
          <w:i/>
          <w:color w:val="C00000"/>
          <w:sz w:val="26"/>
          <w:szCs w:val="26"/>
        </w:rPr>
        <w:t>/</w:t>
      </w:r>
      <w:r w:rsidR="003E00D8" w:rsidRPr="00133140">
        <w:rPr>
          <w:rFonts w:ascii="Cambria" w:hAnsi="Cambria"/>
          <w:i/>
          <w:color w:val="C00000"/>
          <w:sz w:val="26"/>
          <w:szCs w:val="26"/>
        </w:rPr>
        <w:t>J30</w:t>
      </w:r>
      <w:r w:rsidR="00F13B6B" w:rsidRPr="00133140">
        <w:rPr>
          <w:rFonts w:ascii="Cambria" w:hAnsi="Cambria"/>
          <w:i/>
          <w:color w:val="C00000"/>
          <w:sz w:val="26"/>
          <w:szCs w:val="26"/>
        </w:rPr>
        <w:t xml:space="preserve">21019 </w:t>
      </w:r>
      <w:r w:rsidR="00E94CB3" w:rsidRPr="00133140">
        <w:rPr>
          <w:rFonts w:ascii="Cambria" w:hAnsi="Cambria"/>
          <w:i/>
          <w:color w:val="C00000"/>
          <w:sz w:val="26"/>
          <w:szCs w:val="26"/>
        </w:rPr>
        <w:t xml:space="preserve">: Histoire économique et sociale de l’Occident au Moyen </w:t>
      </w:r>
      <w:r w:rsidR="00167A94" w:rsidRPr="00133140">
        <w:rPr>
          <w:rFonts w:ascii="Cambria" w:hAnsi="Cambria"/>
          <w:color w:val="C00000"/>
          <w:sz w:val="26"/>
          <w:szCs w:val="26"/>
        </w:rPr>
        <w:t>Â</w:t>
      </w:r>
      <w:r w:rsidR="00167A94" w:rsidRPr="00133140">
        <w:rPr>
          <w:rFonts w:ascii="Cambria" w:eastAsia="Times New Roman" w:hAnsi="Cambria" w:cs="Times New Roman"/>
          <w:color w:val="C00000"/>
          <w:kern w:val="0"/>
          <w:sz w:val="26"/>
          <w:szCs w:val="26"/>
          <w:lang w:eastAsia="fr-FR"/>
        </w:rPr>
        <w:t>ge</w:t>
      </w:r>
    </w:p>
    <w:p w14:paraId="5A83FAE7" w14:textId="77777777" w:rsidR="0090243F" w:rsidRPr="00133140" w:rsidRDefault="0090243F" w:rsidP="002314AE">
      <w:pPr>
        <w:spacing w:after="0" w:line="276" w:lineRule="auto"/>
        <w:contextualSpacing/>
        <w:jc w:val="center"/>
        <w:rPr>
          <w:rFonts w:ascii="Cambria" w:hAnsi="Cambria"/>
          <w:i/>
          <w:color w:val="C00000"/>
          <w:sz w:val="26"/>
          <w:szCs w:val="26"/>
        </w:rPr>
      </w:pPr>
    </w:p>
    <w:p w14:paraId="28F0BC97" w14:textId="1A998D39" w:rsidR="000050D1" w:rsidRPr="00133140" w:rsidRDefault="001F397F" w:rsidP="002314AE">
      <w:pPr>
        <w:jc w:val="center"/>
        <w:rPr>
          <w:rFonts w:ascii="Cambria" w:hAnsi="Cambria" w:cs="Times New Roman"/>
          <w:sz w:val="22"/>
          <w:lang w:val="en-US"/>
        </w:rPr>
      </w:pPr>
      <w:r w:rsidRPr="00133140">
        <w:rPr>
          <w:rFonts w:ascii="Cambria" w:hAnsi="Cambria" w:cs="Times New Roman"/>
          <w:sz w:val="22"/>
          <w:lang w:val="en-US"/>
        </w:rPr>
        <w:t>Flor</w:t>
      </w:r>
      <w:r w:rsidR="008412EA" w:rsidRPr="00133140">
        <w:rPr>
          <w:rFonts w:ascii="Cambria" w:hAnsi="Cambria" w:cs="Times New Roman"/>
          <w:sz w:val="22"/>
          <w:lang w:val="en-US"/>
        </w:rPr>
        <w:t>i</w:t>
      </w:r>
      <w:r w:rsidRPr="00133140">
        <w:rPr>
          <w:rFonts w:ascii="Cambria" w:hAnsi="Cambria" w:cs="Times New Roman"/>
          <w:sz w:val="22"/>
          <w:lang w:val="en-US"/>
        </w:rPr>
        <w:t>an M</w:t>
      </w:r>
      <w:r w:rsidR="007F10C0" w:rsidRPr="00133140">
        <w:rPr>
          <w:rFonts w:ascii="Cambria" w:hAnsi="Cambria" w:cs="Times New Roman"/>
          <w:sz w:val="22"/>
          <w:lang w:val="en-US"/>
        </w:rPr>
        <w:t>azel</w:t>
      </w:r>
      <w:r w:rsidRPr="00133140">
        <w:rPr>
          <w:rFonts w:ascii="Cambria" w:hAnsi="Cambria" w:cs="Times New Roman"/>
          <w:sz w:val="22"/>
          <w:lang w:val="en-US"/>
        </w:rPr>
        <w:t xml:space="preserve"> </w:t>
      </w:r>
      <w:r w:rsidR="007E49A8" w:rsidRPr="00133140">
        <w:rPr>
          <w:rFonts w:ascii="Cambria" w:hAnsi="Cambria" w:cs="Times New Roman"/>
          <w:sz w:val="22"/>
          <w:lang w:val="en-US"/>
        </w:rPr>
        <w:t>(CM)</w:t>
      </w:r>
      <w:r w:rsidR="002557B8" w:rsidRPr="00133140">
        <w:rPr>
          <w:rFonts w:ascii="Cambria" w:hAnsi="Cambria" w:cs="Times New Roman"/>
          <w:sz w:val="22"/>
          <w:lang w:val="en-US"/>
        </w:rPr>
        <w:t>/</w:t>
      </w:r>
      <w:r w:rsidR="007E49A8" w:rsidRPr="00133140">
        <w:rPr>
          <w:rFonts w:ascii="Cambria" w:hAnsi="Cambria" w:cs="Times New Roman"/>
          <w:sz w:val="22"/>
          <w:lang w:val="en-US"/>
        </w:rPr>
        <w:t xml:space="preserve"> </w:t>
      </w:r>
      <w:r w:rsidR="001C2F7F" w:rsidRPr="00133140">
        <w:rPr>
          <w:rFonts w:ascii="Cambria" w:hAnsi="Cambria" w:cs="Times New Roman"/>
          <w:sz w:val="22"/>
          <w:lang w:val="en-US"/>
        </w:rPr>
        <w:t xml:space="preserve">Louis </w:t>
      </w:r>
      <w:r w:rsidR="00360EE0" w:rsidRPr="00133140">
        <w:rPr>
          <w:rFonts w:ascii="Cambria" w:hAnsi="Cambria" w:cs="Times New Roman"/>
          <w:sz w:val="22"/>
          <w:lang w:val="en-US"/>
        </w:rPr>
        <w:t>Genton (</w:t>
      </w:r>
      <w:r w:rsidR="007E49A8" w:rsidRPr="00133140">
        <w:rPr>
          <w:rFonts w:ascii="Cambria" w:hAnsi="Cambria" w:cs="Times New Roman"/>
          <w:sz w:val="22"/>
          <w:lang w:val="en-US"/>
        </w:rPr>
        <w:t>TD</w:t>
      </w:r>
      <w:r w:rsidR="002557B8" w:rsidRPr="00133140">
        <w:rPr>
          <w:rFonts w:ascii="Cambria" w:hAnsi="Cambria" w:cs="Times New Roman"/>
          <w:sz w:val="22"/>
          <w:lang w:val="en-US"/>
        </w:rPr>
        <w:t xml:space="preserve"> S1</w:t>
      </w:r>
      <w:r w:rsidR="007E49A8" w:rsidRPr="00133140">
        <w:rPr>
          <w:rFonts w:ascii="Cambria" w:hAnsi="Cambria" w:cs="Times New Roman"/>
          <w:sz w:val="22"/>
          <w:lang w:val="en-US"/>
        </w:rPr>
        <w:t>)</w:t>
      </w:r>
      <w:r w:rsidR="002557B8" w:rsidRPr="00133140">
        <w:rPr>
          <w:rFonts w:ascii="Cambria" w:hAnsi="Cambria" w:cs="Times New Roman"/>
          <w:sz w:val="22"/>
          <w:lang w:val="en-US"/>
        </w:rPr>
        <w:t>, Fanny Madeline (TD S2)</w:t>
      </w:r>
    </w:p>
    <w:p w14:paraId="28F21342" w14:textId="77777777" w:rsidR="0090243F" w:rsidRPr="00133140" w:rsidRDefault="0090243F" w:rsidP="002314AE">
      <w:pPr>
        <w:jc w:val="center"/>
        <w:rPr>
          <w:rFonts w:ascii="Cambria" w:hAnsi="Cambria" w:cs="Times New Roman"/>
          <w:smallCaps/>
          <w:sz w:val="22"/>
          <w:lang w:val="en-US"/>
        </w:rPr>
      </w:pPr>
    </w:p>
    <w:p w14:paraId="7EE03C92" w14:textId="0EC97C68" w:rsidR="002643A5" w:rsidRPr="00133140" w:rsidRDefault="007E49A8" w:rsidP="002314AE">
      <w:pPr>
        <w:jc w:val="both"/>
        <w:rPr>
          <w:rFonts w:ascii="Cambria" w:eastAsia="Times New Roman" w:hAnsi="Cambria" w:cs="Times New Roman"/>
          <w:b w:val="0"/>
          <w:kern w:val="0"/>
          <w:sz w:val="22"/>
          <w:lang w:eastAsia="en-US"/>
        </w:rPr>
      </w:pPr>
      <w:r w:rsidRPr="00133140">
        <w:rPr>
          <w:rFonts w:ascii="Cambria" w:eastAsia="Times New Roman" w:hAnsi="Cambria" w:cs="Times New Roman"/>
          <w:b w:val="0"/>
          <w:kern w:val="0"/>
          <w:sz w:val="22"/>
          <w:lang w:eastAsia="en-US"/>
        </w:rPr>
        <w:t xml:space="preserve">Depuis une trentaine d’années, l’anthropologie de la parenté a </w:t>
      </w:r>
      <w:r w:rsidR="002557B8" w:rsidRPr="00133140">
        <w:rPr>
          <w:rFonts w:ascii="Cambria" w:eastAsia="Times New Roman" w:hAnsi="Cambria" w:cs="Times New Roman"/>
          <w:b w:val="0"/>
          <w:kern w:val="0"/>
          <w:sz w:val="22"/>
          <w:lang w:eastAsia="en-US"/>
        </w:rPr>
        <w:t>profondément</w:t>
      </w:r>
      <w:r w:rsidRPr="00133140">
        <w:rPr>
          <w:rFonts w:ascii="Cambria" w:eastAsia="Times New Roman" w:hAnsi="Cambria" w:cs="Times New Roman"/>
          <w:b w:val="0"/>
          <w:kern w:val="0"/>
          <w:sz w:val="22"/>
          <w:lang w:eastAsia="en-US"/>
        </w:rPr>
        <w:t xml:space="preserve"> renouvelé l’histoire sociale et politique de l’Occident médiéval. Elle n’en a pas pour autant occulté l’intérêt d’approches plus anciennes recourant à la démographie, l’histoire de la famille, l’histoire du droit, l’anthroponymie ou l’histoire des représentations. C’est sur l’ensemble de ces approches, une grande variété de sources et une pluralité de terrains que s’appuiera ce cours qui aura pour objet l’étude des « affaires de familles » entre Xe et XIIIe siècle, principalement au sein des élites aristocratiques dont elles fondent la reproduction de la domination. </w:t>
      </w:r>
    </w:p>
    <w:p w14:paraId="7B80B4CE" w14:textId="5CB454C7" w:rsidR="002643A5" w:rsidRPr="004D0850" w:rsidRDefault="00B91DAD" w:rsidP="00B879DB">
      <w:pPr>
        <w:rPr>
          <w:rFonts w:ascii="Cambria" w:hAnsi="Cambria" w:cs="Times New Roman"/>
          <w:b w:val="0"/>
          <w:color w:val="C00000"/>
          <w:sz w:val="22"/>
        </w:rPr>
      </w:pPr>
      <w:r w:rsidRPr="004D0850">
        <w:rPr>
          <w:rFonts w:ascii="Cambria" w:hAnsi="Cambria" w:cs="Times New Roman"/>
          <w:color w:val="C00000"/>
          <w:sz w:val="22"/>
        </w:rPr>
        <w:t xml:space="preserve"> </w:t>
      </w:r>
      <w:r w:rsidRPr="004D0850">
        <w:rPr>
          <w:rFonts w:ascii="Cambria" w:hAnsi="Cambria" w:cs="Times New Roman"/>
          <w:color w:val="C00000"/>
          <w:sz w:val="22"/>
          <w:u w:val="single"/>
        </w:rPr>
        <w:t xml:space="preserve">Sujet du cours </w:t>
      </w:r>
      <w:r w:rsidR="00B879DB" w:rsidRPr="004D0850">
        <w:rPr>
          <w:rFonts w:ascii="Cambria" w:hAnsi="Cambria" w:cs="Times New Roman"/>
          <w:color w:val="C00000"/>
          <w:sz w:val="22"/>
          <w:u w:val="single"/>
        </w:rPr>
        <w:t>semestre 1</w:t>
      </w:r>
      <w:r w:rsidR="002643A5" w:rsidRPr="004D0850">
        <w:rPr>
          <w:rFonts w:ascii="Cambria" w:hAnsi="Cambria" w:cs="Times New Roman"/>
          <w:color w:val="C00000"/>
          <w:sz w:val="22"/>
        </w:rPr>
        <w:t xml:space="preserve"> : </w:t>
      </w:r>
      <w:r w:rsidR="00917ACC" w:rsidRPr="004D0850">
        <w:rPr>
          <w:rFonts w:ascii="Cambria" w:hAnsi="Cambria" w:cs="Times New Roman"/>
          <w:color w:val="C00000"/>
          <w:sz w:val="22"/>
        </w:rPr>
        <w:t xml:space="preserve">Affaires </w:t>
      </w:r>
      <w:r w:rsidR="006B1274" w:rsidRPr="004D0850">
        <w:rPr>
          <w:rFonts w:ascii="Cambria" w:hAnsi="Cambria" w:cs="Times New Roman"/>
          <w:color w:val="C00000"/>
          <w:sz w:val="22"/>
        </w:rPr>
        <w:t xml:space="preserve">de </w:t>
      </w:r>
      <w:r w:rsidR="00917ACC" w:rsidRPr="004D0850">
        <w:rPr>
          <w:rFonts w:ascii="Cambria" w:hAnsi="Cambria" w:cs="Times New Roman"/>
          <w:color w:val="C00000"/>
          <w:sz w:val="22"/>
        </w:rPr>
        <w:t xml:space="preserve">familiale dans l’Occident médiéval (Xe-XIIIe siècle). </w:t>
      </w:r>
      <w:r w:rsidR="002643A5" w:rsidRPr="004D0850">
        <w:rPr>
          <w:rFonts w:ascii="Cambria" w:hAnsi="Cambria" w:cs="Times New Roman"/>
          <w:color w:val="C00000"/>
          <w:sz w:val="22"/>
        </w:rPr>
        <w:t xml:space="preserve">Parenté et société </w:t>
      </w:r>
      <w:bookmarkStart w:id="16" w:name="_Hlk107482171"/>
    </w:p>
    <w:bookmarkEnd w:id="16"/>
    <w:p w14:paraId="7B070A33" w14:textId="77777777" w:rsidR="007E49A8" w:rsidRPr="00133140" w:rsidRDefault="007E49A8" w:rsidP="007E49A8">
      <w:pPr>
        <w:spacing w:after="0"/>
        <w:jc w:val="both"/>
        <w:rPr>
          <w:rFonts w:ascii="Cambria" w:hAnsi="Cambria" w:cs="Times New Roman"/>
          <w:b w:val="0"/>
          <w:sz w:val="22"/>
        </w:rPr>
      </w:pPr>
      <w:r w:rsidRPr="00133140">
        <w:rPr>
          <w:rFonts w:ascii="Cambria" w:eastAsia="Times New Roman" w:hAnsi="Cambria" w:cs="Times New Roman"/>
          <w:b w:val="0"/>
          <w:kern w:val="0"/>
          <w:sz w:val="22"/>
          <w:lang w:eastAsia="en-US"/>
        </w:rPr>
        <w:t>Les relations entre parenté et société fourniront un premier angle d’étude. On explorera tour à tour le principe de filiation et en particulier la diffusion de ce que les médiévistes ont pris l’habitude d’appeler le lignage, la question de l’alliance et du mariage, les relations entre générations, notamment entre parents et enfants, enfin les enjeux de la transmission, de la succession et de la mémoire, qui inscrivent les parentés dans la durée.</w:t>
      </w:r>
    </w:p>
    <w:p w14:paraId="11A17998" w14:textId="77777777" w:rsidR="007E49A8" w:rsidRPr="00133140" w:rsidRDefault="007E49A8" w:rsidP="007E49A8">
      <w:pPr>
        <w:pStyle w:val="Listenumros1"/>
        <w:ind w:hanging="425"/>
        <w:rPr>
          <w:rFonts w:ascii="Cambria" w:hAnsi="Cambria"/>
          <w:sz w:val="22"/>
          <w:szCs w:val="22"/>
        </w:rPr>
      </w:pPr>
    </w:p>
    <w:p w14:paraId="6210699A" w14:textId="091735D1" w:rsidR="002643A5" w:rsidRPr="004D0850" w:rsidRDefault="00B91DAD" w:rsidP="00B879DB">
      <w:pPr>
        <w:rPr>
          <w:rFonts w:ascii="Cambria" w:hAnsi="Cambria" w:cs="Times New Roman"/>
          <w:b w:val="0"/>
          <w:color w:val="C00000"/>
          <w:sz w:val="22"/>
        </w:rPr>
      </w:pPr>
      <w:r w:rsidRPr="004D0850">
        <w:rPr>
          <w:rFonts w:ascii="Cambria" w:hAnsi="Cambria" w:cs="Times New Roman"/>
          <w:color w:val="C00000"/>
          <w:sz w:val="22"/>
        </w:rPr>
        <w:t xml:space="preserve"> </w:t>
      </w:r>
      <w:r w:rsidRPr="004D0850">
        <w:rPr>
          <w:rFonts w:ascii="Cambria" w:hAnsi="Cambria" w:cs="Times New Roman"/>
          <w:color w:val="C00000"/>
          <w:sz w:val="22"/>
          <w:u w:val="single"/>
        </w:rPr>
        <w:t xml:space="preserve">Sujet du cours </w:t>
      </w:r>
      <w:r w:rsidR="00B879DB" w:rsidRPr="004D0850">
        <w:rPr>
          <w:rFonts w:ascii="Cambria" w:hAnsi="Cambria" w:cs="Times New Roman"/>
          <w:color w:val="C00000"/>
          <w:sz w:val="22"/>
          <w:u w:val="single"/>
        </w:rPr>
        <w:t>semestre 2</w:t>
      </w:r>
      <w:r w:rsidR="002643A5" w:rsidRPr="004D0850">
        <w:rPr>
          <w:rFonts w:ascii="Cambria" w:hAnsi="Cambria" w:cs="Times New Roman"/>
          <w:color w:val="C00000"/>
          <w:sz w:val="22"/>
        </w:rPr>
        <w:t xml:space="preserve"> : </w:t>
      </w:r>
      <w:bookmarkStart w:id="17" w:name="_Hlk107482288"/>
      <w:r w:rsidR="00917ACC" w:rsidRPr="004D0850">
        <w:rPr>
          <w:rFonts w:ascii="Cambria" w:hAnsi="Cambria" w:cs="Times New Roman"/>
          <w:color w:val="C00000"/>
          <w:sz w:val="22"/>
        </w:rPr>
        <w:t xml:space="preserve">Affaires </w:t>
      </w:r>
      <w:r w:rsidR="006B1274" w:rsidRPr="004D0850">
        <w:rPr>
          <w:rFonts w:ascii="Cambria" w:hAnsi="Cambria" w:cs="Times New Roman"/>
          <w:color w:val="C00000"/>
          <w:sz w:val="22"/>
        </w:rPr>
        <w:t xml:space="preserve">de </w:t>
      </w:r>
      <w:r w:rsidR="00917ACC" w:rsidRPr="004D0850">
        <w:rPr>
          <w:rFonts w:ascii="Cambria" w:hAnsi="Cambria" w:cs="Times New Roman"/>
          <w:color w:val="C00000"/>
          <w:sz w:val="22"/>
        </w:rPr>
        <w:t xml:space="preserve">familiale dans l’Occident médiéval (Xe- XIIIe siècle) </w:t>
      </w:r>
      <w:r w:rsidR="002643A5" w:rsidRPr="004D0850">
        <w:rPr>
          <w:rFonts w:ascii="Cambria" w:hAnsi="Cambria" w:cs="Times New Roman"/>
          <w:color w:val="C00000"/>
          <w:sz w:val="22"/>
        </w:rPr>
        <w:t>Pouvoir, espace, Eglise</w:t>
      </w:r>
    </w:p>
    <w:bookmarkEnd w:id="17"/>
    <w:p w14:paraId="3AE1E499" w14:textId="73BDB6E2" w:rsidR="0090243F" w:rsidRPr="00133140" w:rsidRDefault="007E49A8" w:rsidP="0090243F">
      <w:pPr>
        <w:jc w:val="both"/>
        <w:rPr>
          <w:rFonts w:ascii="Cambria" w:hAnsi="Cambria"/>
        </w:rPr>
      </w:pPr>
      <w:r w:rsidRPr="00133140">
        <w:rPr>
          <w:rFonts w:ascii="Cambria" w:eastAsia="Times New Roman" w:hAnsi="Cambria" w:cs="Times New Roman"/>
          <w:b w:val="0"/>
          <w:kern w:val="0"/>
          <w:sz w:val="22"/>
          <w:lang w:eastAsia="en-US"/>
        </w:rPr>
        <w:t xml:space="preserve">Un deuxième angle d’étude portera sur les enjeux politiques, spatiaux et ecclésiaux des relations de parenté. On envisagera dans ce cadre les rapports entre parenté, espace et territoire, les relations entre parenté et féodalité, les interactions entre </w:t>
      </w:r>
      <w:r w:rsidRPr="00133140">
        <w:rPr>
          <w:rFonts w:ascii="Cambria" w:eastAsia="Times New Roman" w:hAnsi="Cambria" w:cs="Times New Roman"/>
          <w:b w:val="0"/>
          <w:i/>
          <w:kern w:val="0"/>
          <w:sz w:val="22"/>
          <w:lang w:eastAsia="en-US"/>
        </w:rPr>
        <w:t>ecclesia</w:t>
      </w:r>
      <w:r w:rsidRPr="00133140">
        <w:rPr>
          <w:rFonts w:ascii="Cambria" w:eastAsia="Times New Roman" w:hAnsi="Cambria" w:cs="Times New Roman"/>
          <w:b w:val="0"/>
          <w:kern w:val="0"/>
          <w:sz w:val="22"/>
          <w:lang w:eastAsia="en-US"/>
        </w:rPr>
        <w:t xml:space="preserve">, recherche du salut et domination familiale, enfin </w:t>
      </w:r>
      <w:r w:rsidR="0090243F" w:rsidRPr="00133140">
        <w:rPr>
          <w:rFonts w:ascii="Cambria" w:eastAsia="Times New Roman" w:hAnsi="Cambria" w:cs="Times New Roman"/>
          <w:b w:val="0"/>
          <w:kern w:val="0"/>
          <w:sz w:val="22"/>
          <w:lang w:eastAsia="en-US"/>
        </w:rPr>
        <w:t>le sens social et idéologique de la « spiritualisation » de certains rapports de parenté.</w:t>
      </w:r>
    </w:p>
    <w:p w14:paraId="3290F686" w14:textId="070B877E" w:rsidR="002643A5" w:rsidRPr="00133140" w:rsidRDefault="002643A5" w:rsidP="009F482A">
      <w:pPr>
        <w:jc w:val="both"/>
        <w:rPr>
          <w:rFonts w:ascii="Cambria" w:eastAsia="Times New Roman" w:hAnsi="Cambria" w:cs="Times New Roman"/>
          <w:b w:val="0"/>
          <w:kern w:val="0"/>
          <w:sz w:val="22"/>
          <w:lang w:eastAsia="en-US"/>
        </w:rPr>
      </w:pPr>
    </w:p>
    <w:p w14:paraId="63968B8D" w14:textId="77777777" w:rsidR="00C91E99" w:rsidRPr="00133140" w:rsidRDefault="00C91E99" w:rsidP="009F482A">
      <w:pPr>
        <w:jc w:val="both"/>
        <w:rPr>
          <w:rFonts w:ascii="Cambria" w:eastAsia="Times New Roman" w:hAnsi="Cambria" w:cs="Times New Roman"/>
          <w:b w:val="0"/>
          <w:kern w:val="0"/>
          <w:sz w:val="22"/>
          <w:lang w:eastAsia="en-US"/>
        </w:rPr>
      </w:pPr>
    </w:p>
    <w:p w14:paraId="10301ECF" w14:textId="77777777" w:rsidR="00C91E99" w:rsidRPr="00133140" w:rsidRDefault="00C91E99" w:rsidP="009F482A">
      <w:pPr>
        <w:jc w:val="both"/>
        <w:rPr>
          <w:rFonts w:ascii="Cambria" w:hAnsi="Cambria"/>
          <w:i/>
        </w:rPr>
      </w:pPr>
    </w:p>
    <w:p w14:paraId="1D496E27" w14:textId="15996F4C" w:rsidR="00F54175" w:rsidRPr="00133140" w:rsidRDefault="00F54175" w:rsidP="00F54175">
      <w:pPr>
        <w:jc w:val="center"/>
        <w:rPr>
          <w:sz w:val="22"/>
        </w:rPr>
      </w:pPr>
      <w:r w:rsidRPr="00133140">
        <w:rPr>
          <w:smallCaps/>
          <w:sz w:val="22"/>
        </w:rPr>
        <w:t>Bibliographie (semestres 1 et 2)</w:t>
      </w:r>
    </w:p>
    <w:p w14:paraId="31C83650" w14:textId="3A4F77AF" w:rsidR="00F54175" w:rsidRPr="009A120F" w:rsidRDefault="00F54175" w:rsidP="00F54175">
      <w:pPr>
        <w:jc w:val="both"/>
        <w:rPr>
          <w:rFonts w:ascii="Cambria" w:hAnsi="Cambria"/>
          <w:sz w:val="18"/>
          <w:szCs w:val="18"/>
        </w:rPr>
      </w:pPr>
      <w:r w:rsidRPr="009A120F">
        <w:rPr>
          <w:rFonts w:ascii="Cambria" w:hAnsi="Cambria"/>
          <w:sz w:val="18"/>
          <w:szCs w:val="18"/>
        </w:rPr>
        <w:t>Lectures recommandées</w:t>
      </w:r>
    </w:p>
    <w:p w14:paraId="68D86B29" w14:textId="77777777" w:rsidR="00F54175" w:rsidRPr="009A120F" w:rsidRDefault="00F54175" w:rsidP="00F54175">
      <w:pPr>
        <w:ind w:left="540" w:hanging="540"/>
        <w:jc w:val="both"/>
        <w:rPr>
          <w:rFonts w:ascii="Cambria" w:hAnsi="Cambria"/>
          <w:sz w:val="18"/>
          <w:szCs w:val="18"/>
        </w:rPr>
      </w:pPr>
      <w:r w:rsidRPr="009A120F">
        <w:rPr>
          <w:rFonts w:ascii="Cambria" w:hAnsi="Cambria"/>
          <w:sz w:val="18"/>
          <w:szCs w:val="18"/>
        </w:rPr>
        <w:t xml:space="preserve">Une introduction : </w:t>
      </w:r>
    </w:p>
    <w:p w14:paraId="31AE1B76" w14:textId="78D0F534" w:rsidR="00F54175" w:rsidRPr="009A120F" w:rsidRDefault="00F54175" w:rsidP="009F482A">
      <w:pPr>
        <w:ind w:left="540" w:hanging="540"/>
        <w:jc w:val="both"/>
        <w:rPr>
          <w:rFonts w:ascii="Cambria" w:hAnsi="Cambria"/>
          <w:sz w:val="18"/>
          <w:szCs w:val="18"/>
        </w:rPr>
      </w:pPr>
      <w:r w:rsidRPr="009A120F">
        <w:rPr>
          <w:rFonts w:ascii="Cambria" w:hAnsi="Cambria"/>
          <w:sz w:val="18"/>
          <w:szCs w:val="18"/>
        </w:rPr>
        <w:t xml:space="preserve">D. Lett, </w:t>
      </w:r>
      <w:r w:rsidRPr="009A120F">
        <w:rPr>
          <w:rFonts w:ascii="Cambria" w:hAnsi="Cambria"/>
          <w:i/>
          <w:sz w:val="18"/>
          <w:szCs w:val="18"/>
        </w:rPr>
        <w:t>Famille et parenté dans l’Occident médiéval, V</w:t>
      </w:r>
      <w:r w:rsidRPr="009A120F">
        <w:rPr>
          <w:rFonts w:ascii="Cambria" w:hAnsi="Cambria"/>
          <w:i/>
          <w:sz w:val="18"/>
          <w:szCs w:val="18"/>
          <w:vertAlign w:val="superscript"/>
        </w:rPr>
        <w:t>e</w:t>
      </w:r>
      <w:r w:rsidRPr="009A120F">
        <w:rPr>
          <w:rFonts w:ascii="Cambria" w:hAnsi="Cambria"/>
          <w:i/>
          <w:sz w:val="18"/>
          <w:szCs w:val="18"/>
        </w:rPr>
        <w:t>-XV</w:t>
      </w:r>
      <w:r w:rsidRPr="009A120F">
        <w:rPr>
          <w:rFonts w:ascii="Cambria" w:hAnsi="Cambria"/>
          <w:i/>
          <w:sz w:val="18"/>
          <w:szCs w:val="18"/>
          <w:vertAlign w:val="superscript"/>
        </w:rPr>
        <w:t>e</w:t>
      </w:r>
      <w:r w:rsidRPr="009A120F">
        <w:rPr>
          <w:rFonts w:ascii="Cambria" w:hAnsi="Cambria"/>
          <w:i/>
          <w:sz w:val="18"/>
          <w:szCs w:val="18"/>
        </w:rPr>
        <w:t xml:space="preserve"> siècle</w:t>
      </w:r>
      <w:r w:rsidRPr="009A120F">
        <w:rPr>
          <w:rFonts w:ascii="Cambria" w:hAnsi="Cambria"/>
          <w:sz w:val="18"/>
          <w:szCs w:val="18"/>
        </w:rPr>
        <w:t>, Paris, 2000 (plusieurs rééditions).</w:t>
      </w:r>
    </w:p>
    <w:p w14:paraId="7F6041C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Regards d’autres disciplines : </w:t>
      </w:r>
    </w:p>
    <w:p w14:paraId="2AC7525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Bourdieu, « La parenté comme représentation et comme volonté », dans </w:t>
      </w:r>
      <w:r w:rsidRPr="009A120F">
        <w:rPr>
          <w:rFonts w:ascii="Cambria" w:hAnsi="Cambria"/>
          <w:b w:val="0"/>
          <w:bCs/>
          <w:i/>
          <w:sz w:val="18"/>
          <w:szCs w:val="18"/>
        </w:rPr>
        <w:t>Id</w:t>
      </w:r>
      <w:r w:rsidRPr="009A120F">
        <w:rPr>
          <w:rFonts w:ascii="Cambria" w:hAnsi="Cambria"/>
          <w:b w:val="0"/>
          <w:bCs/>
          <w:sz w:val="18"/>
          <w:szCs w:val="18"/>
        </w:rPr>
        <w:t xml:space="preserve">., </w:t>
      </w:r>
      <w:r w:rsidRPr="009A120F">
        <w:rPr>
          <w:rFonts w:ascii="Cambria" w:hAnsi="Cambria"/>
          <w:b w:val="0"/>
          <w:bCs/>
          <w:i/>
          <w:iCs/>
          <w:sz w:val="18"/>
          <w:szCs w:val="18"/>
        </w:rPr>
        <w:t xml:space="preserve">Esquisse d’une théorie de la pratique </w:t>
      </w:r>
      <w:r w:rsidRPr="009A120F">
        <w:rPr>
          <w:rFonts w:ascii="Cambria" w:hAnsi="Cambria"/>
          <w:b w:val="0"/>
          <w:bCs/>
          <w:sz w:val="18"/>
          <w:szCs w:val="18"/>
        </w:rPr>
        <w:t>précédée</w:t>
      </w:r>
      <w:r w:rsidRPr="009A120F">
        <w:rPr>
          <w:rFonts w:ascii="Cambria" w:hAnsi="Cambria"/>
          <w:b w:val="0"/>
          <w:bCs/>
          <w:i/>
          <w:iCs/>
          <w:sz w:val="18"/>
          <w:szCs w:val="18"/>
        </w:rPr>
        <w:t xml:space="preserve"> </w:t>
      </w:r>
      <w:r w:rsidRPr="009A120F">
        <w:rPr>
          <w:rFonts w:ascii="Cambria" w:hAnsi="Cambria"/>
          <w:b w:val="0"/>
          <w:bCs/>
          <w:sz w:val="18"/>
          <w:szCs w:val="18"/>
        </w:rPr>
        <w:t xml:space="preserve">de </w:t>
      </w:r>
      <w:r w:rsidRPr="009A120F">
        <w:rPr>
          <w:rFonts w:ascii="Cambria" w:hAnsi="Cambria"/>
          <w:b w:val="0"/>
          <w:bCs/>
          <w:i/>
          <w:iCs/>
          <w:sz w:val="18"/>
          <w:szCs w:val="18"/>
        </w:rPr>
        <w:t>Trois études d’ethnologie kabyle</w:t>
      </w:r>
      <w:r w:rsidRPr="009A120F">
        <w:rPr>
          <w:rFonts w:ascii="Cambria" w:hAnsi="Cambria"/>
          <w:b w:val="0"/>
          <w:bCs/>
          <w:sz w:val="18"/>
          <w:szCs w:val="18"/>
        </w:rPr>
        <w:t>, Paris, 1965, rééd. 2000, p. 83-186.</w:t>
      </w:r>
    </w:p>
    <w:p w14:paraId="3BADD91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Godelier, </w:t>
      </w:r>
      <w:r w:rsidRPr="009A120F">
        <w:rPr>
          <w:rFonts w:ascii="Cambria" w:hAnsi="Cambria"/>
          <w:b w:val="0"/>
          <w:bCs/>
          <w:i/>
          <w:sz w:val="18"/>
          <w:szCs w:val="18"/>
        </w:rPr>
        <w:t>Métamorphoses de la parenté</w:t>
      </w:r>
      <w:r w:rsidRPr="009A120F">
        <w:rPr>
          <w:rFonts w:ascii="Cambria" w:hAnsi="Cambria"/>
          <w:b w:val="0"/>
          <w:bCs/>
          <w:sz w:val="18"/>
          <w:szCs w:val="18"/>
        </w:rPr>
        <w:t>, Paris, 2004.</w:t>
      </w:r>
    </w:p>
    <w:p w14:paraId="176E6E9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Goody, </w:t>
      </w:r>
      <w:r w:rsidRPr="009A120F">
        <w:rPr>
          <w:rFonts w:ascii="Cambria" w:hAnsi="Cambria"/>
          <w:b w:val="0"/>
          <w:bCs/>
          <w:i/>
          <w:iCs/>
          <w:sz w:val="18"/>
          <w:szCs w:val="18"/>
        </w:rPr>
        <w:t>L'Évolution de la famille et du mariage en Europe</w:t>
      </w:r>
      <w:r w:rsidRPr="009A120F">
        <w:rPr>
          <w:rFonts w:ascii="Cambria" w:hAnsi="Cambria"/>
          <w:b w:val="0"/>
          <w:bCs/>
          <w:sz w:val="18"/>
          <w:szCs w:val="18"/>
        </w:rPr>
        <w:t>, Paris, 2012 (1</w:t>
      </w:r>
      <w:r w:rsidRPr="009A120F">
        <w:rPr>
          <w:rFonts w:ascii="Cambria" w:hAnsi="Cambria"/>
          <w:b w:val="0"/>
          <w:bCs/>
          <w:sz w:val="18"/>
          <w:szCs w:val="18"/>
          <w:vertAlign w:val="superscript"/>
        </w:rPr>
        <w:t>ère</w:t>
      </w:r>
      <w:r w:rsidRPr="009A120F">
        <w:rPr>
          <w:rFonts w:ascii="Cambria" w:hAnsi="Cambria"/>
          <w:b w:val="0"/>
          <w:bCs/>
          <w:sz w:val="18"/>
          <w:szCs w:val="18"/>
        </w:rPr>
        <w:t xml:space="preserve"> éd. 1985)</w:t>
      </w:r>
    </w:p>
    <w:p w14:paraId="0295A73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Lefebvre-Teillard, </w:t>
      </w:r>
      <w:r w:rsidRPr="009A120F">
        <w:rPr>
          <w:rFonts w:ascii="Cambria" w:hAnsi="Cambria"/>
          <w:b w:val="0"/>
          <w:bCs/>
          <w:i/>
          <w:sz w:val="18"/>
          <w:szCs w:val="18"/>
        </w:rPr>
        <w:t>Introduction historique au droit des personnes et de la famille</w:t>
      </w:r>
      <w:r w:rsidRPr="009A120F">
        <w:rPr>
          <w:rFonts w:ascii="Cambria" w:hAnsi="Cambria"/>
          <w:b w:val="0"/>
          <w:bCs/>
          <w:sz w:val="18"/>
          <w:szCs w:val="18"/>
        </w:rPr>
        <w:t>, Paris, 1996.</w:t>
      </w:r>
    </w:p>
    <w:p w14:paraId="423DD03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Legendre, </w:t>
      </w:r>
      <w:r w:rsidRPr="009A120F">
        <w:rPr>
          <w:rFonts w:ascii="Cambria" w:hAnsi="Cambria"/>
          <w:b w:val="0"/>
          <w:bCs/>
          <w:i/>
          <w:sz w:val="18"/>
          <w:szCs w:val="18"/>
        </w:rPr>
        <w:t>L’inestimable objet de la transmission. Étude sur le principe généalogique en Occident</w:t>
      </w:r>
      <w:r w:rsidRPr="009A120F">
        <w:rPr>
          <w:rFonts w:ascii="Cambria" w:hAnsi="Cambria"/>
          <w:b w:val="0"/>
          <w:bCs/>
          <w:sz w:val="18"/>
          <w:szCs w:val="18"/>
        </w:rPr>
        <w:t>, Paris, 2004 (éd. revue et corrigée de la 1</w:t>
      </w:r>
      <w:r w:rsidRPr="009A120F">
        <w:rPr>
          <w:rFonts w:ascii="Cambria" w:hAnsi="Cambria"/>
          <w:b w:val="0"/>
          <w:bCs/>
          <w:sz w:val="18"/>
          <w:szCs w:val="18"/>
          <w:vertAlign w:val="superscript"/>
        </w:rPr>
        <w:t>ère</w:t>
      </w:r>
      <w:r w:rsidRPr="009A120F">
        <w:rPr>
          <w:rFonts w:ascii="Cambria" w:hAnsi="Cambria"/>
          <w:b w:val="0"/>
          <w:bCs/>
          <w:sz w:val="18"/>
          <w:szCs w:val="18"/>
        </w:rPr>
        <w:t xml:space="preserve"> éd. de 1985)</w:t>
      </w:r>
    </w:p>
    <w:p w14:paraId="58689309" w14:textId="4101B030"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P. Legendre, </w:t>
      </w:r>
      <w:r w:rsidRPr="009A120F">
        <w:rPr>
          <w:rFonts w:ascii="Cambria" w:hAnsi="Cambria"/>
          <w:b w:val="0"/>
          <w:bCs/>
          <w:i/>
          <w:sz w:val="18"/>
          <w:szCs w:val="18"/>
        </w:rPr>
        <w:t>Le dossier occidental de la parenté. Textes juridiques indésirables sur la généalogie</w:t>
      </w:r>
      <w:r w:rsidRPr="009A120F">
        <w:rPr>
          <w:rFonts w:ascii="Cambria" w:hAnsi="Cambria"/>
          <w:b w:val="0"/>
          <w:bCs/>
          <w:sz w:val="18"/>
          <w:szCs w:val="18"/>
        </w:rPr>
        <w:t>, Paris, 1988.</w:t>
      </w:r>
    </w:p>
    <w:p w14:paraId="3EDDA9B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 xml:space="preserve">Le Père. </w:t>
      </w:r>
      <w:r w:rsidRPr="009A120F">
        <w:rPr>
          <w:rFonts w:ascii="Cambria" w:hAnsi="Cambria"/>
          <w:b w:val="0"/>
          <w:bCs/>
          <w:i/>
          <w:iCs/>
          <w:sz w:val="18"/>
          <w:szCs w:val="18"/>
        </w:rPr>
        <w:t>Métaphore paternelle et fonctions du père : l’interdit, la filiation, la transmission</w:t>
      </w:r>
      <w:r w:rsidRPr="009A120F">
        <w:rPr>
          <w:rFonts w:ascii="Cambria" w:hAnsi="Cambria"/>
          <w:b w:val="0"/>
          <w:bCs/>
          <w:sz w:val="18"/>
          <w:szCs w:val="18"/>
        </w:rPr>
        <w:t>, Paris, 1989.</w:t>
      </w:r>
    </w:p>
    <w:p w14:paraId="6CB3421D" w14:textId="035BCEF2"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F. Weber, </w:t>
      </w:r>
      <w:r w:rsidRPr="009A120F">
        <w:rPr>
          <w:rFonts w:ascii="Cambria" w:hAnsi="Cambria"/>
          <w:b w:val="0"/>
          <w:bCs/>
          <w:i/>
          <w:sz w:val="18"/>
          <w:szCs w:val="18"/>
        </w:rPr>
        <w:t>Le sang, le nom, le quotidien. ? Une sociologie de la parenté pratique</w:t>
      </w:r>
      <w:r w:rsidRPr="009A120F">
        <w:rPr>
          <w:rFonts w:ascii="Cambria" w:hAnsi="Cambria"/>
          <w:b w:val="0"/>
          <w:bCs/>
          <w:sz w:val="18"/>
          <w:szCs w:val="18"/>
        </w:rPr>
        <w:t xml:space="preserve">, Paris, 2005. </w:t>
      </w:r>
    </w:p>
    <w:p w14:paraId="33FC485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Engendrement</w:t>
      </w:r>
    </w:p>
    <w:p w14:paraId="706F604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 La parenté partagée : engendrement charnel et infusion de l’âme », dans </w:t>
      </w:r>
      <w:r w:rsidRPr="009A120F">
        <w:rPr>
          <w:rStyle w:val="Accentuation"/>
          <w:rFonts w:ascii="Cambria" w:hAnsi="Cambria"/>
          <w:b w:val="0"/>
          <w:bCs/>
          <w:sz w:val="18"/>
          <w:szCs w:val="18"/>
        </w:rPr>
        <w:t>Anima e corpo nella cultura medievale,</w:t>
      </w:r>
      <w:r w:rsidRPr="009A120F">
        <w:rPr>
          <w:rFonts w:ascii="Cambria" w:hAnsi="Cambria"/>
          <w:b w:val="0"/>
          <w:bCs/>
          <w:sz w:val="18"/>
          <w:szCs w:val="18"/>
        </w:rPr>
        <w:t xml:space="preserve"> Florence, 1999, p. 123-137.</w:t>
      </w:r>
    </w:p>
    <w:p w14:paraId="4483753F" w14:textId="3536E2DC" w:rsidR="009F482A" w:rsidRPr="009A120F" w:rsidRDefault="00F54175" w:rsidP="002314AE">
      <w:pPr>
        <w:ind w:left="540" w:hanging="540"/>
        <w:jc w:val="both"/>
        <w:rPr>
          <w:rFonts w:ascii="Cambria" w:hAnsi="Cambria"/>
          <w:b w:val="0"/>
          <w:bCs/>
          <w:sz w:val="18"/>
          <w:szCs w:val="18"/>
        </w:rPr>
      </w:pPr>
      <w:r w:rsidRPr="009A120F">
        <w:rPr>
          <w:rFonts w:ascii="Cambria" w:hAnsi="Cambria"/>
          <w:b w:val="0"/>
          <w:bCs/>
          <w:sz w:val="18"/>
          <w:szCs w:val="18"/>
        </w:rPr>
        <w:t xml:space="preserve">J. Baschet, « Eve n’est jamais née. Les représentations médiévales et l’origine du genre humain », dans </w:t>
      </w:r>
      <w:r w:rsidRPr="009A120F">
        <w:rPr>
          <w:rStyle w:val="Accentuation"/>
          <w:rFonts w:ascii="Cambria" w:hAnsi="Cambria"/>
          <w:b w:val="0"/>
          <w:bCs/>
          <w:sz w:val="18"/>
          <w:szCs w:val="18"/>
        </w:rPr>
        <w:t>Eve et Pandora : la création de la première femme</w:t>
      </w:r>
      <w:r w:rsidRPr="009A120F">
        <w:rPr>
          <w:rFonts w:ascii="Cambria" w:hAnsi="Cambria"/>
          <w:b w:val="0"/>
          <w:bCs/>
          <w:sz w:val="18"/>
          <w:szCs w:val="18"/>
        </w:rPr>
        <w:t>, J.-C. Schmitt (dir.), Paris, 2002, p. 115-162 et 267-272.</w:t>
      </w:r>
    </w:p>
    <w:p w14:paraId="3E15F542" w14:textId="730FE9A6"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w:t>
      </w:r>
      <w:r w:rsidRPr="009A120F">
        <w:rPr>
          <w:rFonts w:ascii="Cambria" w:hAnsi="Cambria"/>
          <w:b w:val="0"/>
          <w:bCs/>
          <w:i/>
          <w:iCs/>
          <w:sz w:val="18"/>
          <w:szCs w:val="18"/>
        </w:rPr>
        <w:t>Corps et âmes. Une histoire de la personne au Moyen Âge</w:t>
      </w:r>
      <w:r w:rsidRPr="009A120F">
        <w:rPr>
          <w:rFonts w:ascii="Cambria" w:hAnsi="Cambria"/>
          <w:b w:val="0"/>
          <w:bCs/>
          <w:sz w:val="18"/>
          <w:szCs w:val="18"/>
        </w:rPr>
        <w:t>, Paris, 2016.</w:t>
      </w:r>
    </w:p>
    <w:p w14:paraId="6B6EB5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J.-Cl. Bologne, </w:t>
      </w:r>
      <w:r w:rsidRPr="009A120F">
        <w:rPr>
          <w:rFonts w:ascii="Cambria" w:hAnsi="Cambria"/>
          <w:b w:val="0"/>
          <w:bCs/>
          <w:i/>
          <w:sz w:val="18"/>
          <w:szCs w:val="18"/>
        </w:rPr>
        <w:t>La</w:t>
      </w:r>
      <w:r w:rsidRPr="009A120F">
        <w:rPr>
          <w:rFonts w:ascii="Cambria" w:hAnsi="Cambria"/>
          <w:b w:val="0"/>
          <w:bCs/>
          <w:sz w:val="18"/>
          <w:szCs w:val="18"/>
        </w:rPr>
        <w:t xml:space="preserve"> </w:t>
      </w:r>
      <w:r w:rsidRPr="009A120F">
        <w:rPr>
          <w:rFonts w:ascii="Cambria" w:hAnsi="Cambria"/>
          <w:b w:val="0"/>
          <w:bCs/>
          <w:i/>
          <w:sz w:val="18"/>
          <w:szCs w:val="18"/>
        </w:rPr>
        <w:t>naissance interdite. Stérilité, avortement, contraception au Moyen Âge</w:t>
      </w:r>
      <w:r w:rsidRPr="009A120F">
        <w:rPr>
          <w:rFonts w:ascii="Cambria" w:hAnsi="Cambria"/>
          <w:b w:val="0"/>
          <w:bCs/>
          <w:sz w:val="18"/>
          <w:szCs w:val="18"/>
        </w:rPr>
        <w:t>, Paris, 1988.</w:t>
      </w:r>
    </w:p>
    <w:p w14:paraId="1136B9A3"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J.-L. Flandrin, </w:t>
      </w:r>
      <w:r w:rsidRPr="009A120F">
        <w:rPr>
          <w:rFonts w:ascii="Cambria" w:hAnsi="Cambria"/>
          <w:b w:val="0"/>
          <w:bCs/>
          <w:i/>
          <w:sz w:val="18"/>
          <w:szCs w:val="18"/>
        </w:rPr>
        <w:t>L’Église et le contrôle des naissances</w:t>
      </w:r>
      <w:r w:rsidRPr="009A120F">
        <w:rPr>
          <w:rFonts w:ascii="Cambria" w:hAnsi="Cambria"/>
          <w:b w:val="0"/>
          <w:bCs/>
          <w:sz w:val="18"/>
          <w:szCs w:val="18"/>
        </w:rPr>
        <w:t>, Paris, 970.</w:t>
      </w:r>
    </w:p>
    <w:p w14:paraId="7B7C61A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L’hérédité entre Moyen Âge et époque moderne. Perspectives historiques</w:t>
      </w:r>
      <w:r w:rsidRPr="009A120F">
        <w:rPr>
          <w:rFonts w:ascii="Cambria" w:hAnsi="Cambria"/>
          <w:b w:val="0"/>
          <w:bCs/>
          <w:sz w:val="18"/>
          <w:szCs w:val="18"/>
        </w:rPr>
        <w:t>, Florence, 2008.</w:t>
      </w:r>
    </w:p>
    <w:p w14:paraId="6DBC244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Jacquart et C. Thomasset, </w:t>
      </w:r>
      <w:r w:rsidRPr="009A120F">
        <w:rPr>
          <w:rFonts w:ascii="Cambria" w:hAnsi="Cambria"/>
          <w:b w:val="0"/>
          <w:bCs/>
          <w:i/>
          <w:sz w:val="18"/>
          <w:szCs w:val="18"/>
        </w:rPr>
        <w:t>Sexualité et savoir médical au Moyen Âge</w:t>
      </w:r>
      <w:r w:rsidRPr="009A120F">
        <w:rPr>
          <w:rFonts w:ascii="Cambria" w:hAnsi="Cambria"/>
          <w:b w:val="0"/>
          <w:bCs/>
          <w:sz w:val="18"/>
          <w:szCs w:val="18"/>
        </w:rPr>
        <w:t>, Paris, 1985.</w:t>
      </w:r>
    </w:p>
    <w:p w14:paraId="65C8B08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Y. Thomas, « Le Ventre. Corps maternel, droit paternel », </w:t>
      </w:r>
      <w:r w:rsidRPr="009A120F">
        <w:rPr>
          <w:rFonts w:ascii="Cambria" w:hAnsi="Cambria"/>
          <w:b w:val="0"/>
          <w:bCs/>
          <w:i/>
          <w:sz w:val="18"/>
          <w:szCs w:val="18"/>
        </w:rPr>
        <w:t>Le Genre humain</w:t>
      </w:r>
      <w:r w:rsidRPr="009A120F">
        <w:rPr>
          <w:rFonts w:ascii="Cambria" w:hAnsi="Cambria"/>
          <w:b w:val="0"/>
          <w:bCs/>
          <w:sz w:val="18"/>
          <w:szCs w:val="18"/>
        </w:rPr>
        <w:t>, 14 (1986), p. 211-236.</w:t>
      </w:r>
    </w:p>
    <w:p w14:paraId="5F28105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Van der Lugt, </w:t>
      </w:r>
      <w:r w:rsidRPr="009A120F">
        <w:rPr>
          <w:rFonts w:ascii="Cambria" w:hAnsi="Cambria"/>
          <w:b w:val="0"/>
          <w:bCs/>
          <w:i/>
          <w:sz w:val="18"/>
          <w:szCs w:val="18"/>
        </w:rPr>
        <w:t>Le ver, le démon et la vierge : les théories médiévales de la génération extraordinaire : une étude sur les rapports entre théologie, philosophie naturelle et médecine</w:t>
      </w:r>
      <w:r w:rsidRPr="009A120F">
        <w:rPr>
          <w:rFonts w:ascii="Cambria" w:hAnsi="Cambria"/>
          <w:b w:val="0"/>
          <w:bCs/>
          <w:sz w:val="18"/>
          <w:szCs w:val="18"/>
        </w:rPr>
        <w:t>, Paris, 2004.</w:t>
      </w:r>
    </w:p>
    <w:p w14:paraId="627C2131" w14:textId="1B8FDE85"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R. Zapperi, </w:t>
      </w:r>
      <w:r w:rsidRPr="009A120F">
        <w:rPr>
          <w:rFonts w:ascii="Cambria" w:hAnsi="Cambria"/>
          <w:b w:val="0"/>
          <w:bCs/>
          <w:i/>
          <w:sz w:val="18"/>
          <w:szCs w:val="18"/>
        </w:rPr>
        <w:t>L’homme enceint. L’homme, la femme et le pouvoir</w:t>
      </w:r>
      <w:r w:rsidRPr="009A120F">
        <w:rPr>
          <w:rFonts w:ascii="Cambria" w:hAnsi="Cambria"/>
          <w:b w:val="0"/>
          <w:bCs/>
          <w:sz w:val="18"/>
          <w:szCs w:val="18"/>
        </w:rPr>
        <w:t xml:space="preserve">, Paris, 1983. </w:t>
      </w:r>
    </w:p>
    <w:p w14:paraId="4F124E2F"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Autour du baptême, la deuxième naissance</w:t>
      </w:r>
    </w:p>
    <w:p w14:paraId="0C4E44C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 Guerreau-Jalabert, « </w:t>
      </w:r>
      <w:r w:rsidRPr="009A120F">
        <w:rPr>
          <w:rFonts w:ascii="Cambria" w:hAnsi="Cambria"/>
          <w:b w:val="0"/>
          <w:bCs/>
          <w:i/>
          <w:sz w:val="18"/>
          <w:szCs w:val="18"/>
        </w:rPr>
        <w:t>Spiritus et caritas</w:t>
      </w:r>
      <w:r w:rsidRPr="009A120F">
        <w:rPr>
          <w:rFonts w:ascii="Cambria" w:hAnsi="Cambria"/>
          <w:b w:val="0"/>
          <w:bCs/>
          <w:sz w:val="18"/>
          <w:szCs w:val="18"/>
        </w:rPr>
        <w:t xml:space="preserve">. Le baptême dans la société médiévale », dans F. Héritier-Augé et E. Copet-Rougier (dir.), </w:t>
      </w:r>
      <w:r w:rsidRPr="009A120F">
        <w:rPr>
          <w:rFonts w:ascii="Cambria" w:hAnsi="Cambria"/>
          <w:b w:val="0"/>
          <w:bCs/>
          <w:i/>
          <w:sz w:val="18"/>
          <w:szCs w:val="18"/>
        </w:rPr>
        <w:t>La parenté spirituelle</w:t>
      </w:r>
      <w:r w:rsidRPr="009A120F">
        <w:rPr>
          <w:rFonts w:ascii="Cambria" w:hAnsi="Cambria"/>
          <w:b w:val="0"/>
          <w:bCs/>
          <w:sz w:val="18"/>
          <w:szCs w:val="18"/>
        </w:rPr>
        <w:t>, Paris, 1996, p. 133-203.</w:t>
      </w:r>
    </w:p>
    <w:p w14:paraId="31B2639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B. Jussen, « Le parrainage à la fin du Moyen Âge : savoir public, attentes théologiques et usages sociaux », </w:t>
      </w:r>
      <w:r w:rsidRPr="009A120F">
        <w:rPr>
          <w:rStyle w:val="Accentuation"/>
          <w:rFonts w:ascii="Cambria" w:hAnsi="Cambria"/>
          <w:b w:val="0"/>
          <w:bCs/>
          <w:sz w:val="18"/>
          <w:szCs w:val="18"/>
        </w:rPr>
        <w:t>Annales. Économies, Sociétés, Civilisations</w:t>
      </w:r>
      <w:r w:rsidRPr="009A120F">
        <w:rPr>
          <w:rFonts w:ascii="Cambria" w:hAnsi="Cambria"/>
          <w:b w:val="0"/>
          <w:bCs/>
          <w:sz w:val="18"/>
          <w:szCs w:val="18"/>
        </w:rPr>
        <w:t>. 47ᵉ année, 1992, p. 467-502.</w:t>
      </w:r>
    </w:p>
    <w:p w14:paraId="23A42A2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Lynch, </w:t>
      </w:r>
      <w:r w:rsidRPr="009A120F">
        <w:rPr>
          <w:rFonts w:ascii="Cambria" w:hAnsi="Cambria"/>
          <w:b w:val="0"/>
          <w:bCs/>
          <w:i/>
          <w:sz w:val="18"/>
          <w:szCs w:val="18"/>
        </w:rPr>
        <w:t>Godparents and kinship in early medieval Europe</w:t>
      </w:r>
      <w:r w:rsidRPr="009A120F">
        <w:rPr>
          <w:rFonts w:ascii="Cambria" w:hAnsi="Cambria"/>
          <w:b w:val="0"/>
          <w:bCs/>
          <w:sz w:val="18"/>
          <w:szCs w:val="18"/>
        </w:rPr>
        <w:t>, Princeton, 1986.</w:t>
      </w:r>
    </w:p>
    <w:p w14:paraId="6BF28CE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Rubellin, « Entrée dans la vie, entrée dans la chrétienté, entrée dans la société : autour du baptême à l’époque carolingienne », </w:t>
      </w:r>
      <w:r w:rsidRPr="009A120F">
        <w:rPr>
          <w:rFonts w:ascii="Cambria" w:hAnsi="Cambria"/>
          <w:b w:val="0"/>
          <w:bCs/>
          <w:i/>
          <w:sz w:val="18"/>
          <w:szCs w:val="18"/>
        </w:rPr>
        <w:t>Annales de l’Est</w:t>
      </w:r>
      <w:r w:rsidRPr="009A120F">
        <w:rPr>
          <w:rFonts w:ascii="Cambria" w:hAnsi="Cambria"/>
          <w:b w:val="0"/>
          <w:bCs/>
          <w:sz w:val="18"/>
          <w:szCs w:val="18"/>
        </w:rPr>
        <w:t xml:space="preserve">, 34 (1982), p. 31-51. </w:t>
      </w:r>
    </w:p>
    <w:p w14:paraId="7ED2D75C" w14:textId="61CD49AA" w:rsidR="00F54175" w:rsidRPr="009A120F" w:rsidRDefault="00F54175" w:rsidP="009F482A">
      <w:pPr>
        <w:ind w:left="540" w:hanging="540"/>
        <w:jc w:val="both"/>
        <w:rPr>
          <w:rFonts w:ascii="Cambria" w:hAnsi="Cambria"/>
          <w:b w:val="0"/>
          <w:bCs/>
          <w:sz w:val="18"/>
          <w:szCs w:val="18"/>
          <w:lang w:val="en-GB"/>
        </w:rPr>
      </w:pPr>
      <w:r w:rsidRPr="009A120F">
        <w:rPr>
          <w:rFonts w:ascii="Cambria" w:hAnsi="Cambria"/>
          <w:b w:val="0"/>
          <w:bCs/>
          <w:sz w:val="18"/>
          <w:szCs w:val="18"/>
          <w:lang w:val="en-GB"/>
        </w:rPr>
        <w:t xml:space="preserve">B. D. Spinks, </w:t>
      </w:r>
      <w:r w:rsidRPr="009A120F">
        <w:rPr>
          <w:rFonts w:ascii="Cambria" w:hAnsi="Cambria"/>
          <w:b w:val="0"/>
          <w:bCs/>
          <w:i/>
          <w:sz w:val="18"/>
          <w:szCs w:val="18"/>
          <w:lang w:val="en-GB"/>
        </w:rPr>
        <w:t>Early and medieval rituals and theologies of baptism</w:t>
      </w:r>
      <w:r w:rsidRPr="009A120F">
        <w:rPr>
          <w:rFonts w:ascii="Cambria" w:hAnsi="Cambria"/>
          <w:b w:val="0"/>
          <w:bCs/>
          <w:sz w:val="18"/>
          <w:szCs w:val="18"/>
          <w:lang w:val="en-GB"/>
        </w:rPr>
        <w:t>, Aldershot, 2006.</w:t>
      </w:r>
    </w:p>
    <w:p w14:paraId="799CDD5A"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Famille et parenté</w:t>
      </w:r>
    </w:p>
    <w:p w14:paraId="11E4CC7F"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D. Barthélemy, « Parenté », dans </w:t>
      </w:r>
      <w:r w:rsidRPr="009A120F">
        <w:rPr>
          <w:rFonts w:ascii="Cambria" w:hAnsi="Cambria"/>
          <w:b w:val="0"/>
          <w:bCs/>
          <w:i/>
          <w:sz w:val="18"/>
          <w:szCs w:val="18"/>
        </w:rPr>
        <w:t>Histoire de la vie privée</w:t>
      </w:r>
      <w:r w:rsidRPr="009A120F">
        <w:rPr>
          <w:rFonts w:ascii="Cambria" w:hAnsi="Cambria"/>
          <w:b w:val="0"/>
          <w:bCs/>
          <w:sz w:val="18"/>
          <w:szCs w:val="18"/>
        </w:rPr>
        <w:t>, t. 2, G. Duby (dir.), Paris, 1985, p. 96-161.</w:t>
      </w:r>
    </w:p>
    <w:p w14:paraId="1185CEED"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P. Bauduin, « Observations sur les structures familiales de l’aristocratie normande au XIe siècle », dans </w:t>
      </w:r>
      <w:r w:rsidRPr="009A120F">
        <w:rPr>
          <w:rFonts w:ascii="Cambria" w:hAnsi="Cambria"/>
          <w:b w:val="0"/>
          <w:bCs/>
          <w:i/>
          <w:iCs/>
          <w:sz w:val="18"/>
          <w:szCs w:val="18"/>
        </w:rPr>
        <w:t>Liens personnels, réseaux, solidarités en France et dans les îles Britanniques (XI</w:t>
      </w:r>
      <w:r w:rsidRPr="009A120F">
        <w:rPr>
          <w:rFonts w:ascii="Cambria" w:hAnsi="Cambria"/>
          <w:b w:val="0"/>
          <w:bCs/>
          <w:i/>
          <w:sz w:val="18"/>
          <w:szCs w:val="18"/>
          <w:vertAlign w:val="superscript"/>
        </w:rPr>
        <w:t>e</w:t>
      </w:r>
      <w:r w:rsidRPr="009A120F">
        <w:rPr>
          <w:rFonts w:ascii="Cambria" w:hAnsi="Cambria"/>
          <w:b w:val="0"/>
          <w:bCs/>
          <w:i/>
          <w:iCs/>
          <w:sz w:val="18"/>
          <w:szCs w:val="18"/>
        </w:rPr>
        <w:t>-XX</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xml:space="preserve">, D. Bates, V. Gazeau, E. Anceau, F. Lachaud, F.-J. Ruggiu (dir.), Paris, 2006, p. 15-27. </w:t>
      </w:r>
    </w:p>
    <w:p w14:paraId="556002B5"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P. Bauduin, « La parentèle de Guillaume le Conquérant : l’aperçu des sources diplomatiques », dans </w:t>
      </w:r>
      <w:r w:rsidRPr="009A120F">
        <w:rPr>
          <w:rFonts w:ascii="Cambria" w:hAnsi="Cambria"/>
          <w:b w:val="0"/>
          <w:bCs/>
          <w:i/>
          <w:iCs/>
          <w:sz w:val="18"/>
          <w:szCs w:val="18"/>
        </w:rPr>
        <w:t xml:space="preserve">La Normandie et l'Angleterre au Moyen Age, </w:t>
      </w:r>
      <w:r w:rsidRPr="009A120F">
        <w:rPr>
          <w:rFonts w:ascii="Cambria" w:hAnsi="Cambria"/>
          <w:b w:val="0"/>
          <w:bCs/>
          <w:sz w:val="18"/>
          <w:szCs w:val="18"/>
        </w:rPr>
        <w:t>P. Bouet et V. Gazeau (dir.), Caen, 2003, p. 23-37.</w:t>
      </w:r>
    </w:p>
    <w:p w14:paraId="5F54C4D3"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 Duhamel-Amado, </w:t>
      </w:r>
      <w:r w:rsidRPr="009A120F">
        <w:rPr>
          <w:rFonts w:ascii="Cambria" w:hAnsi="Cambria"/>
          <w:b w:val="0"/>
          <w:bCs/>
          <w:i/>
          <w:sz w:val="18"/>
          <w:szCs w:val="18"/>
        </w:rPr>
        <w:t>Genèse des lignages méridionaux. L’aristocratie languedocienne du X</w:t>
      </w:r>
      <w:r w:rsidRPr="009A120F">
        <w:rPr>
          <w:rFonts w:ascii="Cambria" w:hAnsi="Cambria"/>
          <w:b w:val="0"/>
          <w:bCs/>
          <w:i/>
          <w:sz w:val="18"/>
          <w:szCs w:val="18"/>
          <w:vertAlign w:val="superscript"/>
        </w:rPr>
        <w:t>e</w:t>
      </w:r>
      <w:r w:rsidRPr="009A120F">
        <w:rPr>
          <w:rFonts w:ascii="Cambria" w:hAnsi="Cambria"/>
          <w:b w:val="0"/>
          <w:bCs/>
          <w:i/>
          <w:sz w:val="18"/>
          <w:szCs w:val="18"/>
        </w:rPr>
        <w:t xml:space="preserve"> au 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Toulouse, 2001.</w:t>
      </w:r>
    </w:p>
    <w:p w14:paraId="520FC225" w14:textId="77777777" w:rsidR="00F54175" w:rsidRPr="009A120F" w:rsidRDefault="00F54175" w:rsidP="00F54175">
      <w:pPr>
        <w:tabs>
          <w:tab w:val="left" w:pos="540"/>
        </w:tabs>
        <w:ind w:left="540" w:hanging="540"/>
        <w:jc w:val="both"/>
        <w:rPr>
          <w:rFonts w:ascii="Cambria" w:hAnsi="Cambria"/>
          <w:b w:val="0"/>
          <w:bCs/>
          <w:i/>
          <w:sz w:val="18"/>
          <w:szCs w:val="18"/>
          <w:lang w:val="en-US"/>
        </w:rPr>
      </w:pPr>
      <w:r w:rsidRPr="009A120F">
        <w:rPr>
          <w:rFonts w:ascii="Cambria" w:hAnsi="Cambria"/>
          <w:b w:val="0"/>
          <w:bCs/>
          <w:sz w:val="18"/>
          <w:szCs w:val="18"/>
          <w:lang w:val="en-GB"/>
        </w:rPr>
        <w:t xml:space="preserve">Th. Evergates, </w:t>
      </w:r>
      <w:r w:rsidRPr="009A120F">
        <w:rPr>
          <w:rFonts w:ascii="Cambria" w:hAnsi="Cambria"/>
          <w:b w:val="0"/>
          <w:bCs/>
          <w:i/>
          <w:sz w:val="18"/>
          <w:szCs w:val="18"/>
          <w:lang w:val="en-GB"/>
        </w:rPr>
        <w:t>The aristocracy in the county of Champagne, 1100-1300</w:t>
      </w:r>
      <w:r w:rsidRPr="009A120F">
        <w:rPr>
          <w:rFonts w:ascii="Cambria" w:hAnsi="Cambria"/>
          <w:b w:val="0"/>
          <w:bCs/>
          <w:sz w:val="18"/>
          <w:szCs w:val="18"/>
          <w:lang w:val="en-GB"/>
        </w:rPr>
        <w:t>, Philadelphie, 2008.</w:t>
      </w:r>
    </w:p>
    <w:p w14:paraId="4197EA12"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iCs/>
          <w:sz w:val="18"/>
          <w:szCs w:val="18"/>
        </w:rPr>
        <w:t>Faire famille au Moyen Âge</w:t>
      </w:r>
      <w:r w:rsidRPr="009A120F">
        <w:rPr>
          <w:rFonts w:ascii="Cambria" w:hAnsi="Cambria"/>
          <w:b w:val="0"/>
          <w:bCs/>
          <w:sz w:val="18"/>
          <w:szCs w:val="18"/>
        </w:rPr>
        <w:t>, F. Briffaz et P. Deleville (dir.), Lyon, 2022.</w:t>
      </w:r>
    </w:p>
    <w:p w14:paraId="7BFB8C34"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sz w:val="18"/>
          <w:szCs w:val="18"/>
        </w:rPr>
        <w:t>Famille et parenté dans l’Occident médiéval</w:t>
      </w:r>
      <w:r w:rsidRPr="009A120F">
        <w:rPr>
          <w:rFonts w:ascii="Cambria" w:hAnsi="Cambria"/>
          <w:b w:val="0"/>
          <w:bCs/>
          <w:sz w:val="18"/>
          <w:szCs w:val="18"/>
        </w:rPr>
        <w:t xml:space="preserve">, G. Duby et J. Le Goff (dir.), Rome, 1977. </w:t>
      </w:r>
    </w:p>
    <w:p w14:paraId="7C3E94A8"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A. Guerreau-Jalabert, « Sur les structures de parenté dans l’Europe médiévale », </w:t>
      </w:r>
      <w:r w:rsidRPr="009A120F">
        <w:rPr>
          <w:rFonts w:ascii="Cambria" w:hAnsi="Cambria"/>
          <w:b w:val="0"/>
          <w:bCs/>
          <w:i/>
          <w:sz w:val="18"/>
          <w:szCs w:val="18"/>
        </w:rPr>
        <w:t>Annales</w:t>
      </w:r>
      <w:r w:rsidRPr="009A120F">
        <w:rPr>
          <w:rFonts w:ascii="Cambria" w:hAnsi="Cambria"/>
          <w:b w:val="0"/>
          <w:bCs/>
          <w:sz w:val="18"/>
          <w:szCs w:val="18"/>
        </w:rPr>
        <w:t xml:space="preserve"> </w:t>
      </w:r>
      <w:r w:rsidRPr="009A120F">
        <w:rPr>
          <w:rFonts w:ascii="Cambria" w:hAnsi="Cambria"/>
          <w:b w:val="0"/>
          <w:bCs/>
          <w:i/>
          <w:sz w:val="18"/>
          <w:szCs w:val="18"/>
        </w:rPr>
        <w:t>ESC</w:t>
      </w:r>
      <w:r w:rsidRPr="009A120F">
        <w:rPr>
          <w:rFonts w:ascii="Cambria" w:hAnsi="Cambria"/>
          <w:b w:val="0"/>
          <w:bCs/>
          <w:sz w:val="18"/>
          <w:szCs w:val="18"/>
        </w:rPr>
        <w:t>, 1981, p. 1028-1049.</w:t>
      </w:r>
    </w:p>
    <w:p w14:paraId="07D9F549"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sz w:val="18"/>
          <w:szCs w:val="18"/>
        </w:rPr>
        <w:t>Histoire de la famille</w:t>
      </w:r>
      <w:r w:rsidRPr="009A120F">
        <w:rPr>
          <w:rFonts w:ascii="Cambria" w:hAnsi="Cambria"/>
          <w:b w:val="0"/>
          <w:bCs/>
          <w:sz w:val="18"/>
          <w:szCs w:val="18"/>
        </w:rPr>
        <w:t>, t. 1, A. Burguière, Ch. Klapisch-Zuber, M. Ségalen, F. Zonabends (dir.), Paris, 1986.</w:t>
      </w:r>
    </w:p>
    <w:p w14:paraId="4FA3958F"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Ch. Klapisch-Zuber, </w:t>
      </w:r>
      <w:r w:rsidRPr="009A120F">
        <w:rPr>
          <w:rFonts w:ascii="Cambria" w:hAnsi="Cambria"/>
          <w:b w:val="0"/>
          <w:bCs/>
          <w:i/>
          <w:sz w:val="18"/>
          <w:szCs w:val="18"/>
        </w:rPr>
        <w:t>La maison et le nom. Stratégies et rituels dans l’Italie de la Renaissance</w:t>
      </w:r>
      <w:r w:rsidRPr="009A120F">
        <w:rPr>
          <w:rFonts w:ascii="Cambria" w:hAnsi="Cambria"/>
          <w:b w:val="0"/>
          <w:bCs/>
          <w:sz w:val="18"/>
          <w:szCs w:val="18"/>
        </w:rPr>
        <w:t>, Paris, 1990.</w:t>
      </w:r>
    </w:p>
    <w:p w14:paraId="51AD76F3"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R. Le Jan, </w:t>
      </w:r>
      <w:r w:rsidRPr="009A120F">
        <w:rPr>
          <w:rFonts w:ascii="Cambria" w:hAnsi="Cambria"/>
          <w:b w:val="0"/>
          <w:bCs/>
          <w:i/>
          <w:sz w:val="18"/>
          <w:szCs w:val="18"/>
        </w:rPr>
        <w:t>Famille et pouvoir dans le monde franc (VII</w:t>
      </w:r>
      <w:r w:rsidRPr="009A120F">
        <w:rPr>
          <w:rFonts w:ascii="Cambria" w:hAnsi="Cambria"/>
          <w:b w:val="0"/>
          <w:bCs/>
          <w:i/>
          <w:sz w:val="18"/>
          <w:szCs w:val="18"/>
          <w:vertAlign w:val="superscript"/>
        </w:rPr>
        <w:t>e</w:t>
      </w:r>
      <w:r w:rsidRPr="009A120F">
        <w:rPr>
          <w:rFonts w:ascii="Cambria" w:hAnsi="Cambria"/>
          <w:b w:val="0"/>
          <w:bCs/>
          <w:i/>
          <w:sz w:val="18"/>
          <w:szCs w:val="18"/>
        </w:rPr>
        <w:t>-X</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1995.</w:t>
      </w:r>
    </w:p>
    <w:p w14:paraId="06B9269E"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R. Le Jan, « De la France du Nord à l'Empire. Réflexions sur les structures de parenté autour de l’An Mil », dans </w:t>
      </w:r>
      <w:r w:rsidRPr="009A120F">
        <w:rPr>
          <w:rFonts w:ascii="Cambria" w:hAnsi="Cambria"/>
          <w:b w:val="0"/>
          <w:bCs/>
          <w:i/>
          <w:iCs/>
          <w:sz w:val="18"/>
          <w:szCs w:val="18"/>
        </w:rPr>
        <w:t>Hommes et Sociétés dans l’Europe de l’An Mil</w:t>
      </w:r>
      <w:r w:rsidRPr="009A120F">
        <w:rPr>
          <w:rFonts w:ascii="Cambria" w:hAnsi="Cambria"/>
          <w:b w:val="0"/>
          <w:bCs/>
          <w:sz w:val="18"/>
          <w:szCs w:val="18"/>
        </w:rPr>
        <w:t>, P. Bonnassie, P. Toubert (dir.), Toulouse, 2004, p. 163-184.</w:t>
      </w:r>
    </w:p>
    <w:p w14:paraId="080B22D1"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B. Lemesle, </w:t>
      </w:r>
      <w:r w:rsidRPr="009A120F">
        <w:rPr>
          <w:rFonts w:ascii="Cambria" w:hAnsi="Cambria"/>
          <w:b w:val="0"/>
          <w:bCs/>
          <w:i/>
          <w:sz w:val="18"/>
          <w:szCs w:val="18"/>
        </w:rPr>
        <w:t>La société aristocratique dans le Haut-Maine (XIe-XIIe s.)</w:t>
      </w:r>
      <w:r w:rsidRPr="009A120F">
        <w:rPr>
          <w:rFonts w:ascii="Cambria" w:hAnsi="Cambria"/>
          <w:b w:val="0"/>
          <w:bCs/>
          <w:sz w:val="18"/>
          <w:szCs w:val="18"/>
        </w:rPr>
        <w:t>, Rennes, 1999.</w:t>
      </w:r>
    </w:p>
    <w:p w14:paraId="2E434DDF" w14:textId="77777777" w:rsidR="00F54175" w:rsidRPr="009A120F" w:rsidRDefault="00F54175" w:rsidP="00F54175">
      <w:pPr>
        <w:tabs>
          <w:tab w:val="left" w:pos="540"/>
        </w:tabs>
        <w:ind w:left="540" w:hanging="540"/>
        <w:jc w:val="both"/>
        <w:rPr>
          <w:rFonts w:ascii="Cambria" w:hAnsi="Cambria"/>
          <w:b w:val="0"/>
          <w:bCs/>
          <w:i/>
          <w:iCs/>
          <w:sz w:val="18"/>
          <w:szCs w:val="18"/>
        </w:rPr>
      </w:pPr>
      <w:r w:rsidRPr="009A120F">
        <w:rPr>
          <w:rFonts w:ascii="Cambria" w:hAnsi="Cambria"/>
          <w:b w:val="0"/>
          <w:bCs/>
          <w:sz w:val="18"/>
          <w:szCs w:val="18"/>
        </w:rPr>
        <w:t xml:space="preserve">D. Lett, « L’homme, la famille et la parenté », dans </w:t>
      </w:r>
      <w:r w:rsidRPr="009A120F">
        <w:rPr>
          <w:rFonts w:ascii="Cambria" w:hAnsi="Cambria"/>
          <w:b w:val="0"/>
          <w:bCs/>
          <w:i/>
          <w:iCs/>
          <w:sz w:val="18"/>
          <w:szCs w:val="18"/>
        </w:rPr>
        <w:t>Le Moyen Âge en lumière</w:t>
      </w:r>
      <w:r w:rsidRPr="009A120F">
        <w:rPr>
          <w:rFonts w:ascii="Cambria" w:hAnsi="Cambria"/>
          <w:b w:val="0"/>
          <w:bCs/>
          <w:sz w:val="18"/>
          <w:szCs w:val="18"/>
        </w:rPr>
        <w:t>, J. Dalarun (dir.), Paris, 2002, p. 107-135</w:t>
      </w:r>
    </w:p>
    <w:p w14:paraId="670F225A" w14:textId="77777777" w:rsidR="00F54175" w:rsidRPr="009A120F" w:rsidRDefault="00F54175" w:rsidP="00F54175">
      <w:pPr>
        <w:tabs>
          <w:tab w:val="left" w:pos="540"/>
        </w:tabs>
        <w:ind w:left="540" w:hanging="540"/>
        <w:jc w:val="both"/>
        <w:rPr>
          <w:rFonts w:ascii="Cambria" w:hAnsi="Cambria"/>
          <w:b w:val="0"/>
          <w:bCs/>
          <w:sz w:val="18"/>
          <w:szCs w:val="18"/>
          <w:lang w:val="en-US"/>
        </w:rPr>
      </w:pPr>
      <w:r w:rsidRPr="009A120F">
        <w:rPr>
          <w:rFonts w:ascii="Cambria" w:hAnsi="Cambria"/>
          <w:b w:val="0"/>
          <w:bCs/>
          <w:i/>
          <w:iCs/>
          <w:sz w:val="18"/>
          <w:szCs w:val="18"/>
        </w:rPr>
        <w:t>Liens de famille, vivre et choisir sa parenté</w:t>
      </w:r>
      <w:r w:rsidRPr="009A120F">
        <w:rPr>
          <w:rFonts w:ascii="Cambria" w:hAnsi="Cambria"/>
          <w:b w:val="0"/>
          <w:bCs/>
          <w:sz w:val="18"/>
          <w:szCs w:val="18"/>
        </w:rPr>
        <w:t xml:space="preserve">, Ch. </w:t>
      </w:r>
      <w:r w:rsidRPr="009A120F">
        <w:rPr>
          <w:rFonts w:ascii="Cambria" w:hAnsi="Cambria"/>
          <w:b w:val="0"/>
          <w:bCs/>
          <w:sz w:val="18"/>
          <w:szCs w:val="18"/>
          <w:lang w:val="en-US"/>
        </w:rPr>
        <w:t xml:space="preserve">Klapisch-Zuber (dir.), </w:t>
      </w:r>
      <w:r w:rsidRPr="009A120F">
        <w:rPr>
          <w:rFonts w:ascii="Cambria" w:hAnsi="Cambria"/>
          <w:b w:val="0"/>
          <w:bCs/>
          <w:i/>
          <w:iCs/>
          <w:sz w:val="18"/>
          <w:szCs w:val="18"/>
          <w:lang w:val="en-US"/>
        </w:rPr>
        <w:t xml:space="preserve">Médiévales, </w:t>
      </w:r>
      <w:r w:rsidRPr="009A120F">
        <w:rPr>
          <w:rFonts w:ascii="Cambria" w:hAnsi="Cambria"/>
          <w:b w:val="0"/>
          <w:bCs/>
          <w:iCs/>
          <w:sz w:val="18"/>
          <w:szCs w:val="18"/>
          <w:lang w:val="en-US"/>
        </w:rPr>
        <w:t>19</w:t>
      </w:r>
      <w:r w:rsidRPr="009A120F">
        <w:rPr>
          <w:rFonts w:ascii="Cambria" w:hAnsi="Cambria"/>
          <w:b w:val="0"/>
          <w:bCs/>
          <w:i/>
          <w:iCs/>
          <w:sz w:val="18"/>
          <w:szCs w:val="18"/>
          <w:lang w:val="en-US"/>
        </w:rPr>
        <w:t xml:space="preserve"> </w:t>
      </w:r>
      <w:r w:rsidRPr="009A120F">
        <w:rPr>
          <w:rFonts w:ascii="Cambria" w:hAnsi="Cambria"/>
          <w:b w:val="0"/>
          <w:bCs/>
          <w:iCs/>
          <w:sz w:val="18"/>
          <w:szCs w:val="18"/>
          <w:lang w:val="en-US"/>
        </w:rPr>
        <w:t>(</w:t>
      </w:r>
      <w:r w:rsidRPr="009A120F">
        <w:rPr>
          <w:rFonts w:ascii="Cambria" w:hAnsi="Cambria"/>
          <w:b w:val="0"/>
          <w:bCs/>
          <w:sz w:val="18"/>
          <w:szCs w:val="18"/>
          <w:lang w:val="en-US"/>
        </w:rPr>
        <w:t>1990).</w:t>
      </w:r>
    </w:p>
    <w:p w14:paraId="4AA5B554" w14:textId="77777777" w:rsidR="00F54175" w:rsidRPr="009A120F" w:rsidRDefault="00F54175" w:rsidP="00F54175">
      <w:pPr>
        <w:tabs>
          <w:tab w:val="left" w:pos="540"/>
        </w:tabs>
        <w:ind w:left="540" w:hanging="540"/>
        <w:jc w:val="both"/>
        <w:rPr>
          <w:rFonts w:ascii="Cambria" w:hAnsi="Cambria"/>
          <w:b w:val="0"/>
          <w:bCs/>
          <w:sz w:val="18"/>
          <w:szCs w:val="18"/>
          <w:lang w:val="en-US"/>
        </w:rPr>
      </w:pPr>
      <w:r w:rsidRPr="009A120F">
        <w:rPr>
          <w:rFonts w:ascii="Cambria" w:hAnsi="Cambria"/>
          <w:b w:val="0"/>
          <w:bCs/>
          <w:iCs/>
          <w:sz w:val="18"/>
          <w:szCs w:val="18"/>
          <w:lang w:val="en-US"/>
        </w:rPr>
        <w:t>A. Livingstone,</w:t>
      </w:r>
      <w:r w:rsidRPr="009A120F">
        <w:rPr>
          <w:rFonts w:ascii="Cambria" w:hAnsi="Cambria"/>
          <w:b w:val="0"/>
          <w:bCs/>
          <w:i/>
          <w:iCs/>
          <w:sz w:val="18"/>
          <w:szCs w:val="18"/>
          <w:lang w:val="en-US"/>
        </w:rPr>
        <w:t xml:space="preserve"> Out of love for my kin. Aristocratic family life in the Lands of the Loire, 1000-1200</w:t>
      </w:r>
      <w:r w:rsidRPr="009A120F">
        <w:rPr>
          <w:rFonts w:ascii="Cambria" w:hAnsi="Cambria"/>
          <w:b w:val="0"/>
          <w:bCs/>
          <w:iCs/>
          <w:sz w:val="18"/>
          <w:szCs w:val="18"/>
          <w:lang w:val="en-US"/>
        </w:rPr>
        <w:t>, Cornell, 2010.</w:t>
      </w:r>
    </w:p>
    <w:p w14:paraId="4B903F5D" w14:textId="33AFBDDB" w:rsidR="009F482A" w:rsidRPr="009A120F" w:rsidRDefault="00F54175" w:rsidP="009A120F">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L. Macé, </w:t>
      </w:r>
      <w:r w:rsidRPr="009A120F">
        <w:rPr>
          <w:rFonts w:ascii="Cambria" w:hAnsi="Cambria"/>
          <w:b w:val="0"/>
          <w:bCs/>
          <w:i/>
          <w:sz w:val="18"/>
          <w:szCs w:val="18"/>
        </w:rPr>
        <w:t>Les comtes de Toulouse et leur entourage, XII</w:t>
      </w:r>
      <w:r w:rsidRPr="009A120F">
        <w:rPr>
          <w:rFonts w:ascii="Cambria" w:hAnsi="Cambria"/>
          <w:b w:val="0"/>
          <w:bCs/>
          <w:i/>
          <w:sz w:val="18"/>
          <w:szCs w:val="18"/>
          <w:vertAlign w:val="superscript"/>
        </w:rPr>
        <w:t>e</w:t>
      </w:r>
      <w:r w:rsidRPr="009A120F">
        <w:rPr>
          <w:rFonts w:ascii="Cambria" w:hAnsi="Cambria"/>
          <w:b w:val="0"/>
          <w:bCs/>
          <w:i/>
          <w:sz w:val="18"/>
          <w:szCs w:val="18"/>
        </w:rPr>
        <w:t>-XIII</w:t>
      </w:r>
      <w:r w:rsidRPr="009A120F">
        <w:rPr>
          <w:rFonts w:ascii="Cambria" w:hAnsi="Cambria"/>
          <w:b w:val="0"/>
          <w:bCs/>
          <w:i/>
          <w:sz w:val="18"/>
          <w:szCs w:val="18"/>
          <w:vertAlign w:val="superscript"/>
        </w:rPr>
        <w:t>e</w:t>
      </w:r>
      <w:r w:rsidRPr="009A120F">
        <w:rPr>
          <w:rFonts w:ascii="Cambria" w:hAnsi="Cambria"/>
          <w:b w:val="0"/>
          <w:bCs/>
          <w:i/>
          <w:sz w:val="18"/>
          <w:szCs w:val="18"/>
        </w:rPr>
        <w:t xml:space="preserve"> s.</w:t>
      </w:r>
      <w:r w:rsidRPr="009A120F">
        <w:rPr>
          <w:rFonts w:ascii="Cambria" w:hAnsi="Cambria"/>
          <w:b w:val="0"/>
          <w:bCs/>
          <w:sz w:val="18"/>
          <w:szCs w:val="18"/>
        </w:rPr>
        <w:t>, Toulouse, 2000.</w:t>
      </w:r>
    </w:p>
    <w:p w14:paraId="3A12C672"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J. Morsel, </w:t>
      </w:r>
      <w:r w:rsidRPr="009A120F">
        <w:rPr>
          <w:rFonts w:ascii="Cambria" w:hAnsi="Cambria"/>
          <w:b w:val="0"/>
          <w:bCs/>
          <w:i/>
          <w:sz w:val="18"/>
          <w:szCs w:val="18"/>
        </w:rPr>
        <w:t>L’aristocratie médiévale, V</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A. Colin, 2004.</w:t>
      </w:r>
    </w:p>
    <w:p w14:paraId="7D53C340"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D. Panfili, </w:t>
      </w:r>
      <w:r w:rsidRPr="009A120F">
        <w:rPr>
          <w:rFonts w:ascii="Cambria" w:hAnsi="Cambria"/>
          <w:b w:val="0"/>
          <w:bCs/>
          <w:i/>
          <w:iCs/>
          <w:sz w:val="18"/>
          <w:szCs w:val="18"/>
        </w:rPr>
        <w:t>Aristocraties méridionales : Toulousain-Quercy, XI</w:t>
      </w:r>
      <w:r w:rsidRPr="009A120F">
        <w:rPr>
          <w:rFonts w:ascii="Cambria" w:hAnsi="Cambria"/>
          <w:b w:val="0"/>
          <w:bCs/>
          <w:i/>
          <w:iCs/>
          <w:sz w:val="18"/>
          <w:szCs w:val="18"/>
          <w:vertAlign w:val="superscript"/>
        </w:rPr>
        <w:t>e</w:t>
      </w:r>
      <w:r w:rsidRPr="009A120F">
        <w:rPr>
          <w:rFonts w:ascii="Cambria" w:hAnsi="Cambria"/>
          <w:b w:val="0"/>
          <w:bCs/>
          <w:i/>
          <w:iCs/>
          <w:sz w:val="18"/>
          <w:szCs w:val="18"/>
        </w:rPr>
        <w:t>-XII</w:t>
      </w:r>
      <w:r w:rsidRPr="009A120F">
        <w:rPr>
          <w:rFonts w:ascii="Cambria" w:hAnsi="Cambria"/>
          <w:b w:val="0"/>
          <w:bCs/>
          <w:i/>
          <w:iCs/>
          <w:sz w:val="18"/>
          <w:szCs w:val="18"/>
          <w:vertAlign w:val="superscript"/>
        </w:rPr>
        <w:t>e</w:t>
      </w:r>
      <w:r w:rsidRPr="009A120F">
        <w:rPr>
          <w:rFonts w:ascii="Cambria" w:hAnsi="Cambria"/>
          <w:b w:val="0"/>
          <w:bCs/>
          <w:i/>
          <w:iCs/>
          <w:sz w:val="18"/>
          <w:szCs w:val="18"/>
        </w:rPr>
        <w:t xml:space="preserve"> siècles</w:t>
      </w:r>
      <w:r w:rsidRPr="009A120F">
        <w:rPr>
          <w:rFonts w:ascii="Cambria" w:hAnsi="Cambria"/>
          <w:b w:val="0"/>
          <w:bCs/>
          <w:sz w:val="18"/>
          <w:szCs w:val="18"/>
        </w:rPr>
        <w:t>, Rennes, 2010.</w:t>
      </w:r>
    </w:p>
    <w:p w14:paraId="0613B9ED" w14:textId="5AF41B6F" w:rsidR="00F54175" w:rsidRPr="009A120F" w:rsidRDefault="00F54175" w:rsidP="009F482A">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 de Vasselot de Régné, </w:t>
      </w:r>
      <w:r w:rsidRPr="009A120F">
        <w:rPr>
          <w:rFonts w:ascii="Cambria" w:hAnsi="Cambria"/>
          <w:b w:val="0"/>
          <w:bCs/>
          <w:i/>
          <w:iCs/>
          <w:sz w:val="18"/>
          <w:szCs w:val="18"/>
        </w:rPr>
        <w:t>Pouvoir et solidarités d'une famille seigneuriale : le "parentat" Lusignant entre France, Îles britanniques et Orient latin, Xe-XIVe siècles</w:t>
      </w:r>
      <w:r w:rsidRPr="009A120F">
        <w:rPr>
          <w:rFonts w:ascii="Cambria" w:hAnsi="Cambria"/>
          <w:b w:val="0"/>
          <w:bCs/>
          <w:sz w:val="18"/>
          <w:szCs w:val="18"/>
        </w:rPr>
        <w:t>, Turnhout, 2024.</w:t>
      </w:r>
    </w:p>
    <w:p w14:paraId="3DD07F61"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Femmes, mariage, séparation</w:t>
      </w:r>
    </w:p>
    <w:p w14:paraId="02B3949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Aurell, </w:t>
      </w:r>
      <w:r w:rsidRPr="009A120F">
        <w:rPr>
          <w:rFonts w:ascii="Cambria" w:hAnsi="Cambria"/>
          <w:b w:val="0"/>
          <w:bCs/>
          <w:i/>
          <w:iCs/>
          <w:sz w:val="18"/>
          <w:szCs w:val="18"/>
        </w:rPr>
        <w:t>Les noces du comte. Mariage et pouvoir en Catalogne (785-1213)</w:t>
      </w:r>
      <w:r w:rsidRPr="009A120F">
        <w:rPr>
          <w:rFonts w:ascii="Cambria" w:hAnsi="Cambria"/>
          <w:b w:val="0"/>
          <w:bCs/>
          <w:sz w:val="18"/>
          <w:szCs w:val="18"/>
        </w:rPr>
        <w:t>, Paris, 1995.</w:t>
      </w:r>
    </w:p>
    <w:p w14:paraId="3E5925D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Aurell, </w:t>
      </w:r>
      <w:r w:rsidRPr="009A120F">
        <w:rPr>
          <w:rFonts w:ascii="Cambria" w:hAnsi="Cambria"/>
          <w:b w:val="0"/>
          <w:bCs/>
          <w:i/>
          <w:iCs/>
          <w:sz w:val="18"/>
          <w:szCs w:val="18"/>
        </w:rPr>
        <w:t>Aliénor d'Aquitaine : souveraine femme</w:t>
      </w:r>
      <w:r w:rsidRPr="009A120F">
        <w:rPr>
          <w:rFonts w:ascii="Cambria" w:hAnsi="Cambria"/>
          <w:b w:val="0"/>
          <w:bCs/>
          <w:sz w:val="18"/>
          <w:szCs w:val="18"/>
        </w:rPr>
        <w:t>, Paris, 2024.</w:t>
      </w:r>
    </w:p>
    <w:p w14:paraId="7D0DD55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Bauduin, « Autour de la </w:t>
      </w:r>
      <w:r w:rsidRPr="009A120F">
        <w:rPr>
          <w:rFonts w:ascii="Cambria" w:hAnsi="Cambria"/>
          <w:b w:val="0"/>
          <w:bCs/>
          <w:i/>
          <w:sz w:val="18"/>
          <w:szCs w:val="18"/>
        </w:rPr>
        <w:t>dos</w:t>
      </w:r>
      <w:r w:rsidRPr="009A120F">
        <w:rPr>
          <w:rFonts w:ascii="Cambria" w:hAnsi="Cambria"/>
          <w:b w:val="0"/>
          <w:bCs/>
          <w:sz w:val="18"/>
          <w:szCs w:val="18"/>
        </w:rPr>
        <w:t xml:space="preserve"> d'Adelize de Tosny : mariage et contrôle du territoire en Normandie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iCs/>
          <w:sz w:val="18"/>
          <w:szCs w:val="18"/>
        </w:rPr>
        <w:t>Les pouvoirs locaux dans la France du centre et de l'ouest (VIII</w:t>
      </w:r>
      <w:r w:rsidRPr="009A120F">
        <w:rPr>
          <w:rFonts w:ascii="Cambria" w:hAnsi="Cambria"/>
          <w:b w:val="0"/>
          <w:bCs/>
          <w:i/>
          <w:sz w:val="18"/>
          <w:szCs w:val="18"/>
          <w:vertAlign w:val="superscript"/>
        </w:rPr>
        <w:t>e</w:t>
      </w:r>
      <w:r w:rsidRPr="009A120F">
        <w:rPr>
          <w:rFonts w:ascii="Cambria" w:hAnsi="Cambria"/>
          <w:b w:val="0"/>
          <w:bCs/>
          <w:i/>
          <w:iCs/>
          <w:sz w:val="18"/>
          <w:szCs w:val="18"/>
        </w:rPr>
        <w:t>-XI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siècles). Implantation et moyens d’action</w:t>
      </w:r>
      <w:r w:rsidRPr="009A120F">
        <w:rPr>
          <w:rFonts w:ascii="Cambria" w:hAnsi="Cambria"/>
          <w:b w:val="0"/>
          <w:bCs/>
          <w:sz w:val="18"/>
          <w:szCs w:val="18"/>
        </w:rPr>
        <w:t>, D. Barthélemy et O. Bruand (dir.), Rennes, 2004, p. 157-173.</w:t>
      </w:r>
    </w:p>
    <w:p w14:paraId="16BF585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L. Chevailler, « Observations sur le droit de bâtardise dans la France coutumière du XII</w:t>
      </w:r>
      <w:r w:rsidRPr="009A120F">
        <w:rPr>
          <w:rFonts w:ascii="Cambria" w:hAnsi="Cambria"/>
          <w:b w:val="0"/>
          <w:bCs/>
          <w:sz w:val="18"/>
          <w:szCs w:val="18"/>
          <w:vertAlign w:val="superscript"/>
        </w:rPr>
        <w:t xml:space="preserve">e </w:t>
      </w:r>
      <w:r w:rsidRPr="009A120F">
        <w:rPr>
          <w:rFonts w:ascii="Cambria" w:hAnsi="Cambria"/>
          <w:b w:val="0"/>
          <w:bCs/>
          <w:sz w:val="18"/>
          <w:szCs w:val="18"/>
        </w:rPr>
        <w:t>au XV</w:t>
      </w:r>
      <w:r w:rsidRPr="009A120F">
        <w:rPr>
          <w:rFonts w:ascii="Cambria" w:hAnsi="Cambria"/>
          <w:b w:val="0"/>
          <w:bCs/>
          <w:sz w:val="18"/>
          <w:szCs w:val="18"/>
          <w:vertAlign w:val="superscript"/>
        </w:rPr>
        <w:t xml:space="preserve">e </w:t>
      </w:r>
      <w:r w:rsidRPr="009A120F">
        <w:rPr>
          <w:rFonts w:ascii="Cambria" w:hAnsi="Cambria"/>
          <w:b w:val="0"/>
          <w:bCs/>
          <w:sz w:val="18"/>
          <w:szCs w:val="18"/>
        </w:rPr>
        <w:t xml:space="preserve">siècle », </w:t>
      </w:r>
      <w:r w:rsidRPr="009A120F">
        <w:rPr>
          <w:rFonts w:ascii="Cambria" w:hAnsi="Cambria"/>
          <w:b w:val="0"/>
          <w:bCs/>
          <w:i/>
          <w:sz w:val="18"/>
          <w:szCs w:val="18"/>
        </w:rPr>
        <w:t>Revue historique de droit français et étranger</w:t>
      </w:r>
      <w:r w:rsidRPr="009A120F">
        <w:rPr>
          <w:rFonts w:ascii="Cambria" w:hAnsi="Cambria"/>
          <w:b w:val="0"/>
          <w:bCs/>
          <w:sz w:val="18"/>
          <w:szCs w:val="18"/>
        </w:rPr>
        <w:t>, 35 (1957), p. 376-411.</w:t>
      </w:r>
    </w:p>
    <w:p w14:paraId="45AC7EFC" w14:textId="77777777" w:rsidR="00F54175" w:rsidRPr="009A120F" w:rsidRDefault="00F54175" w:rsidP="00F54175">
      <w:pPr>
        <w:pStyle w:val="Listenumros1"/>
        <w:keepNext/>
        <w:ind w:left="540" w:hanging="540"/>
        <w:rPr>
          <w:rFonts w:ascii="Cambria" w:hAnsi="Cambria"/>
          <w:sz w:val="18"/>
          <w:szCs w:val="18"/>
        </w:rPr>
      </w:pPr>
      <w:r w:rsidRPr="009A120F">
        <w:rPr>
          <w:rFonts w:ascii="Cambria" w:hAnsi="Cambria"/>
          <w:sz w:val="18"/>
          <w:szCs w:val="18"/>
        </w:rPr>
        <w:t xml:space="preserve">P. Corbet, </w:t>
      </w:r>
      <w:r w:rsidRPr="009A120F">
        <w:rPr>
          <w:rFonts w:ascii="Cambria" w:hAnsi="Cambria"/>
          <w:i/>
          <w:sz w:val="18"/>
          <w:szCs w:val="18"/>
          <w:lang w:val="de-DE"/>
        </w:rPr>
        <w:t xml:space="preserve">Autour de Burchard de Worms. </w:t>
      </w:r>
      <w:r w:rsidRPr="009A120F">
        <w:rPr>
          <w:rFonts w:ascii="Cambria" w:hAnsi="Cambria"/>
          <w:i/>
          <w:sz w:val="18"/>
          <w:szCs w:val="18"/>
        </w:rPr>
        <w:t>L’Église allemande et les interdits de parenté (IX</w:t>
      </w:r>
      <w:r w:rsidRPr="009A120F">
        <w:rPr>
          <w:rFonts w:ascii="Cambria" w:hAnsi="Cambria"/>
          <w:i/>
          <w:sz w:val="18"/>
          <w:szCs w:val="18"/>
          <w:vertAlign w:val="superscript"/>
        </w:rPr>
        <w:t>e</w:t>
      </w:r>
      <w:r w:rsidRPr="009A120F">
        <w:rPr>
          <w:rFonts w:ascii="Cambria" w:hAnsi="Cambria"/>
          <w:i/>
          <w:sz w:val="18"/>
          <w:szCs w:val="18"/>
        </w:rPr>
        <w:t xml:space="preserve"> - XII</w:t>
      </w:r>
      <w:r w:rsidRPr="009A120F">
        <w:rPr>
          <w:rFonts w:ascii="Cambria" w:hAnsi="Cambria"/>
          <w:i/>
          <w:sz w:val="18"/>
          <w:szCs w:val="18"/>
          <w:vertAlign w:val="superscript"/>
        </w:rPr>
        <w:t>e</w:t>
      </w:r>
      <w:r w:rsidRPr="009A120F">
        <w:rPr>
          <w:rFonts w:ascii="Cambria" w:hAnsi="Cambria"/>
          <w:i/>
          <w:sz w:val="18"/>
          <w:szCs w:val="18"/>
        </w:rPr>
        <w:t xml:space="preserve"> siècle)</w:t>
      </w:r>
      <w:r w:rsidRPr="009A120F">
        <w:rPr>
          <w:rFonts w:ascii="Cambria" w:hAnsi="Cambria"/>
          <w:sz w:val="18"/>
          <w:szCs w:val="18"/>
        </w:rPr>
        <w:t>, Francfort/Main, 2001.</w:t>
      </w:r>
    </w:p>
    <w:p w14:paraId="059055A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Corbet, « Interdits de parenté, hagiographie et politique. La </w:t>
      </w:r>
      <w:r w:rsidRPr="009A120F">
        <w:rPr>
          <w:rFonts w:ascii="Cambria" w:hAnsi="Cambria"/>
          <w:b w:val="0"/>
          <w:bCs/>
          <w:i/>
          <w:sz w:val="18"/>
          <w:szCs w:val="18"/>
        </w:rPr>
        <w:t>passio Friderici episcopi Traiectensis</w:t>
      </w:r>
      <w:r w:rsidRPr="009A120F">
        <w:rPr>
          <w:rFonts w:ascii="Cambria" w:hAnsi="Cambria"/>
          <w:b w:val="0"/>
          <w:bCs/>
          <w:sz w:val="18"/>
          <w:szCs w:val="18"/>
        </w:rPr>
        <w:t xml:space="preserve"> (ca. 1024)</w:t>
      </w:r>
      <w:r w:rsidRPr="009A120F">
        <w:rPr>
          <w:rFonts w:ascii="Cambria" w:hAnsi="Cambria"/>
          <w:b w:val="0"/>
          <w:bCs/>
          <w:sz w:val="18"/>
          <w:szCs w:val="18"/>
          <w:lang w:val="de-DE"/>
        </w:rPr>
        <w:t xml:space="preserve"> »</w:t>
      </w:r>
      <w:r w:rsidRPr="009A120F">
        <w:rPr>
          <w:rFonts w:ascii="Cambria" w:hAnsi="Cambria"/>
          <w:b w:val="0"/>
          <w:bCs/>
          <w:sz w:val="18"/>
          <w:szCs w:val="18"/>
        </w:rPr>
        <w:t xml:space="preserve">, </w:t>
      </w:r>
      <w:r w:rsidRPr="009A120F">
        <w:rPr>
          <w:rFonts w:ascii="Cambria" w:hAnsi="Cambria"/>
          <w:b w:val="0"/>
          <w:bCs/>
          <w:i/>
          <w:sz w:val="18"/>
          <w:szCs w:val="18"/>
        </w:rPr>
        <w:t xml:space="preserve">Ius commune. </w:t>
      </w:r>
      <w:r w:rsidRPr="009A120F">
        <w:rPr>
          <w:rFonts w:ascii="Cambria" w:hAnsi="Cambria"/>
          <w:b w:val="0"/>
          <w:bCs/>
          <w:i/>
          <w:sz w:val="18"/>
          <w:szCs w:val="18"/>
          <w:lang w:val="de-DE"/>
        </w:rPr>
        <w:t>Zeitschrift für Europäische Rechtsgeschichte</w:t>
      </w:r>
      <w:r w:rsidRPr="009A120F">
        <w:rPr>
          <w:rFonts w:ascii="Cambria" w:hAnsi="Cambria"/>
          <w:b w:val="0"/>
          <w:bCs/>
          <w:sz w:val="18"/>
          <w:szCs w:val="18"/>
          <w:lang w:val="de-DE"/>
        </w:rPr>
        <w:t>, 23 (1996), p. 1-98.</w:t>
      </w:r>
    </w:p>
    <w:p w14:paraId="0D33964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N. Coulet, </w:t>
      </w:r>
      <w:r w:rsidRPr="009A120F">
        <w:rPr>
          <w:rFonts w:ascii="Cambria" w:hAnsi="Cambria"/>
          <w:b w:val="0"/>
          <w:bCs/>
          <w:i/>
          <w:sz w:val="18"/>
          <w:szCs w:val="18"/>
        </w:rPr>
        <w:t>Affaire d’argent et affaire de famille en Haute Provence au XIV</w:t>
      </w:r>
      <w:r w:rsidRPr="009A120F">
        <w:rPr>
          <w:rFonts w:ascii="Cambria" w:hAnsi="Cambria"/>
          <w:b w:val="0"/>
          <w:bCs/>
          <w:i/>
          <w:sz w:val="18"/>
          <w:szCs w:val="18"/>
          <w:vertAlign w:val="superscript"/>
        </w:rPr>
        <w:t xml:space="preserve">e </w:t>
      </w:r>
      <w:r w:rsidRPr="009A120F">
        <w:rPr>
          <w:rFonts w:ascii="Cambria" w:hAnsi="Cambria"/>
          <w:b w:val="0"/>
          <w:bCs/>
          <w:i/>
          <w:sz w:val="18"/>
          <w:szCs w:val="18"/>
        </w:rPr>
        <w:t>siècle. Le dossier du procès de Sybille de Cabris contre Matteo Villani et la compagnie des Buonaccorsi</w:t>
      </w:r>
      <w:r w:rsidRPr="009A120F">
        <w:rPr>
          <w:rFonts w:ascii="Cambria" w:hAnsi="Cambria"/>
          <w:b w:val="0"/>
          <w:bCs/>
          <w:sz w:val="18"/>
          <w:szCs w:val="18"/>
        </w:rPr>
        <w:t>, Rome, 1992.</w:t>
      </w:r>
    </w:p>
    <w:p w14:paraId="0F19FA9E"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Dalarun, « Regards de clercs », dans </w:t>
      </w:r>
      <w:r w:rsidRPr="009A120F">
        <w:rPr>
          <w:rFonts w:ascii="Cambria" w:hAnsi="Cambria"/>
          <w:bCs/>
          <w:i/>
          <w:sz w:val="18"/>
          <w:szCs w:val="18"/>
        </w:rPr>
        <w:t>Histoire des femmes en Occident</w:t>
      </w:r>
      <w:r w:rsidRPr="009A120F">
        <w:rPr>
          <w:rFonts w:ascii="Cambria" w:hAnsi="Cambria"/>
          <w:bCs/>
          <w:sz w:val="18"/>
          <w:szCs w:val="18"/>
        </w:rPr>
        <w:t xml:space="preserve">, t. 2, </w:t>
      </w:r>
      <w:r w:rsidRPr="009A120F">
        <w:rPr>
          <w:rFonts w:ascii="Cambria" w:hAnsi="Cambria"/>
          <w:bCs/>
          <w:i/>
          <w:sz w:val="18"/>
          <w:szCs w:val="18"/>
        </w:rPr>
        <w:t>Le Moyen Âge</w:t>
      </w:r>
      <w:r w:rsidRPr="009A120F">
        <w:rPr>
          <w:rFonts w:ascii="Cambria" w:hAnsi="Cambria"/>
          <w:bCs/>
          <w:sz w:val="18"/>
          <w:szCs w:val="18"/>
        </w:rPr>
        <w:t>, Ch. Klapisch-Zuber (dir.), Paris, 1991, p. 31-54.</w:t>
      </w:r>
    </w:p>
    <w:p w14:paraId="72B02F6D" w14:textId="77777777" w:rsidR="00F54175" w:rsidRPr="009A120F" w:rsidRDefault="00F54175" w:rsidP="00F54175">
      <w:pPr>
        <w:pStyle w:val="Listenumros1"/>
        <w:ind w:left="540" w:hanging="540"/>
        <w:rPr>
          <w:rFonts w:ascii="Cambria" w:hAnsi="Cambria"/>
          <w:bCs/>
          <w:i/>
          <w:iCs/>
          <w:sz w:val="18"/>
          <w:szCs w:val="18"/>
        </w:rPr>
      </w:pPr>
      <w:r w:rsidRPr="009A120F">
        <w:rPr>
          <w:rFonts w:ascii="Cambria" w:hAnsi="Cambria"/>
          <w:bCs/>
          <w:sz w:val="18"/>
          <w:szCs w:val="18"/>
        </w:rPr>
        <w:t xml:space="preserve">H. Débax, « Les stratégies matrimoniales des comtes de Toulouse, 850-1270 », </w:t>
      </w:r>
      <w:r w:rsidRPr="009A120F">
        <w:rPr>
          <w:rFonts w:ascii="Cambria" w:hAnsi="Cambria"/>
          <w:bCs/>
          <w:i/>
          <w:sz w:val="18"/>
          <w:szCs w:val="18"/>
        </w:rPr>
        <w:t>Annales du Midi</w:t>
      </w:r>
      <w:r w:rsidRPr="009A120F">
        <w:rPr>
          <w:rFonts w:ascii="Cambria" w:hAnsi="Cambria"/>
          <w:bCs/>
          <w:sz w:val="18"/>
          <w:szCs w:val="18"/>
        </w:rPr>
        <w:t>, 100 (1988), p. 11-49.</w:t>
      </w:r>
    </w:p>
    <w:p w14:paraId="6C1852F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 xml:space="preserve">Dots et douaires dans le haut Moyen Âge, </w:t>
      </w:r>
      <w:r w:rsidRPr="009A120F">
        <w:rPr>
          <w:rFonts w:ascii="Cambria" w:hAnsi="Cambria"/>
          <w:b w:val="0"/>
          <w:bCs/>
          <w:sz w:val="18"/>
          <w:szCs w:val="18"/>
        </w:rPr>
        <w:t>F. Bougard, L. Feller, R. Le Jan (dir.), Rome, 2002.</w:t>
      </w:r>
    </w:p>
    <w:p w14:paraId="7C34D7C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Le chevalier, la femme et le prêtre</w:t>
      </w:r>
      <w:r w:rsidRPr="009A120F">
        <w:rPr>
          <w:rFonts w:ascii="Cambria" w:hAnsi="Cambria"/>
          <w:b w:val="0"/>
          <w:bCs/>
          <w:sz w:val="18"/>
          <w:szCs w:val="18"/>
        </w:rPr>
        <w:t>, Paris, 1981.</w:t>
      </w:r>
    </w:p>
    <w:p w14:paraId="1246D0BA"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Femmes, mariages, lignages (XII</w:t>
      </w:r>
      <w:r w:rsidRPr="009A120F">
        <w:rPr>
          <w:rFonts w:ascii="Cambria" w:hAnsi="Cambria"/>
          <w:b w:val="0"/>
          <w:bCs/>
          <w:i/>
          <w:sz w:val="18"/>
          <w:szCs w:val="18"/>
          <w:vertAlign w:val="superscript"/>
        </w:rPr>
        <w:t>e</w:t>
      </w:r>
      <w:r w:rsidRPr="009A120F">
        <w:rPr>
          <w:rFonts w:ascii="Cambria" w:hAnsi="Cambria"/>
          <w:b w:val="0"/>
          <w:bCs/>
          <w:i/>
          <w:sz w:val="18"/>
          <w:szCs w:val="18"/>
        </w:rPr>
        <w:t>-XIV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 Mélanges offerts à G. Duby</w:t>
      </w:r>
      <w:r w:rsidRPr="009A120F">
        <w:rPr>
          <w:rFonts w:ascii="Cambria" w:hAnsi="Cambria"/>
          <w:b w:val="0"/>
          <w:bCs/>
          <w:sz w:val="18"/>
          <w:szCs w:val="18"/>
        </w:rPr>
        <w:t>, J. Dufournet, A. Joris, P. Toubert (dir.), Bruxelles, 1992.</w:t>
      </w:r>
    </w:p>
    <w:p w14:paraId="41C2248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Gaudemet, </w:t>
      </w:r>
      <w:r w:rsidRPr="009A120F">
        <w:rPr>
          <w:rFonts w:ascii="Cambria" w:hAnsi="Cambria"/>
          <w:b w:val="0"/>
          <w:bCs/>
          <w:i/>
          <w:sz w:val="18"/>
          <w:szCs w:val="18"/>
        </w:rPr>
        <w:t>Le mariage en Occident. Les mœurs et le droit</w:t>
      </w:r>
      <w:r w:rsidRPr="009A120F">
        <w:rPr>
          <w:rFonts w:ascii="Cambria" w:hAnsi="Cambria"/>
          <w:b w:val="0"/>
          <w:bCs/>
          <w:sz w:val="18"/>
          <w:szCs w:val="18"/>
        </w:rPr>
        <w:t xml:space="preserve">, Paris, 1987. </w:t>
      </w:r>
    </w:p>
    <w:p w14:paraId="5000D27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H. Glaesener, « Un mariage fertile en conséquences (Godefroid le Barbu et Béatrice de Toscane)</w:t>
      </w:r>
      <w:r w:rsidRPr="009A120F">
        <w:rPr>
          <w:rFonts w:ascii="Cambria" w:hAnsi="Cambria"/>
          <w:bCs/>
          <w:sz w:val="18"/>
          <w:szCs w:val="18"/>
          <w:lang w:val="de-DE"/>
        </w:rPr>
        <w:t xml:space="preserve"> »</w:t>
      </w:r>
      <w:r w:rsidRPr="009A120F">
        <w:rPr>
          <w:rFonts w:ascii="Cambria" w:hAnsi="Cambria"/>
          <w:bCs/>
          <w:sz w:val="18"/>
          <w:szCs w:val="18"/>
        </w:rPr>
        <w:t xml:space="preserve">, </w:t>
      </w:r>
      <w:r w:rsidRPr="009A120F">
        <w:rPr>
          <w:rFonts w:ascii="Cambria" w:hAnsi="Cambria"/>
          <w:bCs/>
          <w:i/>
          <w:sz w:val="18"/>
          <w:szCs w:val="18"/>
        </w:rPr>
        <w:t>Revue d’histoire ecclésiastique</w:t>
      </w:r>
      <w:r w:rsidRPr="009A120F">
        <w:rPr>
          <w:rFonts w:ascii="Cambria" w:hAnsi="Cambria"/>
          <w:bCs/>
          <w:sz w:val="18"/>
          <w:szCs w:val="18"/>
        </w:rPr>
        <w:t>, 42 (1947), p. 379-416.</w:t>
      </w:r>
    </w:p>
    <w:p w14:paraId="4A96331C"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Guerreau-Jalabert, « Prohibitions canoniques et stratégies matrimoniales dans l’aristocratie médiévale de la France du nord », dans </w:t>
      </w:r>
      <w:r w:rsidRPr="009A120F">
        <w:rPr>
          <w:rFonts w:ascii="Cambria" w:hAnsi="Cambria"/>
          <w:bCs/>
          <w:i/>
          <w:sz w:val="18"/>
          <w:szCs w:val="18"/>
        </w:rPr>
        <w:t>Épouser au plus proche. Inceste, prohibitions et stratégies matrimoniales autour de la Méditerranée</w:t>
      </w:r>
      <w:r w:rsidRPr="009A120F">
        <w:rPr>
          <w:rFonts w:ascii="Cambria" w:hAnsi="Cambria"/>
          <w:bCs/>
          <w:sz w:val="18"/>
          <w:szCs w:val="18"/>
        </w:rPr>
        <w:t>, Paris, 1994, p. 293-321.</w:t>
      </w:r>
    </w:p>
    <w:p w14:paraId="7F338EE3" w14:textId="77777777" w:rsidR="00F54175" w:rsidRPr="009A120F" w:rsidRDefault="00F54175" w:rsidP="00F54175">
      <w:pPr>
        <w:pStyle w:val="Listenumros1"/>
        <w:ind w:left="540" w:hanging="540"/>
        <w:rPr>
          <w:rFonts w:ascii="Cambria" w:hAnsi="Cambria"/>
          <w:bCs/>
          <w:i/>
          <w:sz w:val="18"/>
          <w:szCs w:val="18"/>
          <w:lang w:val="en-US"/>
        </w:rPr>
      </w:pPr>
      <w:r w:rsidRPr="009A120F">
        <w:rPr>
          <w:rFonts w:ascii="Cambria" w:hAnsi="Cambria"/>
          <w:bCs/>
          <w:sz w:val="18"/>
          <w:szCs w:val="18"/>
          <w:lang w:val="de-DE"/>
        </w:rPr>
        <w:t xml:space="preserve">D. J. Hay, </w:t>
      </w:r>
      <w:r w:rsidRPr="009A120F">
        <w:rPr>
          <w:rFonts w:ascii="Cambria" w:hAnsi="Cambria"/>
          <w:bCs/>
          <w:i/>
          <w:sz w:val="18"/>
          <w:szCs w:val="18"/>
          <w:lang w:val="de-DE"/>
        </w:rPr>
        <w:t>The military leadership of Mathilda of Canossa, 1046-1115</w:t>
      </w:r>
      <w:r w:rsidRPr="009A120F">
        <w:rPr>
          <w:rFonts w:ascii="Cambria" w:hAnsi="Cambria"/>
          <w:bCs/>
          <w:sz w:val="18"/>
          <w:szCs w:val="18"/>
          <w:lang w:val="de-DE"/>
        </w:rPr>
        <w:t>, Manchester, 2007.</w:t>
      </w:r>
    </w:p>
    <w:p w14:paraId="77FD92D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Histoire des femmes</w:t>
      </w:r>
      <w:r w:rsidRPr="009A120F">
        <w:rPr>
          <w:rFonts w:ascii="Cambria" w:hAnsi="Cambria"/>
          <w:b w:val="0"/>
          <w:bCs/>
          <w:sz w:val="18"/>
          <w:szCs w:val="18"/>
        </w:rPr>
        <w:t>, t. 2, Ch. Klapisch-Zuber (dir.), Paris, 1991.</w:t>
      </w:r>
    </w:p>
    <w:p w14:paraId="55F8715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P. L’Hermitte-Leclercq, « </w:t>
      </w:r>
      <w:r w:rsidRPr="009A120F">
        <w:rPr>
          <w:rFonts w:ascii="Cambria" w:hAnsi="Cambria"/>
          <w:b w:val="0"/>
          <w:bCs/>
          <w:i/>
          <w:sz w:val="18"/>
          <w:szCs w:val="18"/>
        </w:rPr>
        <w:t>Solus Deus heredem facit</w:t>
      </w:r>
      <w:r w:rsidRPr="009A120F">
        <w:rPr>
          <w:rFonts w:ascii="Cambria" w:hAnsi="Cambria"/>
          <w:b w:val="0"/>
          <w:bCs/>
          <w:sz w:val="18"/>
          <w:szCs w:val="18"/>
        </w:rPr>
        <w:t>. Une histoire d'accouchement simulé en Angleterre à la fin du 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w:t>
      </w:r>
      <w:r w:rsidRPr="009A120F">
        <w:rPr>
          <w:rFonts w:ascii="Cambria" w:hAnsi="Cambria"/>
          <w:b w:val="0"/>
          <w:bCs/>
          <w:i/>
          <w:iCs/>
          <w:sz w:val="18"/>
          <w:szCs w:val="18"/>
        </w:rPr>
        <w:t>Femmes. Mariages, lignages</w:t>
      </w:r>
      <w:r w:rsidRPr="009A120F">
        <w:rPr>
          <w:rFonts w:ascii="Cambria" w:hAnsi="Cambria"/>
          <w:b w:val="0"/>
          <w:bCs/>
          <w:sz w:val="18"/>
          <w:szCs w:val="18"/>
        </w:rPr>
        <w:t>, p. 257-272.</w:t>
      </w:r>
    </w:p>
    <w:p w14:paraId="3720177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F. Lachaud, </w:t>
      </w:r>
      <w:r w:rsidRPr="009A120F">
        <w:rPr>
          <w:rFonts w:ascii="Cambria" w:hAnsi="Cambria"/>
          <w:b w:val="0"/>
          <w:bCs/>
          <w:i/>
          <w:sz w:val="18"/>
          <w:szCs w:val="18"/>
        </w:rPr>
        <w:t>Le lignage en question. Femmes, alliances et filiations chez les Craon</w:t>
      </w:r>
      <w:r w:rsidRPr="009A120F">
        <w:rPr>
          <w:rFonts w:ascii="Cambria" w:hAnsi="Cambria"/>
          <w:b w:val="0"/>
          <w:bCs/>
          <w:sz w:val="18"/>
          <w:szCs w:val="18"/>
        </w:rPr>
        <w:t>, Bordeaux, 2017.</w:t>
      </w:r>
    </w:p>
    <w:p w14:paraId="65308D9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R. Le Jan, </w:t>
      </w:r>
      <w:r w:rsidRPr="009A120F">
        <w:rPr>
          <w:rFonts w:ascii="Cambria" w:hAnsi="Cambria"/>
          <w:b w:val="0"/>
          <w:bCs/>
          <w:i/>
          <w:iCs/>
          <w:sz w:val="18"/>
          <w:szCs w:val="18"/>
        </w:rPr>
        <w:t>Femmes, pouvoir et société dans le haut Moyen Âge</w:t>
      </w:r>
      <w:r w:rsidRPr="009A120F">
        <w:rPr>
          <w:rFonts w:ascii="Cambria" w:hAnsi="Cambria"/>
          <w:b w:val="0"/>
          <w:bCs/>
          <w:sz w:val="18"/>
          <w:szCs w:val="18"/>
        </w:rPr>
        <w:t>, Paris, 2001.</w:t>
      </w:r>
    </w:p>
    <w:p w14:paraId="12B59D0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D. Lett, « Les épouses dans l'aristocratie anglo-normande des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d’après </w:t>
      </w:r>
      <w:r w:rsidRPr="009A120F">
        <w:rPr>
          <w:rFonts w:ascii="Cambria" w:hAnsi="Cambria"/>
          <w:b w:val="0"/>
          <w:bCs/>
          <w:i/>
          <w:sz w:val="18"/>
          <w:szCs w:val="18"/>
        </w:rPr>
        <w:t>l’Histoire ecclésiastique</w:t>
      </w:r>
      <w:r w:rsidRPr="009A120F">
        <w:rPr>
          <w:rFonts w:ascii="Cambria" w:hAnsi="Cambria"/>
          <w:b w:val="0"/>
          <w:bCs/>
          <w:sz w:val="18"/>
          <w:szCs w:val="18"/>
        </w:rPr>
        <w:t xml:space="preserve"> d’Orderic Vital », dans </w:t>
      </w:r>
      <w:r w:rsidRPr="009A120F">
        <w:rPr>
          <w:rFonts w:ascii="Cambria" w:hAnsi="Cambria"/>
          <w:b w:val="0"/>
          <w:bCs/>
          <w:i/>
          <w:iCs/>
          <w:sz w:val="18"/>
          <w:szCs w:val="18"/>
        </w:rPr>
        <w:t>Le mariage au Moyen Âge (XI</w:t>
      </w:r>
      <w:r w:rsidRPr="009A120F">
        <w:rPr>
          <w:rFonts w:ascii="Cambria" w:hAnsi="Cambria"/>
          <w:b w:val="0"/>
          <w:bCs/>
          <w:i/>
          <w:iCs/>
          <w:sz w:val="18"/>
          <w:szCs w:val="18"/>
          <w:vertAlign w:val="superscript"/>
        </w:rPr>
        <w:t>e</w:t>
      </w:r>
      <w:r w:rsidRPr="009A120F">
        <w:rPr>
          <w:rFonts w:ascii="Cambria" w:hAnsi="Cambria"/>
          <w:b w:val="0"/>
          <w:bCs/>
          <w:i/>
          <w:iCs/>
          <w:sz w:val="18"/>
          <w:szCs w:val="18"/>
        </w:rPr>
        <w:t>-XV</w:t>
      </w:r>
      <w:r w:rsidRPr="009A120F">
        <w:rPr>
          <w:rFonts w:ascii="Cambria" w:hAnsi="Cambria"/>
          <w:b w:val="0"/>
          <w:bCs/>
          <w:i/>
          <w:iCs/>
          <w:sz w:val="18"/>
          <w:szCs w:val="18"/>
          <w:vertAlign w:val="superscript"/>
        </w:rPr>
        <w:t xml:space="preserve">e </w:t>
      </w:r>
      <w:r w:rsidRPr="009A120F">
        <w:rPr>
          <w:rFonts w:ascii="Cambria" w:hAnsi="Cambria"/>
          <w:b w:val="0"/>
          <w:bCs/>
          <w:i/>
          <w:iCs/>
          <w:sz w:val="18"/>
          <w:szCs w:val="18"/>
        </w:rPr>
        <w:t>siècle)</w:t>
      </w:r>
      <w:r w:rsidRPr="009A120F">
        <w:rPr>
          <w:rFonts w:ascii="Cambria" w:hAnsi="Cambria"/>
          <w:b w:val="0"/>
          <w:bCs/>
          <w:sz w:val="18"/>
          <w:szCs w:val="18"/>
        </w:rPr>
        <w:t>, J. Teyssot (dir.), Clermont-Ferrand, 1997, p. 15-27.</w:t>
      </w:r>
    </w:p>
    <w:p w14:paraId="5C55B29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J.-B. Molin et P. Mutembé, </w:t>
      </w:r>
      <w:r w:rsidRPr="009A120F">
        <w:rPr>
          <w:rFonts w:ascii="Cambria" w:hAnsi="Cambria"/>
          <w:b w:val="0"/>
          <w:bCs/>
          <w:i/>
          <w:sz w:val="18"/>
          <w:szCs w:val="18"/>
        </w:rPr>
        <w:t>Le rituel du mariage en France du XII</w:t>
      </w:r>
      <w:r w:rsidRPr="009A120F">
        <w:rPr>
          <w:rFonts w:ascii="Cambria" w:hAnsi="Cambria"/>
          <w:b w:val="0"/>
          <w:bCs/>
          <w:i/>
          <w:iCs/>
          <w:sz w:val="18"/>
          <w:szCs w:val="18"/>
          <w:vertAlign w:val="superscript"/>
        </w:rPr>
        <w:t>e</w:t>
      </w:r>
      <w:r w:rsidRPr="009A120F">
        <w:rPr>
          <w:rFonts w:ascii="Cambria" w:hAnsi="Cambria"/>
          <w:b w:val="0"/>
          <w:bCs/>
          <w:i/>
          <w:sz w:val="18"/>
          <w:szCs w:val="18"/>
        </w:rPr>
        <w:t xml:space="preserve"> au XVI</w:t>
      </w:r>
      <w:r w:rsidRPr="009A120F">
        <w:rPr>
          <w:rFonts w:ascii="Cambria" w:hAnsi="Cambria"/>
          <w:b w:val="0"/>
          <w:bCs/>
          <w:i/>
          <w:iCs/>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1974.</w:t>
      </w:r>
    </w:p>
    <w:p w14:paraId="5EB21D2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L. Morelle, « Mariage et diplomatique : autour de cinq chartes de douaire dans le Laonnois-Soissonnais, 1163-1181 », </w:t>
      </w:r>
      <w:r w:rsidRPr="009A120F">
        <w:rPr>
          <w:rFonts w:ascii="Cambria" w:hAnsi="Cambria"/>
          <w:b w:val="0"/>
          <w:bCs/>
          <w:i/>
          <w:sz w:val="18"/>
          <w:szCs w:val="18"/>
        </w:rPr>
        <w:t>Bibliothèque de l’Ecole des chartes</w:t>
      </w:r>
      <w:r w:rsidRPr="009A120F">
        <w:rPr>
          <w:rFonts w:ascii="Cambria" w:hAnsi="Cambria"/>
          <w:b w:val="0"/>
          <w:bCs/>
          <w:sz w:val="18"/>
          <w:szCs w:val="18"/>
        </w:rPr>
        <w:t xml:space="preserve">, 146 (1988), p. 225-284. </w:t>
      </w:r>
    </w:p>
    <w:p w14:paraId="7215657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Répudiation, divorce, séparation dans l’Occident médiéval</w:t>
      </w:r>
      <w:r w:rsidRPr="009A120F">
        <w:rPr>
          <w:rFonts w:ascii="Cambria" w:hAnsi="Cambria"/>
          <w:b w:val="0"/>
          <w:bCs/>
          <w:sz w:val="18"/>
          <w:szCs w:val="18"/>
        </w:rPr>
        <w:t>, E. Santinelli (dir.), Valenciennes, 2007.</w:t>
      </w:r>
    </w:p>
    <w:p w14:paraId="39E3641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i/>
          <w:iCs/>
          <w:sz w:val="18"/>
          <w:szCs w:val="18"/>
        </w:rPr>
        <w:t>Le sceptre &amp; la quenouille : être femme entre Moyen Âge et Renaissance</w:t>
      </w:r>
      <w:r w:rsidRPr="009A120F">
        <w:rPr>
          <w:rFonts w:ascii="Cambria" w:hAnsi="Cambria"/>
          <w:bCs/>
          <w:sz w:val="18"/>
          <w:szCs w:val="18"/>
        </w:rPr>
        <w:t>, E. Gomes (dir.), Paris, 2024.</w:t>
      </w:r>
    </w:p>
    <w:p w14:paraId="6382E386"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E. Santinelli, </w:t>
      </w:r>
      <w:r w:rsidRPr="009A120F">
        <w:rPr>
          <w:rFonts w:ascii="Cambria" w:hAnsi="Cambria"/>
          <w:bCs/>
          <w:i/>
          <w:sz w:val="18"/>
          <w:szCs w:val="18"/>
        </w:rPr>
        <w:t>Des</w:t>
      </w:r>
      <w:r w:rsidRPr="009A120F">
        <w:rPr>
          <w:rFonts w:ascii="Cambria" w:hAnsi="Cambria"/>
          <w:bCs/>
          <w:sz w:val="18"/>
          <w:szCs w:val="18"/>
        </w:rPr>
        <w:t xml:space="preserve"> </w:t>
      </w:r>
      <w:r w:rsidRPr="009A120F">
        <w:rPr>
          <w:rFonts w:ascii="Cambria" w:hAnsi="Cambria"/>
          <w:bCs/>
          <w:i/>
          <w:sz w:val="18"/>
          <w:szCs w:val="18"/>
        </w:rPr>
        <w:t>femmes éplorées ? Les veuves dans la société aristocratique du haut Moyen Âge</w:t>
      </w:r>
      <w:r w:rsidRPr="009A120F">
        <w:rPr>
          <w:rFonts w:ascii="Cambria" w:hAnsi="Cambria"/>
          <w:bCs/>
          <w:sz w:val="18"/>
          <w:szCs w:val="18"/>
        </w:rPr>
        <w:t>, Lille, 2003.</w:t>
      </w:r>
    </w:p>
    <w:p w14:paraId="2F5F757B" w14:textId="77777777" w:rsidR="00F54175" w:rsidRPr="009A120F" w:rsidRDefault="00F54175" w:rsidP="00F54175">
      <w:pPr>
        <w:ind w:left="540" w:hanging="540"/>
        <w:jc w:val="both"/>
        <w:rPr>
          <w:rFonts w:ascii="Cambria" w:hAnsi="Cambria"/>
          <w:b w:val="0"/>
          <w:bCs/>
          <w:sz w:val="18"/>
          <w:szCs w:val="18"/>
          <w:lang w:val="en-GB"/>
        </w:rPr>
      </w:pPr>
      <w:r w:rsidRPr="009A120F">
        <w:rPr>
          <w:rFonts w:ascii="Cambria" w:hAnsi="Cambria"/>
          <w:b w:val="0"/>
          <w:bCs/>
          <w:sz w:val="18"/>
          <w:szCs w:val="18"/>
          <w:lang w:val="en-GB"/>
        </w:rPr>
        <w:t xml:space="preserve">P. Stafford, </w:t>
      </w:r>
      <w:r w:rsidRPr="009A120F">
        <w:rPr>
          <w:rFonts w:ascii="Cambria" w:hAnsi="Cambria"/>
          <w:b w:val="0"/>
          <w:bCs/>
          <w:i/>
          <w:iCs/>
          <w:sz w:val="18"/>
          <w:szCs w:val="18"/>
          <w:lang w:val="en-GB"/>
        </w:rPr>
        <w:t>Queens, Concubines and Dowagers. The King Wife in the Early Middle Ages</w:t>
      </w:r>
      <w:r w:rsidRPr="009A120F">
        <w:rPr>
          <w:rFonts w:ascii="Cambria" w:hAnsi="Cambria"/>
          <w:b w:val="0"/>
          <w:bCs/>
          <w:sz w:val="18"/>
          <w:szCs w:val="18"/>
          <w:lang w:val="en-GB"/>
        </w:rPr>
        <w:t>, Athens, 1983.</w:t>
      </w:r>
    </w:p>
    <w:p w14:paraId="7C2AB57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Les stratégies matrimoniales (IXe-XIIIe siècle),</w:t>
      </w:r>
      <w:r w:rsidRPr="009A120F">
        <w:rPr>
          <w:rFonts w:ascii="Cambria" w:hAnsi="Cambria"/>
          <w:b w:val="0"/>
          <w:bCs/>
          <w:sz w:val="18"/>
          <w:szCs w:val="18"/>
        </w:rPr>
        <w:t xml:space="preserve"> M. Aurell (éd.), Turnhout, 2013.</w:t>
      </w:r>
    </w:p>
    <w:p w14:paraId="0D7F8E04"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E. Van Houts, </w:t>
      </w:r>
      <w:r w:rsidRPr="009A120F">
        <w:rPr>
          <w:rFonts w:ascii="Cambria" w:hAnsi="Cambria"/>
          <w:b w:val="0"/>
          <w:bCs/>
          <w:i/>
          <w:iCs/>
          <w:sz w:val="18"/>
          <w:szCs w:val="18"/>
          <w:lang w:val="en-US"/>
        </w:rPr>
        <w:t>Mariage in the Middle Ages</w:t>
      </w:r>
      <w:r w:rsidRPr="009A120F">
        <w:rPr>
          <w:rFonts w:ascii="Cambria" w:hAnsi="Cambria"/>
          <w:b w:val="0"/>
          <w:bCs/>
          <w:sz w:val="18"/>
          <w:szCs w:val="18"/>
          <w:lang w:val="en-US"/>
        </w:rPr>
        <w:t>, Oxford, 2019.</w:t>
      </w:r>
    </w:p>
    <w:p w14:paraId="7177DA89"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i/>
          <w:sz w:val="18"/>
          <w:szCs w:val="18"/>
        </w:rPr>
        <w:t>Veuves et veuvages dans le haut Moyen Âge</w:t>
      </w:r>
      <w:r w:rsidRPr="009A120F">
        <w:rPr>
          <w:rFonts w:ascii="Cambria" w:hAnsi="Cambria"/>
          <w:bCs/>
          <w:sz w:val="18"/>
          <w:szCs w:val="18"/>
        </w:rPr>
        <w:t>, M. Parisse (dir.), Paris, 1993.</w:t>
      </w:r>
    </w:p>
    <w:p w14:paraId="1E07A49F" w14:textId="77777777" w:rsidR="00F54175" w:rsidRPr="009A120F" w:rsidRDefault="00F54175" w:rsidP="00F54175">
      <w:pPr>
        <w:jc w:val="both"/>
        <w:rPr>
          <w:rFonts w:ascii="Cambria" w:hAnsi="Cambria"/>
          <w:b w:val="0"/>
          <w:bCs/>
          <w:sz w:val="18"/>
          <w:szCs w:val="18"/>
        </w:rPr>
      </w:pPr>
    </w:p>
    <w:p w14:paraId="26431C23"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Autour de l’amour</w:t>
      </w:r>
    </w:p>
    <w:p w14:paraId="779B434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Ch. Baladier, </w:t>
      </w:r>
      <w:r w:rsidRPr="009A120F">
        <w:rPr>
          <w:rFonts w:ascii="Cambria" w:hAnsi="Cambria"/>
          <w:b w:val="0"/>
          <w:bCs/>
          <w:i/>
          <w:sz w:val="18"/>
          <w:szCs w:val="18"/>
        </w:rPr>
        <w:t xml:space="preserve">Erôs au Moyen Âge. Amour, désir et </w:t>
      </w:r>
      <w:r w:rsidRPr="009A120F">
        <w:rPr>
          <w:rFonts w:ascii="Cambria" w:hAnsi="Cambria"/>
          <w:b w:val="0"/>
          <w:bCs/>
          <w:iCs/>
          <w:sz w:val="18"/>
          <w:szCs w:val="18"/>
        </w:rPr>
        <w:t>delectatio morosa</w:t>
      </w:r>
      <w:r w:rsidRPr="009A120F">
        <w:rPr>
          <w:rFonts w:ascii="Cambria" w:hAnsi="Cambria"/>
          <w:b w:val="0"/>
          <w:bCs/>
          <w:sz w:val="18"/>
          <w:szCs w:val="18"/>
        </w:rPr>
        <w:t>, Paris, 1999.</w:t>
      </w:r>
    </w:p>
    <w:p w14:paraId="1A70EF7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Baldwin, </w:t>
      </w:r>
      <w:r w:rsidRPr="009A120F">
        <w:rPr>
          <w:rFonts w:ascii="Cambria" w:hAnsi="Cambria"/>
          <w:b w:val="0"/>
          <w:bCs/>
          <w:i/>
          <w:sz w:val="18"/>
          <w:szCs w:val="18"/>
        </w:rPr>
        <w:t>Les langages de l’amour dans la France de Philippe Auguste</w:t>
      </w:r>
      <w:r w:rsidRPr="009A120F">
        <w:rPr>
          <w:rFonts w:ascii="Cambria" w:hAnsi="Cambria"/>
          <w:b w:val="0"/>
          <w:bCs/>
          <w:sz w:val="18"/>
          <w:szCs w:val="18"/>
        </w:rPr>
        <w:t>, Paris, 2007.</w:t>
      </w:r>
    </w:p>
    <w:p w14:paraId="799F2E4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Brunel-Lobrichon et C. Duhamel-Amado, </w:t>
      </w:r>
      <w:r w:rsidRPr="009A120F">
        <w:rPr>
          <w:rFonts w:ascii="Cambria" w:hAnsi="Cambria"/>
          <w:b w:val="0"/>
          <w:bCs/>
          <w:i/>
          <w:sz w:val="18"/>
          <w:szCs w:val="18"/>
        </w:rPr>
        <w:t>Au temps des troubadours</w:t>
      </w:r>
      <w:r w:rsidRPr="009A120F">
        <w:rPr>
          <w:rFonts w:ascii="Cambria" w:hAnsi="Cambria"/>
          <w:b w:val="0"/>
          <w:bCs/>
          <w:sz w:val="18"/>
          <w:szCs w:val="18"/>
        </w:rPr>
        <w:t>, Paris, 1997.</w:t>
      </w:r>
    </w:p>
    <w:p w14:paraId="6AC00EC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Mâle Moyen Âge</w:t>
      </w:r>
      <w:r w:rsidRPr="009A120F">
        <w:rPr>
          <w:rFonts w:ascii="Cambria" w:hAnsi="Cambria"/>
          <w:b w:val="0"/>
          <w:bCs/>
          <w:sz w:val="18"/>
          <w:szCs w:val="18"/>
        </w:rPr>
        <w:t>, Paris, 1990.</w:t>
      </w:r>
    </w:p>
    <w:p w14:paraId="6504853E"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J. Gillingham, « Love, marriage and politics in the 12th-C », </w:t>
      </w:r>
      <w:r w:rsidRPr="009A120F">
        <w:rPr>
          <w:rStyle w:val="Accentuation"/>
          <w:rFonts w:ascii="Cambria" w:hAnsi="Cambria"/>
          <w:b w:val="0"/>
          <w:bCs/>
          <w:sz w:val="18"/>
          <w:szCs w:val="18"/>
          <w:lang w:val="en-US"/>
        </w:rPr>
        <w:t>Forum for Modern Language Studies</w:t>
      </w:r>
      <w:r w:rsidRPr="009A120F">
        <w:rPr>
          <w:rFonts w:ascii="Cambria" w:hAnsi="Cambria"/>
          <w:b w:val="0"/>
          <w:bCs/>
          <w:sz w:val="18"/>
          <w:szCs w:val="18"/>
          <w:lang w:val="en-US"/>
        </w:rPr>
        <w:t>, XXV/4, 1989, p. 292-303</w:t>
      </w:r>
    </w:p>
    <w:p w14:paraId="7978934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 J. Mews, </w:t>
      </w:r>
      <w:r w:rsidRPr="009A120F">
        <w:rPr>
          <w:rFonts w:ascii="Cambria" w:hAnsi="Cambria"/>
          <w:b w:val="0"/>
          <w:bCs/>
          <w:i/>
          <w:sz w:val="18"/>
          <w:szCs w:val="18"/>
        </w:rPr>
        <w:t>La voix d’Héloïse. Un dialogue de deux amants</w:t>
      </w:r>
      <w:r w:rsidRPr="009A120F">
        <w:rPr>
          <w:rFonts w:ascii="Cambria" w:hAnsi="Cambria"/>
          <w:b w:val="0"/>
          <w:bCs/>
          <w:sz w:val="18"/>
          <w:szCs w:val="18"/>
        </w:rPr>
        <w:t>, Paris, 2005.</w:t>
      </w:r>
    </w:p>
    <w:p w14:paraId="65306657" w14:textId="78134DF3" w:rsidR="00F54175" w:rsidRPr="009A120F" w:rsidRDefault="00F54175" w:rsidP="009A120F">
      <w:pPr>
        <w:ind w:left="540" w:hanging="540"/>
        <w:jc w:val="both"/>
        <w:rPr>
          <w:rFonts w:ascii="Cambria" w:hAnsi="Cambria"/>
          <w:b w:val="0"/>
          <w:bCs/>
          <w:i/>
          <w:sz w:val="18"/>
          <w:szCs w:val="18"/>
        </w:rPr>
      </w:pPr>
      <w:r w:rsidRPr="009A120F">
        <w:rPr>
          <w:rFonts w:ascii="Cambria" w:hAnsi="Cambria"/>
          <w:b w:val="0"/>
          <w:bCs/>
          <w:sz w:val="18"/>
          <w:szCs w:val="18"/>
        </w:rPr>
        <w:t xml:space="preserve">B. Rosenwein, </w:t>
      </w:r>
      <w:r w:rsidRPr="009A120F">
        <w:rPr>
          <w:rFonts w:ascii="Cambria" w:hAnsi="Cambria"/>
          <w:b w:val="0"/>
          <w:bCs/>
          <w:i/>
          <w:iCs/>
          <w:sz w:val="18"/>
          <w:szCs w:val="18"/>
        </w:rPr>
        <w:t>Love, Histoire d’un sentiment</w:t>
      </w:r>
      <w:r w:rsidRPr="009A120F">
        <w:rPr>
          <w:rFonts w:ascii="Cambria" w:hAnsi="Cambria"/>
          <w:b w:val="0"/>
          <w:bCs/>
          <w:sz w:val="18"/>
          <w:szCs w:val="18"/>
        </w:rPr>
        <w:t>, Paris, 2023.</w:t>
      </w:r>
    </w:p>
    <w:p w14:paraId="0CD30F32"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Transmission, généalogie, mémoire</w:t>
      </w:r>
    </w:p>
    <w:p w14:paraId="17FAA0BF" w14:textId="77777777" w:rsidR="00F54175" w:rsidRPr="009A120F" w:rsidRDefault="00F54175" w:rsidP="00F54175">
      <w:pPr>
        <w:ind w:left="540" w:hanging="540"/>
        <w:jc w:val="both"/>
        <w:rPr>
          <w:rFonts w:ascii="Cambria" w:hAnsi="Cambria"/>
          <w:b w:val="0"/>
          <w:bCs/>
          <w:iCs/>
          <w:noProof/>
          <w:sz w:val="18"/>
          <w:szCs w:val="18"/>
          <w:lang w:val="en-US" w:eastAsia="en-US"/>
        </w:rPr>
      </w:pPr>
      <w:r w:rsidRPr="009A120F">
        <w:rPr>
          <w:rFonts w:ascii="Cambria" w:hAnsi="Cambria"/>
          <w:b w:val="0"/>
          <w:bCs/>
          <w:iCs/>
          <w:smallCaps/>
          <w:sz w:val="18"/>
          <w:szCs w:val="18"/>
        </w:rPr>
        <w:t xml:space="preserve">R. </w:t>
      </w:r>
      <w:r w:rsidRPr="009A120F">
        <w:rPr>
          <w:rFonts w:ascii="Cambria" w:hAnsi="Cambria"/>
          <w:b w:val="0"/>
          <w:bCs/>
          <w:sz w:val="18"/>
          <w:szCs w:val="18"/>
        </w:rPr>
        <w:t>Bartlett</w:t>
      </w:r>
      <w:r w:rsidRPr="009A120F">
        <w:rPr>
          <w:rFonts w:ascii="Cambria" w:hAnsi="Cambria"/>
          <w:b w:val="0"/>
          <w:bCs/>
          <w:i/>
          <w:noProof/>
          <w:sz w:val="18"/>
          <w:szCs w:val="18"/>
          <w:lang w:eastAsia="en-US"/>
        </w:rPr>
        <w:t xml:space="preserve">, Blood royal. </w:t>
      </w:r>
      <w:r w:rsidRPr="009A120F">
        <w:rPr>
          <w:rFonts w:ascii="Cambria" w:hAnsi="Cambria"/>
          <w:b w:val="0"/>
          <w:bCs/>
          <w:i/>
          <w:noProof/>
          <w:sz w:val="18"/>
          <w:szCs w:val="18"/>
          <w:lang w:val="en-US" w:eastAsia="en-US"/>
        </w:rPr>
        <w:t xml:space="preserve">Dynastic politics in medieval Europe, </w:t>
      </w:r>
      <w:r w:rsidRPr="009A120F">
        <w:rPr>
          <w:rFonts w:ascii="Cambria" w:hAnsi="Cambria"/>
          <w:b w:val="0"/>
          <w:bCs/>
          <w:iCs/>
          <w:noProof/>
          <w:sz w:val="18"/>
          <w:szCs w:val="18"/>
          <w:lang w:val="en-US" w:eastAsia="en-US"/>
        </w:rPr>
        <w:t xml:space="preserve">Cambridge, 2020. </w:t>
      </w:r>
    </w:p>
    <w:p w14:paraId="04F57FF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Bur, « L’image de la parenté chez les comtes de Champagne », </w:t>
      </w:r>
      <w:r w:rsidRPr="009A120F">
        <w:rPr>
          <w:rFonts w:ascii="Cambria" w:hAnsi="Cambria"/>
          <w:b w:val="0"/>
          <w:bCs/>
          <w:i/>
          <w:sz w:val="18"/>
          <w:szCs w:val="18"/>
        </w:rPr>
        <w:t>Annales ESC</w:t>
      </w:r>
      <w:r w:rsidRPr="009A120F">
        <w:rPr>
          <w:rFonts w:ascii="Cambria" w:hAnsi="Cambria"/>
          <w:b w:val="0"/>
          <w:bCs/>
          <w:sz w:val="18"/>
          <w:szCs w:val="18"/>
        </w:rPr>
        <w:t>, 1983, p. 1016-1039.</w:t>
      </w:r>
    </w:p>
    <w:p w14:paraId="593B6353"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P. Corbet, « L’autel portatif de la comtesse Gertrude de Brunswick (vers 1040). Tradition royale de Bourgogne et conscience aristocratique dans l’Empire des Saliens</w:t>
      </w:r>
      <w:r w:rsidRPr="009A120F">
        <w:rPr>
          <w:rFonts w:ascii="Cambria" w:hAnsi="Cambria"/>
          <w:bCs/>
          <w:sz w:val="18"/>
          <w:szCs w:val="18"/>
          <w:lang w:val="de-DE"/>
        </w:rPr>
        <w:t xml:space="preserve"> »</w:t>
      </w:r>
      <w:r w:rsidRPr="009A120F">
        <w:rPr>
          <w:rFonts w:ascii="Cambria" w:hAnsi="Cambria"/>
          <w:bCs/>
          <w:sz w:val="18"/>
          <w:szCs w:val="18"/>
        </w:rPr>
        <w:t xml:space="preserve">, </w:t>
      </w:r>
      <w:r w:rsidRPr="009A120F">
        <w:rPr>
          <w:rFonts w:ascii="Cambria" w:hAnsi="Cambria"/>
          <w:bCs/>
          <w:i/>
          <w:sz w:val="18"/>
          <w:szCs w:val="18"/>
        </w:rPr>
        <w:t>Cahiers de Civilisation Médiévale</w:t>
      </w:r>
      <w:r w:rsidRPr="009A120F">
        <w:rPr>
          <w:rFonts w:ascii="Cambria" w:hAnsi="Cambria"/>
          <w:bCs/>
          <w:sz w:val="18"/>
          <w:szCs w:val="18"/>
        </w:rPr>
        <w:t>, 34 (1991), p. 97-120.</w:t>
      </w:r>
    </w:p>
    <w:p w14:paraId="565E484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G. Declercq, « Entre mémoire dynastique et représentation politique. Les sépultures des comtes et comtesses de Flandre (879-1128) », dans </w:t>
      </w:r>
      <w:r w:rsidRPr="009A120F">
        <w:rPr>
          <w:rFonts w:ascii="Cambria" w:hAnsi="Cambria"/>
          <w:bCs/>
          <w:i/>
          <w:sz w:val="18"/>
          <w:szCs w:val="18"/>
        </w:rPr>
        <w:t>Sépulture, mort et représentation du pouvoir au Moyen Âge</w:t>
      </w:r>
      <w:r w:rsidRPr="009A120F">
        <w:rPr>
          <w:rFonts w:ascii="Cambria" w:hAnsi="Cambria"/>
          <w:bCs/>
          <w:sz w:val="18"/>
          <w:szCs w:val="18"/>
        </w:rPr>
        <w:t>, M. Margue (dir.), Luxembourg, 2006, p. 321-372.</w:t>
      </w:r>
    </w:p>
    <w:p w14:paraId="7A06F56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 Dierkens et M. Margue, « </w:t>
      </w:r>
      <w:r w:rsidRPr="009A120F">
        <w:rPr>
          <w:rFonts w:ascii="Cambria" w:hAnsi="Cambria"/>
          <w:b w:val="0"/>
          <w:bCs/>
          <w:i/>
          <w:sz w:val="18"/>
          <w:szCs w:val="18"/>
        </w:rPr>
        <w:t>Memoria</w:t>
      </w:r>
      <w:r w:rsidRPr="009A120F">
        <w:rPr>
          <w:rFonts w:ascii="Cambria" w:hAnsi="Cambria"/>
          <w:b w:val="0"/>
          <w:bCs/>
          <w:sz w:val="18"/>
          <w:szCs w:val="18"/>
        </w:rPr>
        <w:t xml:space="preserve"> ou </w:t>
      </w:r>
      <w:r w:rsidRPr="009A120F">
        <w:rPr>
          <w:rFonts w:ascii="Cambria" w:hAnsi="Cambria"/>
          <w:b w:val="0"/>
          <w:bCs/>
          <w:i/>
          <w:sz w:val="18"/>
          <w:szCs w:val="18"/>
        </w:rPr>
        <w:t>damnatio memoriae</w:t>
      </w:r>
      <w:r w:rsidRPr="009A120F">
        <w:rPr>
          <w:rFonts w:ascii="Cambria" w:hAnsi="Cambria"/>
          <w:b w:val="0"/>
          <w:bCs/>
          <w:sz w:val="18"/>
          <w:szCs w:val="18"/>
        </w:rPr>
        <w:t xml:space="preserve"> ? L’image de Gislebert, duc de Lotharingie », dans </w:t>
      </w:r>
      <w:r w:rsidRPr="009A120F">
        <w:rPr>
          <w:rFonts w:ascii="Cambria" w:hAnsi="Cambria"/>
          <w:b w:val="0"/>
          <w:bCs/>
          <w:i/>
          <w:sz w:val="18"/>
          <w:szCs w:val="18"/>
        </w:rPr>
        <w:t>Retour aux sources : textes, études et documents d’histoire médiévale offerts à Michel Parisse</w:t>
      </w:r>
      <w:r w:rsidRPr="009A120F">
        <w:rPr>
          <w:rFonts w:ascii="Cambria" w:hAnsi="Cambria"/>
          <w:b w:val="0"/>
          <w:bCs/>
          <w:sz w:val="18"/>
          <w:szCs w:val="18"/>
        </w:rPr>
        <w:t xml:space="preserve">, Paris, 2003, p. 969-890. </w:t>
      </w:r>
    </w:p>
    <w:p w14:paraId="780139B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w:t>
      </w:r>
      <w:r w:rsidRPr="009A120F">
        <w:rPr>
          <w:rFonts w:ascii="Cambria" w:hAnsi="Cambria"/>
          <w:bCs/>
          <w:sz w:val="18"/>
          <w:szCs w:val="18"/>
          <w:lang w:val="fr-029"/>
        </w:rPr>
        <w:t>Ehlers</w:t>
      </w:r>
      <w:r w:rsidRPr="009A120F">
        <w:rPr>
          <w:rFonts w:ascii="Cambria" w:hAnsi="Cambria"/>
          <w:bCs/>
          <w:sz w:val="18"/>
          <w:szCs w:val="18"/>
        </w:rPr>
        <w:t xml:space="preserve">, « Carolingiens, Robertiens, Ottoniens : politique familiale ou relations franco-allemandes », dans </w:t>
      </w:r>
      <w:r w:rsidRPr="009A120F">
        <w:rPr>
          <w:rFonts w:ascii="Cambria" w:hAnsi="Cambria"/>
          <w:bCs/>
          <w:i/>
          <w:sz w:val="18"/>
          <w:szCs w:val="18"/>
        </w:rPr>
        <w:t>Le roi de France et son royaume autour de l’an mil</w:t>
      </w:r>
      <w:r w:rsidRPr="009A120F">
        <w:rPr>
          <w:rFonts w:ascii="Cambria" w:hAnsi="Cambria"/>
          <w:bCs/>
          <w:sz w:val="18"/>
          <w:szCs w:val="18"/>
        </w:rPr>
        <w:t>, M. Parisse et X. Barral I Altet (dir.), Paris, 1992, p. 39-45.</w:t>
      </w:r>
    </w:p>
    <w:p w14:paraId="620F546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G. Duby, « Remarques sur la littérature généalogique en France aux XI</w:t>
      </w:r>
      <w:r w:rsidRPr="009A120F">
        <w:rPr>
          <w:rFonts w:ascii="Cambria" w:hAnsi="Cambria"/>
          <w:bCs/>
          <w:sz w:val="18"/>
          <w:szCs w:val="18"/>
          <w:vertAlign w:val="superscript"/>
        </w:rPr>
        <w:t xml:space="preserve">e </w:t>
      </w:r>
      <w:r w:rsidRPr="009A120F">
        <w:rPr>
          <w:rFonts w:ascii="Cambria" w:hAnsi="Cambria"/>
          <w:bCs/>
          <w:sz w:val="18"/>
          <w:szCs w:val="18"/>
        </w:rPr>
        <w:t>et XII</w:t>
      </w:r>
      <w:r w:rsidRPr="009A120F">
        <w:rPr>
          <w:rFonts w:ascii="Cambria" w:hAnsi="Cambria"/>
          <w:bCs/>
          <w:sz w:val="18"/>
          <w:szCs w:val="18"/>
          <w:vertAlign w:val="superscript"/>
        </w:rPr>
        <w:t xml:space="preserve">e </w:t>
      </w:r>
      <w:r w:rsidRPr="009A120F">
        <w:rPr>
          <w:rFonts w:ascii="Cambria" w:hAnsi="Cambria"/>
          <w:bCs/>
          <w:sz w:val="18"/>
          <w:szCs w:val="18"/>
        </w:rPr>
        <w:t xml:space="preserve">siècles », </w:t>
      </w:r>
      <w:r w:rsidRPr="009A120F">
        <w:rPr>
          <w:rFonts w:ascii="Cambria" w:hAnsi="Cambria"/>
          <w:bCs/>
          <w:i/>
          <w:sz w:val="18"/>
          <w:szCs w:val="18"/>
        </w:rPr>
        <w:t>Comptes rendus de l’Académie des Inscriptions et Belles Lettres</w:t>
      </w:r>
      <w:r w:rsidRPr="009A120F">
        <w:rPr>
          <w:rFonts w:ascii="Cambria" w:hAnsi="Cambria"/>
          <w:bCs/>
          <w:sz w:val="18"/>
          <w:szCs w:val="18"/>
        </w:rPr>
        <w:t>, Paris, 1967, p. 335-345.</w:t>
      </w:r>
    </w:p>
    <w:p w14:paraId="0124EAAE"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P. Geary, </w:t>
      </w:r>
      <w:r w:rsidRPr="009A120F">
        <w:rPr>
          <w:rFonts w:ascii="Cambria" w:hAnsi="Cambria"/>
          <w:b w:val="0"/>
          <w:bCs/>
          <w:i/>
          <w:sz w:val="18"/>
          <w:szCs w:val="18"/>
        </w:rPr>
        <w:t>La mémoire et l’oubli à la fin du premier millénaire</w:t>
      </w:r>
      <w:r w:rsidRPr="009A120F">
        <w:rPr>
          <w:rFonts w:ascii="Cambria" w:hAnsi="Cambria"/>
          <w:b w:val="0"/>
          <w:bCs/>
          <w:sz w:val="18"/>
          <w:szCs w:val="18"/>
        </w:rPr>
        <w:t>, Paris, 1996 (1</w:t>
      </w:r>
      <w:r w:rsidRPr="009A120F">
        <w:rPr>
          <w:rFonts w:ascii="Cambria" w:hAnsi="Cambria"/>
          <w:b w:val="0"/>
          <w:bCs/>
          <w:iCs/>
          <w:sz w:val="18"/>
          <w:szCs w:val="18"/>
          <w:vertAlign w:val="superscript"/>
        </w:rPr>
        <w:t>ère</w:t>
      </w:r>
      <w:r w:rsidRPr="009A120F">
        <w:rPr>
          <w:rFonts w:ascii="Cambria" w:hAnsi="Cambria"/>
          <w:b w:val="0"/>
          <w:bCs/>
          <w:sz w:val="18"/>
          <w:szCs w:val="18"/>
        </w:rPr>
        <w:t xml:space="preserve"> éd. étatsunienne, 1994).</w:t>
      </w:r>
    </w:p>
    <w:p w14:paraId="004BB5BC" w14:textId="77777777" w:rsidR="00F54175" w:rsidRPr="009A120F" w:rsidRDefault="00F54175" w:rsidP="00F54175">
      <w:pPr>
        <w:pStyle w:val="Listenumros1"/>
        <w:keepNext/>
        <w:ind w:left="540" w:hanging="540"/>
        <w:rPr>
          <w:rFonts w:ascii="Cambria" w:hAnsi="Cambria"/>
          <w:bCs/>
          <w:sz w:val="18"/>
          <w:szCs w:val="18"/>
        </w:rPr>
      </w:pPr>
      <w:r w:rsidRPr="009A120F">
        <w:rPr>
          <w:rFonts w:ascii="Cambria" w:hAnsi="Cambria"/>
          <w:bCs/>
          <w:i/>
          <w:sz w:val="18"/>
          <w:szCs w:val="18"/>
        </w:rPr>
        <w:t>Genèse médiévale de l’anthroponymie moderne</w:t>
      </w:r>
      <w:r w:rsidRPr="009A120F">
        <w:rPr>
          <w:rFonts w:ascii="Cambria" w:hAnsi="Cambria"/>
          <w:bCs/>
          <w:sz w:val="18"/>
          <w:szCs w:val="18"/>
        </w:rPr>
        <w:t>, M. Bourin (dir.), t. I, II (2 vol.) et III, Tours, 1988, 1992 et 1995.</w:t>
      </w:r>
    </w:p>
    <w:p w14:paraId="73879A5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B. Guenée, « Les généalogies entre l’histoire et la politique. La fierté d’être capétien en France au Moyen Âge », </w:t>
      </w:r>
      <w:r w:rsidRPr="009A120F">
        <w:rPr>
          <w:rFonts w:ascii="Cambria" w:hAnsi="Cambria"/>
          <w:b w:val="0"/>
          <w:bCs/>
          <w:i/>
          <w:sz w:val="18"/>
          <w:szCs w:val="18"/>
        </w:rPr>
        <w:t>Annales ESC</w:t>
      </w:r>
      <w:r w:rsidRPr="009A120F">
        <w:rPr>
          <w:rFonts w:ascii="Cambria" w:hAnsi="Cambria"/>
          <w:b w:val="0"/>
          <w:bCs/>
          <w:sz w:val="18"/>
          <w:szCs w:val="18"/>
        </w:rPr>
        <w:t xml:space="preserve">, 1978, p. 450-477. </w:t>
      </w:r>
    </w:p>
    <w:p w14:paraId="3438743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Guerreau-Jalabert, « L’arbre de Jessé et l’ordre de la parenté », dans </w:t>
      </w:r>
      <w:r w:rsidRPr="009A120F">
        <w:rPr>
          <w:rFonts w:ascii="Cambria" w:hAnsi="Cambria"/>
          <w:b w:val="0"/>
          <w:bCs/>
          <w:i/>
          <w:sz w:val="18"/>
          <w:szCs w:val="18"/>
        </w:rPr>
        <w:t>Marie. Le culte de la vierge dans la société médiévale</w:t>
      </w:r>
      <w:r w:rsidRPr="009A120F">
        <w:rPr>
          <w:rFonts w:ascii="Cambria" w:hAnsi="Cambria"/>
          <w:b w:val="0"/>
          <w:bCs/>
          <w:sz w:val="18"/>
          <w:szCs w:val="18"/>
        </w:rPr>
        <w:t>, D. Iogna-Prat, E. Palazzo, D. Russo (dir.), Paris, 1996, p. 137-170.</w:t>
      </w:r>
    </w:p>
    <w:p w14:paraId="74CF8B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Ch. Klapish-Zuber, </w:t>
      </w:r>
      <w:r w:rsidRPr="009A120F">
        <w:rPr>
          <w:rFonts w:ascii="Cambria" w:hAnsi="Cambria"/>
          <w:b w:val="0"/>
          <w:bCs/>
          <w:i/>
          <w:sz w:val="18"/>
          <w:szCs w:val="18"/>
        </w:rPr>
        <w:t>L’ombre des ancêtres. Essai sur l’imaginaire médiéval de la parenté</w:t>
      </w:r>
      <w:r w:rsidRPr="009A120F">
        <w:rPr>
          <w:rFonts w:ascii="Cambria" w:hAnsi="Cambria"/>
          <w:b w:val="0"/>
          <w:bCs/>
          <w:sz w:val="18"/>
          <w:szCs w:val="18"/>
        </w:rPr>
        <w:t>, Paris, Fayard, 2000.</w:t>
      </w:r>
    </w:p>
    <w:p w14:paraId="5934AE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M. Lauwers, « La sépulture des patriarches (</w:t>
      </w:r>
      <w:r w:rsidRPr="009A120F">
        <w:rPr>
          <w:rFonts w:ascii="Cambria" w:hAnsi="Cambria"/>
          <w:b w:val="0"/>
          <w:bCs/>
          <w:i/>
          <w:sz w:val="18"/>
          <w:szCs w:val="18"/>
        </w:rPr>
        <w:t>Genèse</w:t>
      </w:r>
      <w:r w:rsidRPr="009A120F">
        <w:rPr>
          <w:rFonts w:ascii="Cambria" w:hAnsi="Cambria"/>
          <w:b w:val="0"/>
          <w:bCs/>
          <w:sz w:val="18"/>
          <w:szCs w:val="18"/>
        </w:rPr>
        <w:t xml:space="preserve"> 23). Modèles scripturaires et pratiques sociales dans l’Occident médiéval ou du bon usage d’un récit de fondation », </w:t>
      </w:r>
      <w:r w:rsidRPr="009A120F">
        <w:rPr>
          <w:rFonts w:ascii="Cambria" w:hAnsi="Cambria"/>
          <w:b w:val="0"/>
          <w:bCs/>
          <w:i/>
          <w:sz w:val="18"/>
          <w:szCs w:val="18"/>
        </w:rPr>
        <w:t>Studi medievali</w:t>
      </w:r>
      <w:r w:rsidRPr="009A120F">
        <w:rPr>
          <w:rFonts w:ascii="Cambria" w:hAnsi="Cambria"/>
          <w:b w:val="0"/>
          <w:bCs/>
          <w:sz w:val="18"/>
          <w:szCs w:val="18"/>
        </w:rPr>
        <w:t>, 37 (1996), p. 519-547.</w:t>
      </w:r>
    </w:p>
    <w:p w14:paraId="5524522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M. Lauwers,</w:t>
      </w:r>
      <w:r w:rsidRPr="009A120F">
        <w:rPr>
          <w:rFonts w:ascii="Cambria" w:hAnsi="Cambria"/>
          <w:bCs/>
          <w:i/>
          <w:iCs/>
          <w:sz w:val="18"/>
          <w:szCs w:val="18"/>
        </w:rPr>
        <w:t xml:space="preserve"> La mémoire des ancêtres, le souci des morts. Morts, rites et société au Moyen Âge</w:t>
      </w:r>
      <w:r w:rsidRPr="009A120F">
        <w:rPr>
          <w:rFonts w:ascii="Cambria" w:hAnsi="Cambria"/>
          <w:bCs/>
          <w:sz w:val="18"/>
          <w:szCs w:val="18"/>
        </w:rPr>
        <w:t xml:space="preserve"> </w:t>
      </w:r>
      <w:r w:rsidRPr="009A120F">
        <w:rPr>
          <w:rFonts w:ascii="Cambria" w:hAnsi="Cambria"/>
          <w:bCs/>
          <w:i/>
          <w:iCs/>
          <w:sz w:val="18"/>
          <w:szCs w:val="18"/>
        </w:rPr>
        <w:t>(Diocèse de Liège, XI</w:t>
      </w:r>
      <w:r w:rsidRPr="009A120F">
        <w:rPr>
          <w:rFonts w:ascii="Cambria" w:hAnsi="Cambria"/>
          <w:bCs/>
          <w:i/>
          <w:iCs/>
          <w:sz w:val="18"/>
          <w:szCs w:val="18"/>
          <w:vertAlign w:val="superscript"/>
        </w:rPr>
        <w:t>e</w:t>
      </w:r>
      <w:r w:rsidRPr="009A120F">
        <w:rPr>
          <w:rFonts w:ascii="Cambria" w:hAnsi="Cambria"/>
          <w:bCs/>
          <w:i/>
          <w:iCs/>
          <w:sz w:val="18"/>
          <w:szCs w:val="18"/>
        </w:rPr>
        <w:t>-XIII</w:t>
      </w:r>
      <w:r w:rsidRPr="009A120F">
        <w:rPr>
          <w:rFonts w:ascii="Cambria" w:hAnsi="Cambria"/>
          <w:bCs/>
          <w:i/>
          <w:iCs/>
          <w:sz w:val="18"/>
          <w:szCs w:val="18"/>
          <w:vertAlign w:val="superscript"/>
        </w:rPr>
        <w:t>e</w:t>
      </w:r>
      <w:r w:rsidRPr="009A120F">
        <w:rPr>
          <w:rFonts w:ascii="Cambria" w:hAnsi="Cambria"/>
          <w:bCs/>
          <w:i/>
          <w:iCs/>
          <w:sz w:val="18"/>
          <w:szCs w:val="18"/>
        </w:rPr>
        <w:t xml:space="preserve"> siècles)</w:t>
      </w:r>
      <w:r w:rsidRPr="009A120F">
        <w:rPr>
          <w:rFonts w:ascii="Cambria" w:hAnsi="Cambria"/>
          <w:bCs/>
          <w:sz w:val="18"/>
          <w:szCs w:val="18"/>
        </w:rPr>
        <w:t>, Paris, 1997.</w:t>
      </w:r>
    </w:p>
    <w:p w14:paraId="6D6FCEFF"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W. </w:t>
      </w:r>
      <w:r w:rsidRPr="009A120F">
        <w:rPr>
          <w:rFonts w:ascii="Cambria" w:hAnsi="Cambria"/>
          <w:bCs/>
          <w:sz w:val="18"/>
          <w:szCs w:val="18"/>
          <w:lang w:val="fr-029"/>
        </w:rPr>
        <w:t>Lewis</w:t>
      </w:r>
      <w:r w:rsidRPr="009A120F">
        <w:rPr>
          <w:rFonts w:ascii="Cambria" w:hAnsi="Cambria"/>
          <w:bCs/>
          <w:sz w:val="18"/>
          <w:szCs w:val="18"/>
        </w:rPr>
        <w:t xml:space="preserve">, </w:t>
      </w:r>
      <w:r w:rsidRPr="009A120F">
        <w:rPr>
          <w:rFonts w:ascii="Cambria" w:hAnsi="Cambria"/>
          <w:bCs/>
          <w:i/>
          <w:sz w:val="18"/>
          <w:szCs w:val="18"/>
        </w:rPr>
        <w:t>Le sang royal. La famille capétienne et l’État, France, X</w:t>
      </w:r>
      <w:r w:rsidRPr="009A120F">
        <w:rPr>
          <w:rFonts w:ascii="Cambria" w:hAnsi="Cambria"/>
          <w:bCs/>
          <w:i/>
          <w:sz w:val="18"/>
          <w:szCs w:val="18"/>
          <w:vertAlign w:val="superscript"/>
        </w:rPr>
        <w:t>e</w:t>
      </w:r>
      <w:r w:rsidRPr="009A120F">
        <w:rPr>
          <w:rFonts w:ascii="Cambria" w:hAnsi="Cambria"/>
          <w:bCs/>
          <w:i/>
          <w:sz w:val="18"/>
          <w:szCs w:val="18"/>
        </w:rPr>
        <w:t>-XIV</w:t>
      </w:r>
      <w:r w:rsidRPr="009A120F">
        <w:rPr>
          <w:rFonts w:ascii="Cambria" w:hAnsi="Cambria"/>
          <w:bCs/>
          <w:i/>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Paris, Gallimard, 1981.</w:t>
      </w:r>
    </w:p>
    <w:p w14:paraId="7564F50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W. Lewis, « Successions ottoniennes et robertiennes », dans </w:t>
      </w:r>
      <w:r w:rsidRPr="009A120F">
        <w:rPr>
          <w:rFonts w:ascii="Cambria" w:hAnsi="Cambria"/>
          <w:bCs/>
          <w:i/>
          <w:sz w:val="18"/>
          <w:szCs w:val="18"/>
        </w:rPr>
        <w:t>Le roi de France et son royaume autour de l’an mil</w:t>
      </w:r>
      <w:r w:rsidRPr="009A120F">
        <w:rPr>
          <w:rFonts w:ascii="Cambria" w:hAnsi="Cambria"/>
          <w:bCs/>
          <w:sz w:val="18"/>
          <w:szCs w:val="18"/>
        </w:rPr>
        <w:t xml:space="preserve">, M. </w:t>
      </w:r>
      <w:r w:rsidRPr="009A120F">
        <w:rPr>
          <w:rFonts w:ascii="Cambria" w:hAnsi="Cambria"/>
          <w:bCs/>
          <w:sz w:val="18"/>
          <w:szCs w:val="18"/>
          <w:lang w:val="fr-029"/>
        </w:rPr>
        <w:t>Parisse</w:t>
      </w:r>
      <w:r w:rsidRPr="009A120F">
        <w:rPr>
          <w:rFonts w:ascii="Cambria" w:hAnsi="Cambria"/>
          <w:bCs/>
          <w:sz w:val="18"/>
          <w:szCs w:val="18"/>
        </w:rPr>
        <w:t xml:space="preserve"> et X. </w:t>
      </w:r>
      <w:r w:rsidRPr="009A120F">
        <w:rPr>
          <w:rFonts w:ascii="Cambria" w:hAnsi="Cambria"/>
          <w:bCs/>
          <w:sz w:val="18"/>
          <w:szCs w:val="18"/>
          <w:lang w:val="fr-029"/>
        </w:rPr>
        <w:t>Barral I Altet</w:t>
      </w:r>
      <w:r w:rsidRPr="009A120F">
        <w:rPr>
          <w:rFonts w:ascii="Cambria" w:hAnsi="Cambria"/>
          <w:bCs/>
          <w:sz w:val="18"/>
          <w:szCs w:val="18"/>
        </w:rPr>
        <w:t xml:space="preserve"> (dir.), Paris, 1992, p. 47-53.</w:t>
      </w:r>
    </w:p>
    <w:p w14:paraId="3D184EFA" w14:textId="77777777" w:rsidR="00F54175" w:rsidRPr="009A120F" w:rsidRDefault="00F54175" w:rsidP="00F54175">
      <w:pPr>
        <w:pStyle w:val="Listenumros1"/>
        <w:ind w:left="540" w:hanging="540"/>
        <w:rPr>
          <w:rFonts w:ascii="Cambria" w:hAnsi="Cambria"/>
          <w:bCs/>
          <w:iCs/>
          <w:sz w:val="18"/>
          <w:szCs w:val="18"/>
          <w:lang w:val="en-GB"/>
        </w:rPr>
      </w:pPr>
      <w:r w:rsidRPr="009A120F">
        <w:rPr>
          <w:rFonts w:ascii="Cambria" w:hAnsi="Cambria"/>
          <w:bCs/>
          <w:sz w:val="18"/>
          <w:szCs w:val="18"/>
          <w:lang w:val="en-US"/>
        </w:rPr>
        <w:t>S. McDougall,</w:t>
      </w:r>
      <w:r w:rsidRPr="009A120F">
        <w:rPr>
          <w:rFonts w:ascii="Cambria" w:hAnsi="Cambria"/>
          <w:bCs/>
          <w:i/>
          <w:iCs/>
          <w:sz w:val="18"/>
          <w:szCs w:val="18"/>
          <w:lang w:val="en-GB"/>
        </w:rPr>
        <w:t xml:space="preserve"> Royal bastards. The birth of illegitimacy, 800-1230, </w:t>
      </w:r>
      <w:r w:rsidRPr="009A120F">
        <w:rPr>
          <w:rFonts w:ascii="Cambria" w:hAnsi="Cambria"/>
          <w:bCs/>
          <w:iCs/>
          <w:sz w:val="18"/>
          <w:szCs w:val="18"/>
          <w:lang w:val="en-GB"/>
        </w:rPr>
        <w:t>Oxford, 2017.</w:t>
      </w:r>
    </w:p>
    <w:p w14:paraId="689AB3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lang w:val="en-GB"/>
        </w:rPr>
        <w:t xml:space="preserve">Making and breaking the rules : succession in medieval Europe, c. 1000-c. </w:t>
      </w:r>
      <w:r w:rsidRPr="009A120F">
        <w:rPr>
          <w:rFonts w:ascii="Cambria" w:hAnsi="Cambria"/>
          <w:b w:val="0"/>
          <w:bCs/>
          <w:i/>
          <w:iCs/>
          <w:sz w:val="18"/>
          <w:szCs w:val="18"/>
        </w:rPr>
        <w:t>1600 / Établir et abolir les normes : la succession dans l'Europe médiévale, vers 1000-vers 1600</w:t>
      </w:r>
      <w:r w:rsidRPr="009A120F">
        <w:rPr>
          <w:rFonts w:ascii="Cambria" w:hAnsi="Cambria"/>
          <w:b w:val="0"/>
          <w:bCs/>
          <w:sz w:val="18"/>
          <w:szCs w:val="18"/>
        </w:rPr>
        <w:t>, F. Lachaud et M. Penman (dir.), Turnhout, 2008.</w:t>
      </w:r>
    </w:p>
    <w:p w14:paraId="11E11D1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L. Mayali, </w:t>
      </w:r>
      <w:r w:rsidRPr="009A120F">
        <w:rPr>
          <w:rFonts w:ascii="Cambria" w:hAnsi="Cambria"/>
          <w:b w:val="0"/>
          <w:bCs/>
          <w:i/>
          <w:sz w:val="18"/>
          <w:szCs w:val="18"/>
        </w:rPr>
        <w:t>Droit savant et coutumes. L’exclusion des filles dotées (XII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rPr>
        <w:t xml:space="preserve"> Francfort-sur-le-Main, 1987.</w:t>
      </w:r>
    </w:p>
    <w:p w14:paraId="04257DF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F. Mazel, « L’héritage symbolique de Guillaume dans l’aristocratie méridionale des X</w:t>
      </w:r>
      <w:r w:rsidRPr="009A120F">
        <w:rPr>
          <w:rFonts w:ascii="Cambria" w:hAnsi="Cambria"/>
          <w:b w:val="0"/>
          <w:bCs/>
          <w:sz w:val="18"/>
          <w:szCs w:val="18"/>
          <w:vertAlign w:val="superscript"/>
        </w:rPr>
        <w:t>e</w:t>
      </w:r>
      <w:r w:rsidRPr="009A120F">
        <w:rPr>
          <w:rFonts w:ascii="Cambria" w:hAnsi="Cambria"/>
          <w:b w:val="0"/>
          <w:bCs/>
          <w:sz w:val="18"/>
          <w:szCs w:val="18"/>
        </w:rPr>
        <w:t>-XIII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tradition familiale ou fascination épique ? », dans </w:t>
      </w:r>
      <w:r w:rsidRPr="009A120F">
        <w:rPr>
          <w:rFonts w:ascii="Cambria" w:hAnsi="Cambria"/>
          <w:b w:val="0"/>
          <w:bCs/>
          <w:i/>
          <w:iCs/>
          <w:sz w:val="18"/>
          <w:szCs w:val="18"/>
        </w:rPr>
        <w:t>Entre histoire et épopée. Les Guillaume d'Orange, IX</w:t>
      </w:r>
      <w:r w:rsidRPr="009A120F">
        <w:rPr>
          <w:rFonts w:ascii="Cambria" w:hAnsi="Cambria"/>
          <w:b w:val="0"/>
          <w:bCs/>
          <w:i/>
          <w:sz w:val="18"/>
          <w:szCs w:val="18"/>
          <w:vertAlign w:val="superscript"/>
        </w:rPr>
        <w:t>e</w:t>
      </w:r>
      <w:r w:rsidRPr="009A120F">
        <w:rPr>
          <w:rFonts w:ascii="Cambria" w:hAnsi="Cambria"/>
          <w:b w:val="0"/>
          <w:bCs/>
          <w:i/>
          <w:iCs/>
          <w:sz w:val="18"/>
          <w:szCs w:val="18"/>
        </w:rPr>
        <w:t>-XIII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siècles, </w:t>
      </w:r>
      <w:r w:rsidRPr="009A120F">
        <w:rPr>
          <w:rFonts w:ascii="Cambria" w:hAnsi="Cambria"/>
          <w:b w:val="0"/>
          <w:bCs/>
          <w:sz w:val="18"/>
          <w:szCs w:val="18"/>
        </w:rPr>
        <w:t>L. Macé (éd.), Toulouse, 2006, p. 163-180.</w:t>
      </w:r>
    </w:p>
    <w:p w14:paraId="2D5EC75F" w14:textId="77777777" w:rsidR="00F54175" w:rsidRPr="009A120F" w:rsidRDefault="00F54175" w:rsidP="00F54175">
      <w:pPr>
        <w:ind w:left="540" w:hanging="540"/>
        <w:jc w:val="both"/>
        <w:rPr>
          <w:rFonts w:ascii="Cambria" w:hAnsi="Cambria"/>
          <w:b w:val="0"/>
          <w:bCs/>
          <w:i/>
          <w:iCs/>
          <w:sz w:val="18"/>
          <w:szCs w:val="18"/>
          <w:lang w:val="de-DE"/>
        </w:rPr>
      </w:pPr>
      <w:r w:rsidRPr="009A120F">
        <w:rPr>
          <w:rFonts w:ascii="Cambria" w:hAnsi="Cambria"/>
          <w:b w:val="0"/>
          <w:bCs/>
          <w:sz w:val="18"/>
          <w:szCs w:val="18"/>
        </w:rPr>
        <w:t>F. Mazel, « Noms propres, dévolution du nom et dévolution du pouvoir dans l’aristocratie provençale (milieu X</w:t>
      </w:r>
      <w:r w:rsidRPr="009A120F">
        <w:rPr>
          <w:rFonts w:ascii="Cambria" w:hAnsi="Cambria"/>
          <w:b w:val="0"/>
          <w:bCs/>
          <w:sz w:val="18"/>
          <w:szCs w:val="18"/>
          <w:vertAlign w:val="superscript"/>
        </w:rPr>
        <w:t>e</w:t>
      </w:r>
      <w:r w:rsidRPr="009A120F">
        <w:rPr>
          <w:rFonts w:ascii="Cambria" w:hAnsi="Cambria"/>
          <w:b w:val="0"/>
          <w:bCs/>
          <w:sz w:val="18"/>
          <w:szCs w:val="18"/>
        </w:rPr>
        <w:t>-fin XII</w:t>
      </w:r>
      <w:r w:rsidRPr="009A120F">
        <w:rPr>
          <w:rFonts w:ascii="Cambria" w:hAnsi="Cambria"/>
          <w:b w:val="0"/>
          <w:bCs/>
          <w:sz w:val="18"/>
          <w:szCs w:val="18"/>
          <w:vertAlign w:val="superscript"/>
        </w:rPr>
        <w:t xml:space="preserve">e </w:t>
      </w:r>
      <w:r w:rsidRPr="009A120F">
        <w:rPr>
          <w:rFonts w:ascii="Cambria" w:hAnsi="Cambria"/>
          <w:b w:val="0"/>
          <w:bCs/>
          <w:sz w:val="18"/>
          <w:szCs w:val="18"/>
        </w:rPr>
        <w:t xml:space="preserve">siècle) », </w:t>
      </w:r>
      <w:r w:rsidRPr="009A120F">
        <w:rPr>
          <w:rFonts w:ascii="Cambria" w:eastAsiaTheme="minorHAnsi" w:hAnsi="Cambria"/>
          <w:b w:val="0"/>
          <w:bCs/>
          <w:i/>
          <w:sz w:val="18"/>
          <w:szCs w:val="18"/>
          <w:lang w:eastAsia="en-US"/>
        </w:rPr>
        <w:t>Provence historique</w:t>
      </w:r>
      <w:r w:rsidRPr="009A120F">
        <w:rPr>
          <w:rFonts w:ascii="Cambria" w:eastAsiaTheme="minorHAnsi" w:hAnsi="Cambria"/>
          <w:b w:val="0"/>
          <w:bCs/>
          <w:sz w:val="18"/>
          <w:szCs w:val="18"/>
          <w:lang w:eastAsia="en-US"/>
        </w:rPr>
        <w:t>, 53 (2003), p. 131-174.</w:t>
      </w:r>
    </w:p>
    <w:p w14:paraId="442C28C2" w14:textId="77777777" w:rsidR="009F482A" w:rsidRPr="009A120F" w:rsidRDefault="009F482A" w:rsidP="00F54175">
      <w:pPr>
        <w:pStyle w:val="Listenumros1"/>
        <w:ind w:left="540" w:hanging="540"/>
        <w:rPr>
          <w:rFonts w:ascii="Cambria" w:hAnsi="Cambria"/>
          <w:bCs/>
          <w:i/>
          <w:iCs/>
          <w:sz w:val="18"/>
          <w:szCs w:val="18"/>
        </w:rPr>
      </w:pPr>
    </w:p>
    <w:p w14:paraId="2BC58B22" w14:textId="77777777" w:rsidR="009F482A" w:rsidRPr="009A120F" w:rsidRDefault="009F482A" w:rsidP="00F54175">
      <w:pPr>
        <w:pStyle w:val="Listenumros1"/>
        <w:ind w:left="540" w:hanging="540"/>
        <w:rPr>
          <w:rFonts w:ascii="Cambria" w:hAnsi="Cambria"/>
          <w:bCs/>
          <w:i/>
          <w:iCs/>
          <w:sz w:val="18"/>
          <w:szCs w:val="18"/>
        </w:rPr>
      </w:pPr>
    </w:p>
    <w:p w14:paraId="28136267" w14:textId="6D247C68"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i/>
          <w:iCs/>
          <w:sz w:val="18"/>
          <w:szCs w:val="18"/>
          <w:lang w:val="en-US"/>
        </w:rPr>
        <w:t>Medieval Memories : men women and the past, 700-1300</w:t>
      </w:r>
      <w:r w:rsidRPr="009A120F">
        <w:rPr>
          <w:rFonts w:ascii="Cambria" w:hAnsi="Cambria"/>
          <w:bCs/>
          <w:sz w:val="18"/>
          <w:szCs w:val="18"/>
          <w:lang w:val="en-US"/>
        </w:rPr>
        <w:t>, E. Van Houts, (dir.), Londres, 2001.</w:t>
      </w:r>
    </w:p>
    <w:p w14:paraId="0AB2C98F"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i/>
          <w:iCs/>
          <w:sz w:val="18"/>
          <w:szCs w:val="18"/>
          <w:lang w:val="de-DE"/>
        </w:rPr>
        <w:t>Memoria</w:t>
      </w:r>
      <w:r w:rsidRPr="009A120F">
        <w:rPr>
          <w:rFonts w:ascii="Cambria" w:hAnsi="Cambria"/>
          <w:bCs/>
          <w:sz w:val="18"/>
          <w:szCs w:val="18"/>
          <w:lang w:val="en-GB"/>
        </w:rPr>
        <w:t xml:space="preserve">. </w:t>
      </w:r>
      <w:r w:rsidRPr="009A120F">
        <w:rPr>
          <w:rFonts w:ascii="Cambria" w:hAnsi="Cambria"/>
          <w:bCs/>
          <w:i/>
          <w:iCs/>
          <w:sz w:val="18"/>
          <w:szCs w:val="18"/>
          <w:lang w:val="de-DE"/>
        </w:rPr>
        <w:t>Der geschichtliche Zeugniswert des liturgischen Gedenkens im Mittelalter</w:t>
      </w:r>
      <w:r w:rsidRPr="009A120F">
        <w:rPr>
          <w:rFonts w:ascii="Cambria" w:hAnsi="Cambria"/>
          <w:bCs/>
          <w:sz w:val="18"/>
          <w:szCs w:val="18"/>
          <w:lang w:val="de-DE"/>
        </w:rPr>
        <w:t xml:space="preserve">, K. Schmid, J. Wollasch (éd.), Munich, 1984. </w:t>
      </w:r>
    </w:p>
    <w:p w14:paraId="07EB3903"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L. Musset, « Les sépultures des souverains normands : un aspect de l’idéologie du pouvoir », dans </w:t>
      </w:r>
      <w:r w:rsidRPr="009A120F">
        <w:rPr>
          <w:rFonts w:ascii="Cambria" w:hAnsi="Cambria"/>
          <w:bCs/>
          <w:i/>
          <w:sz w:val="18"/>
          <w:szCs w:val="18"/>
        </w:rPr>
        <w:t>Autour du pouvoir ducal normand, X</w:t>
      </w:r>
      <w:r w:rsidRPr="009A120F">
        <w:rPr>
          <w:rStyle w:val="Accentuation"/>
          <w:rFonts w:ascii="Cambria" w:hAnsi="Cambria"/>
          <w:bCs/>
          <w:sz w:val="18"/>
          <w:szCs w:val="18"/>
          <w:vertAlign w:val="superscript"/>
        </w:rPr>
        <w:t>e</w:t>
      </w:r>
      <w:r w:rsidRPr="009A120F">
        <w:rPr>
          <w:rFonts w:ascii="Cambria" w:hAnsi="Cambria"/>
          <w:bCs/>
          <w:i/>
          <w:sz w:val="18"/>
          <w:szCs w:val="18"/>
        </w:rPr>
        <w:t>-XII</w:t>
      </w:r>
      <w:r w:rsidRPr="009A120F">
        <w:rPr>
          <w:rStyle w:val="Accentuation"/>
          <w:rFonts w:ascii="Cambria" w:hAnsi="Cambria"/>
          <w:bCs/>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Caen, 1985, p. 19-44.</w:t>
      </w:r>
    </w:p>
    <w:p w14:paraId="65F6D53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L. Ripart, « </w:t>
      </w:r>
      <w:r w:rsidRPr="009A120F">
        <w:rPr>
          <w:rFonts w:ascii="Cambria" w:hAnsi="Cambria"/>
          <w:b w:val="0"/>
          <w:bCs/>
          <w:i/>
          <w:sz w:val="18"/>
          <w:szCs w:val="18"/>
        </w:rPr>
        <w:t>Non est consuetum in comitatu Sabaudie quod filia succedit patri in comitatu et possessione comitatus</w:t>
      </w:r>
      <w:r w:rsidRPr="009A120F">
        <w:rPr>
          <w:rFonts w:ascii="Cambria" w:hAnsi="Cambria"/>
          <w:b w:val="0"/>
          <w:bCs/>
          <w:sz w:val="18"/>
          <w:szCs w:val="18"/>
        </w:rPr>
        <w:t xml:space="preserve"> : genèse de la coutume savoyarde de l'exclusion des filles », dans </w:t>
      </w:r>
      <w:r w:rsidRPr="009A120F">
        <w:rPr>
          <w:rFonts w:ascii="Cambria" w:hAnsi="Cambria"/>
          <w:b w:val="0"/>
          <w:bCs/>
          <w:i/>
          <w:iCs/>
          <w:sz w:val="18"/>
          <w:szCs w:val="18"/>
        </w:rPr>
        <w:t xml:space="preserve">Pierre II de Savoie, le "petit Charlemagne", </w:t>
      </w:r>
      <w:r w:rsidRPr="009A120F">
        <w:rPr>
          <w:rFonts w:ascii="Cambria" w:hAnsi="Cambria"/>
          <w:b w:val="0"/>
          <w:bCs/>
          <w:sz w:val="18"/>
          <w:szCs w:val="18"/>
        </w:rPr>
        <w:t>B. Andenmatten, A. Paravicini Bagliani, E. Pibiri (dir.), Lausanne, 2000, p. 295-331.</w:t>
      </w:r>
    </w:p>
    <w:p w14:paraId="495DC657"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L. Ripart, « La tradition d’Adélaïde dans la maison de Savoie », dans </w:t>
      </w:r>
      <w:r w:rsidRPr="009A120F">
        <w:rPr>
          <w:rFonts w:ascii="Cambria" w:hAnsi="Cambria"/>
          <w:b w:val="0"/>
          <w:bCs/>
          <w:i/>
          <w:iCs/>
          <w:sz w:val="18"/>
          <w:szCs w:val="18"/>
        </w:rPr>
        <w:t xml:space="preserve">Adélaïde de Bourgogne (999-1999), genèse et représentation d'une sainteté impériale, </w:t>
      </w:r>
      <w:r w:rsidRPr="009A120F">
        <w:rPr>
          <w:rFonts w:ascii="Cambria" w:hAnsi="Cambria"/>
          <w:b w:val="0"/>
          <w:bCs/>
          <w:sz w:val="18"/>
          <w:szCs w:val="18"/>
        </w:rPr>
        <w:t>Dijon, 2002, p. 55-77.</w:t>
      </w:r>
    </w:p>
    <w:p w14:paraId="2D8ED60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Sauver son âme et se perpétuer. Transmission du patrimoine et mémoire au haut Moyen Âge</w:t>
      </w:r>
      <w:r w:rsidRPr="009A120F">
        <w:rPr>
          <w:rFonts w:ascii="Cambria" w:hAnsi="Cambria"/>
          <w:b w:val="0"/>
          <w:bCs/>
          <w:sz w:val="18"/>
          <w:szCs w:val="18"/>
        </w:rPr>
        <w:t>, Rome, Ecole française de Rome, 2005</w:t>
      </w:r>
    </w:p>
    <w:p w14:paraId="5BB52C3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w:t>
      </w:r>
      <w:r w:rsidRPr="009A120F">
        <w:rPr>
          <w:rFonts w:ascii="Cambria" w:hAnsi="Cambria"/>
          <w:b w:val="0"/>
          <w:bCs/>
          <w:sz w:val="18"/>
          <w:szCs w:val="18"/>
          <w:lang w:val="fr-029"/>
        </w:rPr>
        <w:t>Sot</w:t>
      </w:r>
      <w:r w:rsidRPr="009A120F">
        <w:rPr>
          <w:rFonts w:ascii="Cambria" w:hAnsi="Cambria"/>
          <w:b w:val="0"/>
          <w:bCs/>
          <w:sz w:val="18"/>
          <w:szCs w:val="18"/>
        </w:rPr>
        <w:t xml:space="preserve">, « Hérédité royale et pouvoir sacré avant 987 », </w:t>
      </w:r>
      <w:r w:rsidRPr="009A120F">
        <w:rPr>
          <w:rFonts w:ascii="Cambria" w:hAnsi="Cambria"/>
          <w:b w:val="0"/>
          <w:bCs/>
          <w:i/>
          <w:sz w:val="18"/>
          <w:szCs w:val="18"/>
        </w:rPr>
        <w:t>Annales ESC</w:t>
      </w:r>
      <w:r w:rsidRPr="009A120F">
        <w:rPr>
          <w:rFonts w:ascii="Cambria" w:hAnsi="Cambria"/>
          <w:b w:val="0"/>
          <w:bCs/>
          <w:sz w:val="18"/>
          <w:szCs w:val="18"/>
        </w:rPr>
        <w:t>, 1988, p. 705-733.</w:t>
      </w:r>
    </w:p>
    <w:p w14:paraId="506D64B6" w14:textId="77777777" w:rsidR="00F54175" w:rsidRPr="009A120F" w:rsidRDefault="00F54175" w:rsidP="00F54175">
      <w:pPr>
        <w:ind w:left="540" w:hanging="540"/>
        <w:jc w:val="both"/>
        <w:rPr>
          <w:rFonts w:ascii="Cambria" w:hAnsi="Cambria"/>
          <w:b w:val="0"/>
          <w:bCs/>
          <w:i/>
          <w:iCs/>
          <w:sz w:val="18"/>
          <w:szCs w:val="18"/>
          <w:lang w:val="en-US"/>
        </w:rPr>
      </w:pPr>
      <w:r w:rsidRPr="009A120F">
        <w:rPr>
          <w:rFonts w:ascii="Cambria" w:hAnsi="Cambria"/>
          <w:b w:val="0"/>
          <w:bCs/>
          <w:sz w:val="18"/>
          <w:szCs w:val="18"/>
          <w:lang w:val="en-GB"/>
        </w:rPr>
        <w:t xml:space="preserve">G. Spiegel, « The </w:t>
      </w:r>
      <w:r w:rsidRPr="009A120F">
        <w:rPr>
          <w:rFonts w:ascii="Cambria" w:hAnsi="Cambria"/>
          <w:b w:val="0"/>
          <w:bCs/>
          <w:i/>
          <w:sz w:val="18"/>
          <w:szCs w:val="18"/>
          <w:lang w:val="en-GB"/>
        </w:rPr>
        <w:t>Reditus ad stirpem Karoli Magni</w:t>
      </w:r>
      <w:r w:rsidRPr="009A120F">
        <w:rPr>
          <w:rFonts w:ascii="Cambria" w:hAnsi="Cambria"/>
          <w:b w:val="0"/>
          <w:bCs/>
          <w:sz w:val="18"/>
          <w:szCs w:val="18"/>
          <w:lang w:val="en-GB"/>
        </w:rPr>
        <w:t xml:space="preserve"> : a new look », </w:t>
      </w:r>
      <w:r w:rsidRPr="009A120F">
        <w:rPr>
          <w:rFonts w:ascii="Cambria" w:hAnsi="Cambria"/>
          <w:b w:val="0"/>
          <w:bCs/>
          <w:i/>
          <w:sz w:val="18"/>
          <w:szCs w:val="18"/>
          <w:lang w:val="en-GB"/>
        </w:rPr>
        <w:t>French historical studies</w:t>
      </w:r>
      <w:r w:rsidRPr="009A120F">
        <w:rPr>
          <w:rFonts w:ascii="Cambria" w:hAnsi="Cambria"/>
          <w:b w:val="0"/>
          <w:bCs/>
          <w:sz w:val="18"/>
          <w:szCs w:val="18"/>
          <w:lang w:val="en-GB"/>
        </w:rPr>
        <w:t>, 1972, p. 145-174.</w:t>
      </w:r>
    </w:p>
    <w:p w14:paraId="0FBD7F3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Les transferts patrimoniaux en Europe occidentale (VII</w:t>
      </w:r>
      <w:r w:rsidRPr="009A120F">
        <w:rPr>
          <w:rFonts w:ascii="Cambria" w:hAnsi="Cambria"/>
          <w:b w:val="0"/>
          <w:bCs/>
          <w:i/>
          <w:sz w:val="18"/>
          <w:szCs w:val="18"/>
          <w:vertAlign w:val="superscript"/>
        </w:rPr>
        <w:t>e</w:t>
      </w:r>
      <w:r w:rsidRPr="009A120F">
        <w:rPr>
          <w:rFonts w:ascii="Cambria" w:hAnsi="Cambria"/>
          <w:b w:val="0"/>
          <w:bCs/>
          <w:i/>
          <w:iCs/>
          <w:sz w:val="18"/>
          <w:szCs w:val="18"/>
        </w:rPr>
        <w:t>-X</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 Mélanges de l’EFR, Moyen Age, 111/2</w:t>
      </w:r>
      <w:r w:rsidRPr="009A120F">
        <w:rPr>
          <w:rFonts w:ascii="Cambria" w:hAnsi="Cambria"/>
          <w:b w:val="0"/>
          <w:bCs/>
          <w:sz w:val="18"/>
          <w:szCs w:val="18"/>
        </w:rPr>
        <w:t xml:space="preserve"> (1999).</w:t>
      </w:r>
    </w:p>
    <w:p w14:paraId="73C57C46"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C. Treffort, « La mémoire du duc dans un écrin de pierre. Le tombeau du duc d’Aquitaine Guy Geoffroy Guillaume à Saint-Jean-de-Montierneuf à Poitiers », </w:t>
      </w:r>
      <w:r w:rsidRPr="009A120F">
        <w:rPr>
          <w:rFonts w:ascii="Cambria" w:hAnsi="Cambria"/>
          <w:bCs/>
          <w:i/>
          <w:iCs/>
          <w:sz w:val="18"/>
          <w:szCs w:val="18"/>
        </w:rPr>
        <w:t>Cahiers de civilisation médiévale</w:t>
      </w:r>
      <w:r w:rsidRPr="009A120F">
        <w:rPr>
          <w:rFonts w:ascii="Cambria" w:hAnsi="Cambria"/>
          <w:bCs/>
          <w:sz w:val="18"/>
          <w:szCs w:val="18"/>
        </w:rPr>
        <w:t>, 47 (2004), p. 249-270.</w:t>
      </w:r>
    </w:p>
    <w:p w14:paraId="7A3D84D5"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US"/>
        </w:rPr>
        <w:t xml:space="preserve">E. Van Houts, </w:t>
      </w:r>
      <w:r w:rsidRPr="009A120F">
        <w:rPr>
          <w:rFonts w:ascii="Cambria" w:hAnsi="Cambria"/>
          <w:bCs/>
          <w:i/>
          <w:iCs/>
          <w:sz w:val="18"/>
          <w:szCs w:val="18"/>
          <w:lang w:val="en-US"/>
        </w:rPr>
        <w:t>Memory and gender in medieval Europe, 900-1200</w:t>
      </w:r>
      <w:r w:rsidRPr="009A120F">
        <w:rPr>
          <w:rFonts w:ascii="Cambria" w:hAnsi="Cambria"/>
          <w:bCs/>
          <w:sz w:val="18"/>
          <w:szCs w:val="18"/>
          <w:lang w:val="en-US"/>
        </w:rPr>
        <w:t>, Basingstoke, 1999.</w:t>
      </w:r>
    </w:p>
    <w:p w14:paraId="251DE5E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K. F. </w:t>
      </w:r>
      <w:r w:rsidRPr="009A120F">
        <w:rPr>
          <w:rFonts w:ascii="Cambria" w:hAnsi="Cambria"/>
          <w:bCs/>
          <w:sz w:val="18"/>
          <w:szCs w:val="18"/>
          <w:lang w:val="fr-029"/>
        </w:rPr>
        <w:t>Werner</w:t>
      </w:r>
      <w:r w:rsidRPr="009A120F">
        <w:rPr>
          <w:rFonts w:ascii="Cambria" w:hAnsi="Cambria"/>
          <w:bCs/>
          <w:sz w:val="18"/>
          <w:szCs w:val="18"/>
        </w:rPr>
        <w:t xml:space="preserve">, « Die Legitimität der Kapetinger und die Entstehung des </w:t>
      </w:r>
      <w:r w:rsidRPr="009A120F">
        <w:rPr>
          <w:rFonts w:ascii="Cambria" w:hAnsi="Cambria"/>
          <w:bCs/>
          <w:i/>
          <w:sz w:val="18"/>
          <w:szCs w:val="18"/>
        </w:rPr>
        <w:t>Reditus regni Francorum ad stirpem Karoli </w:t>
      </w:r>
      <w:r w:rsidRPr="009A120F">
        <w:rPr>
          <w:rFonts w:ascii="Cambria" w:hAnsi="Cambria"/>
          <w:bCs/>
          <w:sz w:val="18"/>
          <w:szCs w:val="18"/>
        </w:rPr>
        <w:t>» (1</w:t>
      </w:r>
      <w:r w:rsidRPr="009A120F">
        <w:rPr>
          <w:rFonts w:ascii="Cambria" w:hAnsi="Cambria"/>
          <w:bCs/>
          <w:sz w:val="18"/>
          <w:szCs w:val="18"/>
          <w:vertAlign w:val="superscript"/>
        </w:rPr>
        <w:t>ère</w:t>
      </w:r>
      <w:r w:rsidRPr="009A120F">
        <w:rPr>
          <w:rFonts w:ascii="Cambria" w:hAnsi="Cambria"/>
          <w:bCs/>
          <w:sz w:val="18"/>
          <w:szCs w:val="18"/>
        </w:rPr>
        <w:t xml:space="preserve"> éd. 1952), repris dans </w:t>
      </w:r>
      <w:r w:rsidRPr="009A120F">
        <w:rPr>
          <w:rFonts w:ascii="Cambria" w:hAnsi="Cambria"/>
          <w:bCs/>
          <w:i/>
          <w:sz w:val="18"/>
          <w:szCs w:val="18"/>
        </w:rPr>
        <w:t>id</w:t>
      </w:r>
      <w:r w:rsidRPr="009A120F">
        <w:rPr>
          <w:rFonts w:ascii="Cambria" w:hAnsi="Cambria"/>
          <w:bCs/>
          <w:sz w:val="18"/>
          <w:szCs w:val="18"/>
        </w:rPr>
        <w:t xml:space="preserve">., </w:t>
      </w:r>
      <w:r w:rsidRPr="009A120F">
        <w:rPr>
          <w:rFonts w:ascii="Cambria" w:hAnsi="Cambria"/>
          <w:bCs/>
          <w:i/>
          <w:sz w:val="18"/>
          <w:szCs w:val="18"/>
        </w:rPr>
        <w:t>Structures politiques du monde franc (VI</w:t>
      </w:r>
      <w:r w:rsidRPr="009A120F">
        <w:rPr>
          <w:rFonts w:ascii="Cambria" w:hAnsi="Cambria"/>
          <w:bCs/>
          <w:i/>
          <w:sz w:val="18"/>
          <w:szCs w:val="18"/>
          <w:vertAlign w:val="superscript"/>
        </w:rPr>
        <w:t>e</w:t>
      </w:r>
      <w:r w:rsidRPr="009A120F">
        <w:rPr>
          <w:rFonts w:ascii="Cambria" w:hAnsi="Cambria"/>
          <w:bCs/>
          <w:i/>
          <w:sz w:val="18"/>
          <w:szCs w:val="18"/>
        </w:rPr>
        <w:t>-XII</w:t>
      </w:r>
      <w:r w:rsidRPr="009A120F">
        <w:rPr>
          <w:rFonts w:ascii="Cambria" w:hAnsi="Cambria"/>
          <w:bCs/>
          <w:i/>
          <w:sz w:val="18"/>
          <w:szCs w:val="18"/>
          <w:vertAlign w:val="superscript"/>
        </w:rPr>
        <w:t>e</w:t>
      </w:r>
      <w:r w:rsidRPr="009A120F">
        <w:rPr>
          <w:rFonts w:ascii="Cambria" w:hAnsi="Cambria"/>
          <w:bCs/>
          <w:i/>
          <w:sz w:val="18"/>
          <w:szCs w:val="18"/>
        </w:rPr>
        <w:t> s.)</w:t>
      </w:r>
      <w:r w:rsidRPr="009A120F">
        <w:rPr>
          <w:rFonts w:ascii="Cambria" w:hAnsi="Cambria"/>
          <w:bCs/>
          <w:sz w:val="18"/>
          <w:szCs w:val="18"/>
        </w:rPr>
        <w:t>, Londres, 1979.</w:t>
      </w:r>
    </w:p>
    <w:p w14:paraId="07089E04"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K. F. </w:t>
      </w:r>
      <w:r w:rsidRPr="009A120F">
        <w:rPr>
          <w:rFonts w:ascii="Cambria" w:hAnsi="Cambria"/>
          <w:bCs/>
          <w:sz w:val="18"/>
          <w:szCs w:val="18"/>
          <w:lang w:val="fr-029"/>
        </w:rPr>
        <w:t>Werner</w:t>
      </w:r>
      <w:r w:rsidRPr="009A120F">
        <w:rPr>
          <w:rFonts w:ascii="Cambria" w:hAnsi="Cambria"/>
          <w:bCs/>
          <w:sz w:val="18"/>
          <w:szCs w:val="18"/>
        </w:rPr>
        <w:t>, « Les sources de la légitimité royale à l’avènement des Capétiens (X</w:t>
      </w:r>
      <w:r w:rsidRPr="009A120F">
        <w:rPr>
          <w:rFonts w:ascii="Cambria" w:hAnsi="Cambria"/>
          <w:bCs/>
          <w:iCs/>
          <w:sz w:val="18"/>
          <w:szCs w:val="18"/>
          <w:vertAlign w:val="superscript"/>
        </w:rPr>
        <w:t>e</w:t>
      </w:r>
      <w:r w:rsidRPr="009A120F">
        <w:rPr>
          <w:rFonts w:ascii="Cambria" w:hAnsi="Cambria"/>
          <w:bCs/>
          <w:sz w:val="18"/>
          <w:szCs w:val="18"/>
        </w:rPr>
        <w:t>-XI</w:t>
      </w:r>
      <w:r w:rsidRPr="009A120F">
        <w:rPr>
          <w:rFonts w:ascii="Cambria" w:hAnsi="Cambria"/>
          <w:bCs/>
          <w:iCs/>
          <w:sz w:val="18"/>
          <w:szCs w:val="18"/>
          <w:vertAlign w:val="superscript"/>
        </w:rPr>
        <w:t>e</w:t>
      </w:r>
      <w:r w:rsidRPr="009A120F">
        <w:rPr>
          <w:rFonts w:ascii="Cambria" w:hAnsi="Cambria"/>
          <w:bCs/>
          <w:sz w:val="18"/>
          <w:szCs w:val="18"/>
        </w:rPr>
        <w:t xml:space="preserve"> siècle) », dans </w:t>
      </w:r>
      <w:r w:rsidRPr="009A120F">
        <w:rPr>
          <w:rFonts w:ascii="Cambria" w:hAnsi="Cambria"/>
          <w:bCs/>
          <w:i/>
          <w:sz w:val="18"/>
          <w:szCs w:val="18"/>
        </w:rPr>
        <w:t>Le sacre des rois</w:t>
      </w:r>
      <w:r w:rsidRPr="009A120F">
        <w:rPr>
          <w:rFonts w:ascii="Cambria" w:hAnsi="Cambria"/>
          <w:bCs/>
          <w:sz w:val="18"/>
          <w:szCs w:val="18"/>
        </w:rPr>
        <w:t>, Paris, 1985, p. 49-61.</w:t>
      </w:r>
    </w:p>
    <w:p w14:paraId="2690519D" w14:textId="0997C124" w:rsidR="00417511" w:rsidRPr="009A120F" w:rsidRDefault="00F54175" w:rsidP="00417511">
      <w:pPr>
        <w:ind w:left="540" w:hanging="540"/>
        <w:jc w:val="both"/>
        <w:rPr>
          <w:rFonts w:ascii="Cambria" w:hAnsi="Cambria"/>
          <w:b w:val="0"/>
          <w:bCs/>
          <w:sz w:val="18"/>
          <w:szCs w:val="18"/>
        </w:rPr>
      </w:pPr>
      <w:r w:rsidRPr="009A120F">
        <w:rPr>
          <w:rFonts w:ascii="Cambria" w:hAnsi="Cambria"/>
          <w:b w:val="0"/>
          <w:bCs/>
          <w:sz w:val="18"/>
          <w:szCs w:val="18"/>
        </w:rPr>
        <w:t xml:space="preserve">J. Wollasch, « Les moines et la mémoire des morts », dans </w:t>
      </w:r>
      <w:r w:rsidRPr="009A120F">
        <w:rPr>
          <w:rFonts w:ascii="Cambria" w:hAnsi="Cambria"/>
          <w:b w:val="0"/>
          <w:bCs/>
          <w:i/>
          <w:iCs/>
          <w:sz w:val="18"/>
          <w:szCs w:val="18"/>
          <w:lang w:val="de-DE"/>
        </w:rPr>
        <w:t>Religion et culture autour de l’an mil</w:t>
      </w:r>
      <w:r w:rsidRPr="009A120F">
        <w:rPr>
          <w:rFonts w:ascii="Cambria" w:hAnsi="Cambria"/>
          <w:b w:val="0"/>
          <w:bCs/>
          <w:sz w:val="18"/>
          <w:szCs w:val="18"/>
        </w:rPr>
        <w:t>, D. </w:t>
      </w:r>
      <w:r w:rsidRPr="009A120F">
        <w:rPr>
          <w:rFonts w:ascii="Cambria" w:hAnsi="Cambria"/>
          <w:b w:val="0"/>
          <w:bCs/>
          <w:sz w:val="18"/>
          <w:szCs w:val="18"/>
          <w:lang w:val="fr-029"/>
        </w:rPr>
        <w:t xml:space="preserve">Iogna-Prat et J.-C. Picard </w:t>
      </w:r>
      <w:r w:rsidRPr="009A120F">
        <w:rPr>
          <w:rFonts w:ascii="Cambria" w:hAnsi="Cambria"/>
          <w:b w:val="0"/>
          <w:bCs/>
          <w:sz w:val="18"/>
          <w:szCs w:val="18"/>
        </w:rPr>
        <w:t>(dir.), Paris, 1992, p. 47-54.</w:t>
      </w:r>
    </w:p>
    <w:p w14:paraId="57DFC59D" w14:textId="77777777" w:rsidR="00F54175" w:rsidRPr="009A120F" w:rsidRDefault="00F54175" w:rsidP="00F54175">
      <w:pPr>
        <w:keepNext/>
        <w:jc w:val="both"/>
        <w:rPr>
          <w:rFonts w:ascii="Cambria" w:hAnsi="Cambria"/>
          <w:b w:val="0"/>
          <w:bCs/>
          <w:sz w:val="18"/>
          <w:szCs w:val="18"/>
        </w:rPr>
      </w:pPr>
      <w:r w:rsidRPr="009A120F">
        <w:rPr>
          <w:rFonts w:ascii="Cambria" w:hAnsi="Cambria"/>
          <w:b w:val="0"/>
          <w:bCs/>
          <w:sz w:val="18"/>
          <w:szCs w:val="18"/>
        </w:rPr>
        <w:t>Relations familiales (hors couple)</w:t>
      </w:r>
    </w:p>
    <w:p w14:paraId="3EAD0954" w14:textId="77777777" w:rsidR="00F54175" w:rsidRPr="009A120F" w:rsidRDefault="00F54175" w:rsidP="00F54175">
      <w:pPr>
        <w:keepNext/>
        <w:ind w:left="540" w:hanging="540"/>
        <w:jc w:val="both"/>
        <w:rPr>
          <w:rFonts w:ascii="Cambria" w:hAnsi="Cambria"/>
          <w:b w:val="0"/>
          <w:bCs/>
          <w:sz w:val="18"/>
          <w:szCs w:val="18"/>
        </w:rPr>
      </w:pPr>
      <w:r w:rsidRPr="009A120F">
        <w:rPr>
          <w:rFonts w:ascii="Cambria" w:hAnsi="Cambria"/>
          <w:b w:val="0"/>
          <w:bCs/>
          <w:sz w:val="18"/>
          <w:szCs w:val="18"/>
        </w:rPr>
        <w:t>Cl. Amado, « Femmes entre elles. Filles et épouses languedociennes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w:t>
      </w:r>
      <w:r w:rsidRPr="009A120F">
        <w:rPr>
          <w:rFonts w:ascii="Cambria" w:hAnsi="Cambria"/>
          <w:b w:val="0"/>
          <w:bCs/>
          <w:i/>
          <w:iCs/>
          <w:sz w:val="18"/>
          <w:szCs w:val="18"/>
        </w:rPr>
        <w:t>Femmes. Mariages. Lignages. XII</w:t>
      </w:r>
      <w:r w:rsidRPr="009A120F">
        <w:rPr>
          <w:rFonts w:ascii="Cambria" w:hAnsi="Cambria"/>
          <w:b w:val="0"/>
          <w:bCs/>
          <w:i/>
          <w:sz w:val="18"/>
          <w:szCs w:val="18"/>
          <w:vertAlign w:val="superscript"/>
        </w:rPr>
        <w:t>e</w:t>
      </w:r>
      <w:r w:rsidRPr="009A120F">
        <w:rPr>
          <w:rFonts w:ascii="Cambria" w:hAnsi="Cambria"/>
          <w:b w:val="0"/>
          <w:bCs/>
          <w:i/>
          <w:iCs/>
          <w:sz w:val="18"/>
          <w:szCs w:val="18"/>
        </w:rPr>
        <w:t>-XIV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 Mélanges offerts à Georges Duby, </w:t>
      </w:r>
      <w:r w:rsidRPr="009A120F">
        <w:rPr>
          <w:rFonts w:ascii="Cambria" w:hAnsi="Cambria"/>
          <w:b w:val="0"/>
          <w:bCs/>
          <w:sz w:val="18"/>
          <w:szCs w:val="18"/>
        </w:rPr>
        <w:t>Bruxelles, 1992, p. 125-155.</w:t>
      </w:r>
    </w:p>
    <w:p w14:paraId="0F4BA792" w14:textId="77777777" w:rsidR="00F54175" w:rsidRPr="009A120F" w:rsidRDefault="00F54175" w:rsidP="00F54175">
      <w:pPr>
        <w:keepNext/>
        <w:ind w:left="540" w:hanging="540"/>
        <w:jc w:val="both"/>
        <w:rPr>
          <w:rFonts w:ascii="Cambria" w:hAnsi="Cambria"/>
          <w:b w:val="0"/>
          <w:bCs/>
          <w:sz w:val="18"/>
          <w:szCs w:val="18"/>
        </w:rPr>
      </w:pPr>
      <w:r w:rsidRPr="009A120F">
        <w:rPr>
          <w:rFonts w:ascii="Cambria" w:hAnsi="Cambria"/>
          <w:b w:val="0"/>
          <w:bCs/>
          <w:sz w:val="18"/>
          <w:szCs w:val="18"/>
        </w:rPr>
        <w:t xml:space="preserve">J. Audebrand, </w:t>
      </w:r>
      <w:r w:rsidRPr="009A120F">
        <w:rPr>
          <w:rFonts w:ascii="Cambria" w:hAnsi="Cambria"/>
          <w:b w:val="0"/>
          <w:bCs/>
          <w:i/>
          <w:iCs/>
          <w:sz w:val="18"/>
          <w:szCs w:val="18"/>
        </w:rPr>
        <w:t>Frères et sœurs dans l’Europe du haut Moyen Âge (vers 650 - vers 1000),</w:t>
      </w:r>
      <w:r w:rsidRPr="009A120F">
        <w:rPr>
          <w:rFonts w:ascii="Cambria" w:hAnsi="Cambria"/>
          <w:b w:val="0"/>
          <w:bCs/>
          <w:sz w:val="18"/>
          <w:szCs w:val="18"/>
        </w:rPr>
        <w:t xml:space="preserve"> Turnhout, 2023.</w:t>
      </w:r>
    </w:p>
    <w:p w14:paraId="64684D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J.-L. Biget, « Sépulture des enfants et </w:t>
      </w:r>
      <w:r w:rsidRPr="009A120F">
        <w:rPr>
          <w:rFonts w:ascii="Cambria" w:hAnsi="Cambria"/>
          <w:b w:val="0"/>
          <w:bCs/>
          <w:i/>
          <w:sz w:val="18"/>
          <w:szCs w:val="18"/>
        </w:rPr>
        <w:t>patria potestas.</w:t>
      </w:r>
      <w:r w:rsidRPr="009A120F">
        <w:rPr>
          <w:rFonts w:ascii="Cambria" w:hAnsi="Cambria"/>
          <w:b w:val="0"/>
          <w:bCs/>
          <w:sz w:val="18"/>
          <w:szCs w:val="18"/>
        </w:rPr>
        <w:t xml:space="preserve"> Un procès devant l'officialité d'Albi en 1335 », dans </w:t>
      </w:r>
      <w:r w:rsidRPr="009A120F">
        <w:rPr>
          <w:rFonts w:ascii="Cambria" w:hAnsi="Cambria"/>
          <w:b w:val="0"/>
          <w:bCs/>
          <w:i/>
          <w:iCs/>
          <w:sz w:val="18"/>
          <w:szCs w:val="18"/>
        </w:rPr>
        <w:t>La mort et l'au-delà en France méridionale (XII</w:t>
      </w:r>
      <w:r w:rsidRPr="009A120F">
        <w:rPr>
          <w:rFonts w:ascii="Cambria" w:hAnsi="Cambria"/>
          <w:b w:val="0"/>
          <w:bCs/>
          <w:i/>
          <w:sz w:val="18"/>
          <w:szCs w:val="18"/>
          <w:vertAlign w:val="superscript"/>
        </w:rPr>
        <w:t>e</w:t>
      </w:r>
      <w:r w:rsidRPr="009A120F">
        <w:rPr>
          <w:rFonts w:ascii="Cambria" w:hAnsi="Cambria"/>
          <w:b w:val="0"/>
          <w:bCs/>
          <w:i/>
          <w:iCs/>
          <w:sz w:val="18"/>
          <w:szCs w:val="18"/>
        </w:rPr>
        <w:t>-XV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xml:space="preserve">, </w:t>
      </w:r>
      <w:r w:rsidRPr="009A120F">
        <w:rPr>
          <w:rFonts w:ascii="Cambria" w:hAnsi="Cambria"/>
          <w:b w:val="0"/>
          <w:bCs/>
          <w:i/>
          <w:sz w:val="18"/>
          <w:szCs w:val="18"/>
        </w:rPr>
        <w:t xml:space="preserve">Cahiers de Fanjeaux </w:t>
      </w:r>
      <w:r w:rsidRPr="009A120F">
        <w:rPr>
          <w:rFonts w:ascii="Cambria" w:hAnsi="Cambria"/>
          <w:b w:val="0"/>
          <w:bCs/>
          <w:sz w:val="18"/>
          <w:szCs w:val="18"/>
        </w:rPr>
        <w:t>n°33, Toulouse, Privat, 1998, p. 365-391.</w:t>
      </w:r>
    </w:p>
    <w:p w14:paraId="10730472"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C. Bowie, </w:t>
      </w:r>
      <w:r w:rsidRPr="009A120F">
        <w:rPr>
          <w:rFonts w:ascii="Cambria" w:hAnsi="Cambria"/>
          <w:b w:val="0"/>
          <w:bCs/>
          <w:i/>
          <w:iCs/>
          <w:sz w:val="18"/>
          <w:szCs w:val="18"/>
          <w:lang w:val="en-US"/>
        </w:rPr>
        <w:t>The Daughters of Henry II and Eleanor of Aquitaine</w:t>
      </w:r>
      <w:r w:rsidRPr="009A120F">
        <w:rPr>
          <w:rFonts w:ascii="Cambria" w:hAnsi="Cambria"/>
          <w:b w:val="0"/>
          <w:bCs/>
          <w:sz w:val="18"/>
          <w:szCs w:val="18"/>
          <w:lang w:val="en-US"/>
        </w:rPr>
        <w:t>, Turnhout, 2014.</w:t>
      </w:r>
    </w:p>
    <w:p w14:paraId="277E3912"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G. Duby, « Les jeunes dans la société aristocratique dans la France du nord-ouest au 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w:t>
      </w:r>
      <w:r w:rsidRPr="009A120F">
        <w:rPr>
          <w:rFonts w:ascii="Cambria" w:hAnsi="Cambria"/>
          <w:b w:val="0"/>
          <w:bCs/>
          <w:i/>
          <w:iCs/>
          <w:sz w:val="18"/>
          <w:szCs w:val="18"/>
        </w:rPr>
        <w:t>Annales ESC</w:t>
      </w:r>
      <w:r w:rsidRPr="009A120F">
        <w:rPr>
          <w:rFonts w:ascii="Cambria" w:hAnsi="Cambria"/>
          <w:b w:val="0"/>
          <w:bCs/>
          <w:sz w:val="18"/>
          <w:szCs w:val="18"/>
        </w:rPr>
        <w:t>, 1964, p. 825-846.</w:t>
      </w:r>
    </w:p>
    <w:p w14:paraId="30602F19"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iCs/>
          <w:sz w:val="18"/>
          <w:szCs w:val="18"/>
        </w:rPr>
        <w:t xml:space="preserve">Etre père à la fin du Moyen Age, </w:t>
      </w:r>
      <w:r w:rsidRPr="009A120F">
        <w:rPr>
          <w:rFonts w:ascii="Cambria" w:hAnsi="Cambria"/>
          <w:b w:val="0"/>
          <w:bCs/>
          <w:sz w:val="18"/>
          <w:szCs w:val="18"/>
        </w:rPr>
        <w:t xml:space="preserve">D. Lett (dir.), </w:t>
      </w:r>
      <w:r w:rsidRPr="009A120F">
        <w:rPr>
          <w:rFonts w:ascii="Cambria" w:hAnsi="Cambria"/>
          <w:b w:val="0"/>
          <w:bCs/>
          <w:i/>
          <w:iCs/>
          <w:sz w:val="18"/>
          <w:szCs w:val="18"/>
        </w:rPr>
        <w:t>Cahiers de Recherches Médiévales (XIII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 XV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 </w:t>
      </w:r>
      <w:r w:rsidRPr="009A120F">
        <w:rPr>
          <w:rFonts w:ascii="Cambria" w:hAnsi="Cambria"/>
          <w:b w:val="0"/>
          <w:bCs/>
          <w:sz w:val="18"/>
          <w:szCs w:val="18"/>
        </w:rPr>
        <w:t>4 (1997).</w:t>
      </w:r>
    </w:p>
    <w:p w14:paraId="74FB9776"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i/>
          <w:iCs/>
          <w:sz w:val="18"/>
          <w:szCs w:val="18"/>
        </w:rPr>
        <w:t>Frères et soeurs : les liens adelphiques dans l’Occident antique et médiéval</w:t>
      </w:r>
      <w:r w:rsidRPr="009A120F">
        <w:rPr>
          <w:rFonts w:ascii="Cambria" w:hAnsi="Cambria"/>
          <w:b w:val="0"/>
          <w:bCs/>
          <w:sz w:val="18"/>
          <w:szCs w:val="18"/>
        </w:rPr>
        <w:t>, S. Cassagnes-Brouquet et M. Yvernault (dir.), Turnhout, 2007.</w:t>
      </w:r>
    </w:p>
    <w:p w14:paraId="72EE91B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Frères et sœurs</w:t>
      </w:r>
      <w:r w:rsidRPr="009A120F">
        <w:rPr>
          <w:rFonts w:ascii="Cambria" w:hAnsi="Cambria"/>
          <w:b w:val="0"/>
          <w:bCs/>
          <w:sz w:val="18"/>
          <w:szCs w:val="18"/>
        </w:rPr>
        <w:t xml:space="preserve">, D. Lett (coord.), </w:t>
      </w:r>
      <w:r w:rsidRPr="009A120F">
        <w:rPr>
          <w:rFonts w:ascii="Cambria" w:hAnsi="Cambria"/>
          <w:b w:val="0"/>
          <w:bCs/>
          <w:i/>
          <w:sz w:val="18"/>
          <w:szCs w:val="18"/>
        </w:rPr>
        <w:t>Médiévales</w:t>
      </w:r>
      <w:r w:rsidRPr="009A120F">
        <w:rPr>
          <w:rFonts w:ascii="Cambria" w:hAnsi="Cambria"/>
          <w:b w:val="0"/>
          <w:bCs/>
          <w:sz w:val="18"/>
          <w:szCs w:val="18"/>
        </w:rPr>
        <w:t xml:space="preserve">, 54 (2008). </w:t>
      </w:r>
    </w:p>
    <w:p w14:paraId="4558D91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Greilsammer, </w:t>
      </w:r>
      <w:r w:rsidRPr="009A120F">
        <w:rPr>
          <w:rFonts w:ascii="Cambria" w:hAnsi="Cambria"/>
          <w:b w:val="0"/>
          <w:bCs/>
          <w:i/>
          <w:iCs/>
          <w:sz w:val="18"/>
          <w:szCs w:val="18"/>
        </w:rPr>
        <w:t>L’envers du tableau. Mariage et maternité en Flandre médiévale</w:t>
      </w:r>
      <w:r w:rsidRPr="009A120F">
        <w:rPr>
          <w:rFonts w:ascii="Cambria" w:hAnsi="Cambria"/>
          <w:b w:val="0"/>
          <w:bCs/>
          <w:sz w:val="18"/>
          <w:szCs w:val="18"/>
        </w:rPr>
        <w:t xml:space="preserve">, Paris, A. Colin, 1990. </w:t>
      </w:r>
    </w:p>
    <w:p w14:paraId="7C8D4FCC"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J. Jasperse « Matilda, Leonor and Joanna : the Plantagenet sisters and the display of dynastic connections through material culture », </w:t>
      </w:r>
      <w:r w:rsidRPr="009A120F">
        <w:rPr>
          <w:rFonts w:ascii="Cambria" w:hAnsi="Cambria"/>
          <w:b w:val="0"/>
          <w:bCs/>
          <w:i/>
          <w:iCs/>
          <w:sz w:val="18"/>
          <w:szCs w:val="18"/>
          <w:lang w:val="en-US"/>
        </w:rPr>
        <w:t>Journal of Medieval History</w:t>
      </w:r>
      <w:r w:rsidRPr="009A120F">
        <w:rPr>
          <w:rFonts w:ascii="Cambria" w:hAnsi="Cambria"/>
          <w:b w:val="0"/>
          <w:bCs/>
          <w:sz w:val="18"/>
          <w:szCs w:val="18"/>
          <w:lang w:val="en-US"/>
        </w:rPr>
        <w:t>, 43/5 (2017), p. 523-547.</w:t>
      </w:r>
    </w:p>
    <w:p w14:paraId="543B3C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Lecuppre, « Jeanne de Flandre, traîtresse et parricide : thèmes radicaux d'une opposition politique », dans </w:t>
      </w:r>
      <w:r w:rsidRPr="009A120F">
        <w:rPr>
          <w:rFonts w:ascii="Cambria" w:hAnsi="Cambria"/>
          <w:b w:val="0"/>
          <w:bCs/>
          <w:i/>
          <w:iCs/>
          <w:sz w:val="18"/>
          <w:szCs w:val="18"/>
        </w:rPr>
        <w:t xml:space="preserve">Reines et princesses au Moyen Age, </w:t>
      </w:r>
      <w:r w:rsidRPr="009A120F">
        <w:rPr>
          <w:rFonts w:ascii="Cambria" w:hAnsi="Cambria"/>
          <w:b w:val="0"/>
          <w:bCs/>
          <w:sz w:val="18"/>
          <w:szCs w:val="18"/>
        </w:rPr>
        <w:t>Montpellier, 2001, p. 63-74.</w:t>
      </w:r>
    </w:p>
    <w:p w14:paraId="7F88CF1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Les pères et la paternité au Moyen Âge », dans </w:t>
      </w:r>
      <w:r w:rsidRPr="009A120F">
        <w:rPr>
          <w:rFonts w:ascii="Cambria" w:hAnsi="Cambria"/>
          <w:b w:val="0"/>
          <w:bCs/>
          <w:i/>
          <w:iCs/>
          <w:sz w:val="18"/>
          <w:szCs w:val="18"/>
        </w:rPr>
        <w:t xml:space="preserve">Histoire des pères et de la paternité, </w:t>
      </w:r>
      <w:r w:rsidRPr="009A120F">
        <w:rPr>
          <w:rFonts w:ascii="Cambria" w:hAnsi="Cambria"/>
          <w:b w:val="0"/>
          <w:bCs/>
          <w:sz w:val="18"/>
          <w:szCs w:val="18"/>
        </w:rPr>
        <w:t>J. Delumeau et D. Roche (dir.), Paris, p. 17-42.</w:t>
      </w:r>
    </w:p>
    <w:p w14:paraId="3E7ECFB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w:t>
      </w:r>
      <w:r w:rsidRPr="009A120F">
        <w:rPr>
          <w:rFonts w:ascii="Cambria" w:hAnsi="Cambria"/>
          <w:b w:val="0"/>
          <w:bCs/>
          <w:i/>
          <w:iCs/>
          <w:sz w:val="18"/>
          <w:szCs w:val="18"/>
        </w:rPr>
        <w:t>Histoire des frères et des sœurs</w:t>
      </w:r>
      <w:r w:rsidRPr="009A120F">
        <w:rPr>
          <w:rFonts w:ascii="Cambria" w:hAnsi="Cambria"/>
          <w:b w:val="0"/>
          <w:bCs/>
          <w:sz w:val="18"/>
          <w:szCs w:val="18"/>
        </w:rPr>
        <w:t xml:space="preserve">, Paris, 2004. </w:t>
      </w:r>
    </w:p>
    <w:p w14:paraId="21F2CE2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La sorella maggiore "madre sostitutiva" nei miracoli di san Luigi », dans </w:t>
      </w:r>
      <w:r w:rsidRPr="009A120F">
        <w:rPr>
          <w:rFonts w:ascii="Cambria" w:hAnsi="Cambria"/>
          <w:b w:val="0"/>
          <w:bCs/>
          <w:i/>
          <w:iCs/>
          <w:sz w:val="18"/>
          <w:szCs w:val="18"/>
        </w:rPr>
        <w:t xml:space="preserve">Fratello e sorella, </w:t>
      </w:r>
      <w:r w:rsidRPr="009A120F">
        <w:rPr>
          <w:rFonts w:ascii="Cambria" w:hAnsi="Cambria"/>
          <w:b w:val="0"/>
          <w:bCs/>
          <w:sz w:val="18"/>
          <w:szCs w:val="18"/>
        </w:rPr>
        <w:t xml:space="preserve">A. Arru, S. Boesch Gajano (dir.), </w:t>
      </w:r>
      <w:r w:rsidRPr="009A120F">
        <w:rPr>
          <w:rFonts w:ascii="Cambria" w:hAnsi="Cambria"/>
          <w:b w:val="0"/>
          <w:bCs/>
          <w:i/>
          <w:iCs/>
          <w:sz w:val="18"/>
          <w:szCs w:val="18"/>
        </w:rPr>
        <w:t xml:space="preserve">Quaderni Storici, </w:t>
      </w:r>
      <w:r w:rsidRPr="009A120F">
        <w:rPr>
          <w:rFonts w:ascii="Cambria" w:hAnsi="Cambria"/>
          <w:b w:val="0"/>
          <w:bCs/>
          <w:iCs/>
          <w:sz w:val="18"/>
          <w:szCs w:val="18"/>
        </w:rPr>
        <w:t>2</w:t>
      </w:r>
      <w:r w:rsidRPr="009A120F">
        <w:rPr>
          <w:rFonts w:ascii="Cambria" w:hAnsi="Cambria"/>
          <w:b w:val="0"/>
          <w:bCs/>
          <w:sz w:val="18"/>
          <w:szCs w:val="18"/>
        </w:rPr>
        <w:t xml:space="preserve"> (1993), p. 341-353.</w:t>
      </w:r>
    </w:p>
    <w:p w14:paraId="7ADCB7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L’expression du visage paternel. La ressemblance entre le père et le fils à la fin du Moyen Âge : un mode d'appropriation symbolique », dans </w:t>
      </w:r>
      <w:r w:rsidRPr="009A120F">
        <w:rPr>
          <w:rFonts w:ascii="Cambria" w:hAnsi="Cambria"/>
          <w:b w:val="0"/>
          <w:bCs/>
          <w:i/>
          <w:iCs/>
          <w:sz w:val="18"/>
          <w:szCs w:val="18"/>
        </w:rPr>
        <w:t xml:space="preserve">Être père à la fin du Moyen Âge, </w:t>
      </w:r>
      <w:r w:rsidRPr="009A120F">
        <w:rPr>
          <w:rFonts w:ascii="Cambria" w:hAnsi="Cambria"/>
          <w:b w:val="0"/>
          <w:bCs/>
          <w:sz w:val="18"/>
          <w:szCs w:val="18"/>
        </w:rPr>
        <w:t xml:space="preserve">D. Lett (dir.), </w:t>
      </w:r>
      <w:r w:rsidRPr="009A120F">
        <w:rPr>
          <w:rFonts w:ascii="Cambria" w:hAnsi="Cambria"/>
          <w:b w:val="0"/>
          <w:bCs/>
          <w:i/>
          <w:iCs/>
          <w:sz w:val="18"/>
          <w:szCs w:val="18"/>
        </w:rPr>
        <w:t>Cahiers de recherches médiévales</w:t>
      </w:r>
      <w:r w:rsidRPr="009A120F">
        <w:rPr>
          <w:rFonts w:ascii="Cambria" w:hAnsi="Cambria"/>
          <w:b w:val="0"/>
          <w:bCs/>
          <w:sz w:val="18"/>
          <w:szCs w:val="18"/>
        </w:rPr>
        <w:t>, 4 (1997).</w:t>
      </w:r>
    </w:p>
    <w:p w14:paraId="008599F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Vieux frères et oncles jeunes. Écart de générations et écarts d'âge dans les familles de la fin du Moyen Âge », dans </w:t>
      </w:r>
      <w:r w:rsidRPr="009A120F">
        <w:rPr>
          <w:rFonts w:ascii="Cambria" w:hAnsi="Cambria"/>
          <w:b w:val="0"/>
          <w:bCs/>
          <w:i/>
          <w:iCs/>
          <w:sz w:val="18"/>
          <w:szCs w:val="18"/>
        </w:rPr>
        <w:t xml:space="preserve">Lorsque l'Enfant grandit. Entre dépendance et autonomie, </w:t>
      </w:r>
      <w:r w:rsidRPr="009A120F">
        <w:rPr>
          <w:rFonts w:ascii="Cambria" w:hAnsi="Cambria"/>
          <w:b w:val="0"/>
          <w:bCs/>
          <w:sz w:val="18"/>
          <w:szCs w:val="18"/>
        </w:rPr>
        <w:t>J. P. Bardet, J. N. Luc, I. Robin-Romero et C. Rollet (dir.), Paris, 2003, p. 93-103.</w:t>
      </w:r>
    </w:p>
    <w:p w14:paraId="20711B29"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M.-Th. Lorcin, « Le couple privilégié mère-enfant dans les </w:t>
      </w:r>
      <w:r w:rsidRPr="009A120F">
        <w:rPr>
          <w:rFonts w:ascii="Cambria" w:hAnsi="Cambria"/>
          <w:b w:val="0"/>
          <w:bCs/>
          <w:i/>
          <w:sz w:val="18"/>
          <w:szCs w:val="18"/>
        </w:rPr>
        <w:t>Miracles de Notre-Dame</w:t>
      </w:r>
      <w:r w:rsidRPr="009A120F">
        <w:rPr>
          <w:rFonts w:ascii="Cambria" w:hAnsi="Cambria"/>
          <w:b w:val="0"/>
          <w:bCs/>
          <w:sz w:val="18"/>
          <w:szCs w:val="18"/>
        </w:rPr>
        <w:t xml:space="preserve"> de Chartres », </w:t>
      </w:r>
      <w:r w:rsidRPr="009A120F">
        <w:rPr>
          <w:rFonts w:ascii="Cambria" w:hAnsi="Cambria"/>
          <w:b w:val="0"/>
          <w:bCs/>
          <w:i/>
          <w:iCs/>
          <w:sz w:val="18"/>
          <w:szCs w:val="18"/>
        </w:rPr>
        <w:t xml:space="preserve">Médiévales, </w:t>
      </w:r>
      <w:r w:rsidRPr="009A120F">
        <w:rPr>
          <w:rFonts w:ascii="Cambria" w:hAnsi="Cambria"/>
          <w:b w:val="0"/>
          <w:bCs/>
          <w:sz w:val="18"/>
          <w:szCs w:val="18"/>
        </w:rPr>
        <w:t>19 (1990), p. 71-76.</w:t>
      </w:r>
    </w:p>
    <w:p w14:paraId="2E2BB9B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 xml:space="preserve">La parenté déchirée : les luttes intrafamiliales au Moyen Âge, </w:t>
      </w:r>
      <w:r w:rsidRPr="009A120F">
        <w:rPr>
          <w:rFonts w:ascii="Cambria" w:hAnsi="Cambria"/>
          <w:b w:val="0"/>
          <w:bCs/>
          <w:iCs/>
          <w:sz w:val="18"/>
          <w:szCs w:val="18"/>
        </w:rPr>
        <w:t>Turnhout, 2010.</w:t>
      </w:r>
    </w:p>
    <w:p w14:paraId="5E810500"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i/>
          <w:sz w:val="18"/>
          <w:szCs w:val="18"/>
          <w:lang w:val="en-US"/>
        </w:rPr>
        <w:t>La vengeance 400-1200</w:t>
      </w:r>
      <w:r w:rsidRPr="009A120F">
        <w:rPr>
          <w:rFonts w:ascii="Cambria" w:hAnsi="Cambria"/>
          <w:b w:val="0"/>
          <w:bCs/>
          <w:sz w:val="18"/>
          <w:szCs w:val="18"/>
          <w:lang w:val="en-US"/>
        </w:rPr>
        <w:t>, Rome, 2006.</w:t>
      </w:r>
    </w:p>
    <w:p w14:paraId="16A9ACD4"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sz w:val="18"/>
          <w:szCs w:val="18"/>
          <w:lang w:val="en-GB"/>
        </w:rPr>
        <w:t xml:space="preserve">S. </w:t>
      </w:r>
      <w:r w:rsidRPr="009A120F">
        <w:rPr>
          <w:rFonts w:ascii="Cambria" w:hAnsi="Cambria"/>
          <w:bCs/>
          <w:sz w:val="18"/>
          <w:szCs w:val="18"/>
          <w:lang w:val="de-DE"/>
        </w:rPr>
        <w:t>White</w:t>
      </w:r>
      <w:r w:rsidRPr="009A120F">
        <w:rPr>
          <w:rFonts w:ascii="Cambria" w:hAnsi="Cambria"/>
          <w:bCs/>
          <w:sz w:val="18"/>
          <w:szCs w:val="18"/>
          <w:lang w:val="en-GB"/>
        </w:rPr>
        <w:t xml:space="preserve">, </w:t>
      </w:r>
      <w:r w:rsidRPr="009A120F">
        <w:rPr>
          <w:rFonts w:ascii="Cambria" w:hAnsi="Cambria"/>
          <w:bCs/>
          <w:i/>
          <w:sz w:val="18"/>
          <w:szCs w:val="18"/>
          <w:lang w:val="en-GB"/>
        </w:rPr>
        <w:t xml:space="preserve">Custom, kinship an gifts to saints. The </w:t>
      </w:r>
      <w:r w:rsidRPr="009A120F">
        <w:rPr>
          <w:rFonts w:ascii="Cambria" w:hAnsi="Cambria"/>
          <w:bCs/>
          <w:sz w:val="18"/>
          <w:szCs w:val="18"/>
          <w:lang w:val="en-GB"/>
        </w:rPr>
        <w:t>laudatio parentum</w:t>
      </w:r>
      <w:r w:rsidRPr="009A120F">
        <w:rPr>
          <w:rFonts w:ascii="Cambria" w:hAnsi="Cambria"/>
          <w:bCs/>
          <w:i/>
          <w:sz w:val="18"/>
          <w:szCs w:val="18"/>
          <w:lang w:val="en-GB"/>
        </w:rPr>
        <w:t xml:space="preserve"> in western France, 1050-1150</w:t>
      </w:r>
      <w:r w:rsidRPr="009A120F">
        <w:rPr>
          <w:rFonts w:ascii="Cambria" w:hAnsi="Cambria"/>
          <w:bCs/>
          <w:sz w:val="18"/>
          <w:szCs w:val="18"/>
          <w:lang w:val="en-GB"/>
        </w:rPr>
        <w:t xml:space="preserve">, Chapell Hill et Londres, 1988. </w:t>
      </w:r>
    </w:p>
    <w:p w14:paraId="0657F851" w14:textId="77777777" w:rsidR="00F54175" w:rsidRPr="009A120F" w:rsidRDefault="00F54175" w:rsidP="00F54175">
      <w:pPr>
        <w:ind w:left="540" w:hanging="540"/>
        <w:jc w:val="both"/>
        <w:rPr>
          <w:rFonts w:ascii="Cambria" w:hAnsi="Cambria"/>
          <w:b w:val="0"/>
          <w:bCs/>
          <w:sz w:val="18"/>
          <w:szCs w:val="18"/>
          <w:lang w:val="en-US"/>
        </w:rPr>
      </w:pPr>
    </w:p>
    <w:p w14:paraId="77DDF0D9" w14:textId="77777777" w:rsidR="00F54175" w:rsidRPr="009A120F" w:rsidRDefault="00F54175" w:rsidP="00F54175">
      <w:pPr>
        <w:jc w:val="both"/>
        <w:rPr>
          <w:rFonts w:ascii="Cambria" w:hAnsi="Cambria"/>
          <w:b w:val="0"/>
          <w:bCs/>
          <w:i/>
          <w:sz w:val="18"/>
          <w:szCs w:val="18"/>
        </w:rPr>
      </w:pPr>
      <w:r w:rsidRPr="009A120F">
        <w:rPr>
          <w:rFonts w:ascii="Cambria" w:hAnsi="Cambria"/>
          <w:b w:val="0"/>
          <w:bCs/>
          <w:sz w:val="18"/>
          <w:szCs w:val="18"/>
        </w:rPr>
        <w:t>Parentés parallèles : adoption, vassalité, fidélité, confraternité</w:t>
      </w:r>
    </w:p>
    <w:p w14:paraId="186DA23B"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sz w:val="18"/>
          <w:szCs w:val="18"/>
        </w:rPr>
        <w:t>L’adoption au Moyen Âge</w:t>
      </w:r>
      <w:r w:rsidRPr="009A120F">
        <w:rPr>
          <w:rFonts w:ascii="Cambria" w:hAnsi="Cambria"/>
          <w:b w:val="0"/>
          <w:bCs/>
          <w:sz w:val="18"/>
          <w:szCs w:val="18"/>
        </w:rPr>
        <w:t xml:space="preserve">, </w:t>
      </w:r>
      <w:r w:rsidRPr="009A120F">
        <w:rPr>
          <w:rFonts w:ascii="Cambria" w:hAnsi="Cambria"/>
          <w:b w:val="0"/>
          <w:bCs/>
          <w:i/>
          <w:iCs/>
          <w:sz w:val="18"/>
          <w:szCs w:val="18"/>
        </w:rPr>
        <w:t xml:space="preserve">Médiévales, </w:t>
      </w:r>
      <w:r w:rsidRPr="009A120F">
        <w:rPr>
          <w:rFonts w:ascii="Cambria" w:hAnsi="Cambria"/>
          <w:b w:val="0"/>
          <w:bCs/>
          <w:iCs/>
          <w:sz w:val="18"/>
          <w:szCs w:val="18"/>
        </w:rPr>
        <w:t>35</w:t>
      </w:r>
      <w:r w:rsidRPr="009A120F">
        <w:rPr>
          <w:rFonts w:ascii="Cambria" w:hAnsi="Cambria"/>
          <w:b w:val="0"/>
          <w:bCs/>
          <w:sz w:val="18"/>
          <w:szCs w:val="18"/>
        </w:rPr>
        <w:t xml:space="preserve"> (1998).</w:t>
      </w:r>
    </w:p>
    <w:p w14:paraId="40F56C6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Adoption et "fosterage"</w:t>
      </w:r>
      <w:r w:rsidRPr="009A120F">
        <w:rPr>
          <w:rFonts w:ascii="Cambria" w:hAnsi="Cambria"/>
          <w:b w:val="0"/>
          <w:bCs/>
          <w:sz w:val="18"/>
          <w:szCs w:val="18"/>
        </w:rPr>
        <w:t>, Mireille Corbier (dir.), Paris, 2000.</w:t>
      </w:r>
    </w:p>
    <w:p w14:paraId="224C8363"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GB"/>
        </w:rPr>
        <w:t xml:space="preserve">G. Althoff, </w:t>
      </w:r>
      <w:r w:rsidRPr="009A120F">
        <w:rPr>
          <w:rFonts w:ascii="Cambria" w:hAnsi="Cambria"/>
          <w:b w:val="0"/>
          <w:bCs/>
          <w:i/>
          <w:sz w:val="18"/>
          <w:szCs w:val="18"/>
          <w:lang w:val="en-GB"/>
        </w:rPr>
        <w:t>Family, friends and followers. Political and social bonds in early medieval Europe</w:t>
      </w:r>
      <w:r w:rsidRPr="009A120F">
        <w:rPr>
          <w:rFonts w:ascii="Cambria" w:hAnsi="Cambria"/>
          <w:b w:val="0"/>
          <w:bCs/>
          <w:sz w:val="18"/>
          <w:szCs w:val="18"/>
          <w:lang w:val="en-GB"/>
        </w:rPr>
        <w:t>, Cambridge, Cambridge University Press, 2004.</w:t>
      </w:r>
    </w:p>
    <w:p w14:paraId="6C5929E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it-IT"/>
        </w:rPr>
        <w:t xml:space="preserve">H. </w:t>
      </w:r>
      <w:r w:rsidRPr="009A120F">
        <w:rPr>
          <w:rFonts w:ascii="Cambria" w:hAnsi="Cambria"/>
          <w:b w:val="0"/>
          <w:bCs/>
          <w:sz w:val="18"/>
          <w:szCs w:val="18"/>
        </w:rPr>
        <w:t>Débax</w:t>
      </w:r>
      <w:r w:rsidRPr="009A120F">
        <w:rPr>
          <w:rFonts w:ascii="Cambria" w:hAnsi="Cambria"/>
          <w:b w:val="0"/>
          <w:bCs/>
          <w:sz w:val="18"/>
          <w:szCs w:val="18"/>
          <w:lang w:val="it-IT"/>
        </w:rPr>
        <w:t xml:space="preserve">, </w:t>
      </w:r>
      <w:r w:rsidRPr="009A120F">
        <w:rPr>
          <w:rFonts w:ascii="Cambria" w:hAnsi="Cambria"/>
          <w:b w:val="0"/>
          <w:bCs/>
          <w:i/>
          <w:sz w:val="18"/>
          <w:szCs w:val="18"/>
        </w:rPr>
        <w:t>La féodalité languedocienne, XI</w:t>
      </w:r>
      <w:r w:rsidRPr="009A120F">
        <w:rPr>
          <w:rFonts w:ascii="Cambria" w:hAnsi="Cambria"/>
          <w:b w:val="0"/>
          <w:bCs/>
          <w:i/>
          <w:sz w:val="18"/>
          <w:szCs w:val="18"/>
          <w:vertAlign w:val="superscript"/>
        </w:rPr>
        <w:t>e</w:t>
      </w:r>
      <w:r w:rsidRPr="009A120F">
        <w:rPr>
          <w:rFonts w:ascii="Cambria" w:hAnsi="Cambria"/>
          <w:b w:val="0"/>
          <w:bCs/>
          <w:i/>
          <w:sz w:val="18"/>
          <w:szCs w:val="18"/>
        </w:rPr>
        <w:t>-XII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 Serments, hommages et fiefs dans le Languedoc des Trencavel</w:t>
      </w:r>
      <w:r w:rsidRPr="009A120F">
        <w:rPr>
          <w:rFonts w:ascii="Cambria" w:hAnsi="Cambria"/>
          <w:b w:val="0"/>
          <w:bCs/>
          <w:sz w:val="18"/>
          <w:szCs w:val="18"/>
        </w:rPr>
        <w:t xml:space="preserve">, </w:t>
      </w:r>
      <w:r w:rsidRPr="009A120F">
        <w:rPr>
          <w:rFonts w:ascii="Cambria" w:hAnsi="Cambria"/>
          <w:b w:val="0"/>
          <w:bCs/>
          <w:sz w:val="18"/>
          <w:szCs w:val="18"/>
          <w:lang w:val="it-IT"/>
        </w:rPr>
        <w:t>Toulouse, PUM, 2003.</w:t>
      </w:r>
    </w:p>
    <w:p w14:paraId="33A8906E"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H. </w:t>
      </w:r>
      <w:r w:rsidRPr="009A120F">
        <w:rPr>
          <w:rFonts w:ascii="Cambria" w:hAnsi="Cambria"/>
          <w:bCs/>
          <w:sz w:val="18"/>
          <w:szCs w:val="18"/>
          <w:lang w:val="it-IT"/>
        </w:rPr>
        <w:t>Débax</w:t>
      </w:r>
      <w:r w:rsidRPr="009A120F">
        <w:rPr>
          <w:rFonts w:ascii="Cambria" w:hAnsi="Cambria"/>
          <w:bCs/>
          <w:sz w:val="18"/>
          <w:szCs w:val="18"/>
        </w:rPr>
        <w:t>, « Le serrement des mains. Éléments pour une analyse du rituel des serments féodaux en Languedoc et en Provence (XI</w:t>
      </w:r>
      <w:r w:rsidRPr="009A120F">
        <w:rPr>
          <w:rFonts w:ascii="Cambria" w:hAnsi="Cambria"/>
          <w:bCs/>
          <w:iCs/>
          <w:sz w:val="18"/>
          <w:szCs w:val="18"/>
          <w:vertAlign w:val="superscript"/>
        </w:rPr>
        <w:t>e</w:t>
      </w:r>
      <w:r w:rsidRPr="009A120F">
        <w:rPr>
          <w:rFonts w:ascii="Cambria" w:hAnsi="Cambria"/>
          <w:bCs/>
          <w:sz w:val="18"/>
          <w:szCs w:val="18"/>
        </w:rPr>
        <w:t>-XII</w:t>
      </w:r>
      <w:r w:rsidRPr="009A120F">
        <w:rPr>
          <w:rFonts w:ascii="Cambria" w:hAnsi="Cambria"/>
          <w:bCs/>
          <w:iCs/>
          <w:sz w:val="18"/>
          <w:szCs w:val="18"/>
          <w:vertAlign w:val="superscript"/>
        </w:rPr>
        <w:t>e</w:t>
      </w:r>
      <w:r w:rsidRPr="009A120F">
        <w:rPr>
          <w:rFonts w:ascii="Cambria" w:hAnsi="Cambria"/>
          <w:bCs/>
          <w:sz w:val="18"/>
          <w:szCs w:val="18"/>
        </w:rPr>
        <w:t xml:space="preserve"> siècles) », </w:t>
      </w:r>
      <w:r w:rsidRPr="009A120F">
        <w:rPr>
          <w:rFonts w:ascii="Cambria" w:hAnsi="Cambria"/>
          <w:bCs/>
          <w:i/>
          <w:sz w:val="18"/>
          <w:szCs w:val="18"/>
          <w:lang w:val="it-IT"/>
        </w:rPr>
        <w:t>Le Moyen Âge</w:t>
      </w:r>
      <w:r w:rsidRPr="009A120F">
        <w:rPr>
          <w:rFonts w:ascii="Cambria" w:hAnsi="Cambria"/>
          <w:bCs/>
          <w:sz w:val="18"/>
          <w:szCs w:val="18"/>
        </w:rPr>
        <w:t xml:space="preserve">, 2007, p. 9-23. </w:t>
      </w:r>
    </w:p>
    <w:p w14:paraId="64B990D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Les trois ordres ou l’imaginaire du féodalisme</w:t>
      </w:r>
      <w:r w:rsidRPr="009A120F">
        <w:rPr>
          <w:rFonts w:ascii="Cambria" w:hAnsi="Cambria"/>
          <w:b w:val="0"/>
          <w:bCs/>
          <w:sz w:val="18"/>
          <w:szCs w:val="18"/>
        </w:rPr>
        <w:t>, Paris, 1978, p. 317-323.</w:t>
      </w:r>
    </w:p>
    <w:p w14:paraId="3DF59F5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Guerreau-Jalabert, « Aliments symboliques et symbolique de la table dans les romans arthuriens », </w:t>
      </w:r>
      <w:r w:rsidRPr="009A120F">
        <w:rPr>
          <w:rFonts w:ascii="Cambria" w:hAnsi="Cambria"/>
          <w:b w:val="0"/>
          <w:bCs/>
          <w:i/>
          <w:sz w:val="18"/>
          <w:szCs w:val="18"/>
        </w:rPr>
        <w:t>Annales ESC</w:t>
      </w:r>
      <w:r w:rsidRPr="009A120F">
        <w:rPr>
          <w:rFonts w:ascii="Cambria" w:hAnsi="Cambria"/>
          <w:b w:val="0"/>
          <w:bCs/>
          <w:sz w:val="18"/>
          <w:szCs w:val="18"/>
        </w:rPr>
        <w:t xml:space="preserve"> 1992, p. 561-594</w:t>
      </w:r>
    </w:p>
    <w:p w14:paraId="12EF4273"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sz w:val="18"/>
          <w:szCs w:val="18"/>
        </w:rPr>
        <w:t>W. Hartmann, « </w:t>
      </w:r>
      <w:r w:rsidRPr="009A120F">
        <w:rPr>
          <w:rFonts w:ascii="Cambria" w:hAnsi="Cambria"/>
          <w:bCs/>
          <w:i/>
          <w:sz w:val="18"/>
          <w:szCs w:val="18"/>
        </w:rPr>
        <w:t>Discipulus non est super magistrum</w:t>
      </w:r>
      <w:r w:rsidRPr="009A120F">
        <w:rPr>
          <w:rFonts w:ascii="Cambria" w:hAnsi="Cambria"/>
          <w:bCs/>
          <w:sz w:val="18"/>
          <w:szCs w:val="18"/>
        </w:rPr>
        <w:t xml:space="preserve"> (Matth. </w:t>
      </w:r>
      <w:r w:rsidRPr="009A120F">
        <w:rPr>
          <w:rFonts w:ascii="Cambria" w:hAnsi="Cambria"/>
          <w:bCs/>
          <w:sz w:val="18"/>
          <w:szCs w:val="18"/>
          <w:lang w:val="de-DE"/>
        </w:rPr>
        <w:t xml:space="preserve">10, 24). Zur Rolle der Laien und der niederen Kleriker im Investiturstreit », dans </w:t>
      </w:r>
      <w:r w:rsidRPr="009A120F">
        <w:rPr>
          <w:rFonts w:ascii="Cambria" w:hAnsi="Cambria"/>
          <w:bCs/>
          <w:i/>
          <w:sz w:val="18"/>
          <w:szCs w:val="18"/>
          <w:lang w:val="de-DE"/>
        </w:rPr>
        <w:t>Papsttum, Kirche und Recht im Mittelalter. Festschrift für Horst Fuhrmann zum 65. Geburtstag</w:t>
      </w:r>
      <w:r w:rsidRPr="009A120F">
        <w:rPr>
          <w:rFonts w:ascii="Cambria" w:hAnsi="Cambria"/>
          <w:bCs/>
          <w:sz w:val="18"/>
          <w:szCs w:val="18"/>
          <w:lang w:val="de-DE"/>
        </w:rPr>
        <w:t>, H. Mordek (dir.), Tübingen, 1991, p. 187-200.</w:t>
      </w:r>
    </w:p>
    <w:p w14:paraId="7FD4E7D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en-US"/>
        </w:rPr>
        <w:t>M. Heinzelmann, « </w:t>
      </w:r>
      <w:r w:rsidRPr="009A120F">
        <w:rPr>
          <w:rFonts w:ascii="Cambria" w:hAnsi="Cambria"/>
          <w:b w:val="0"/>
          <w:bCs/>
          <w:i/>
          <w:sz w:val="18"/>
          <w:szCs w:val="18"/>
          <w:lang w:val="en-US"/>
        </w:rPr>
        <w:t>Pater populi</w:t>
      </w:r>
      <w:r w:rsidRPr="009A120F">
        <w:rPr>
          <w:rFonts w:ascii="Cambria" w:hAnsi="Cambria"/>
          <w:b w:val="0"/>
          <w:bCs/>
          <w:sz w:val="18"/>
          <w:szCs w:val="18"/>
          <w:lang w:val="en-US"/>
        </w:rPr>
        <w:t xml:space="preserve">. </w:t>
      </w:r>
      <w:r w:rsidRPr="009A120F">
        <w:rPr>
          <w:rFonts w:ascii="Cambria" w:hAnsi="Cambria"/>
          <w:b w:val="0"/>
          <w:bCs/>
          <w:sz w:val="18"/>
          <w:szCs w:val="18"/>
        </w:rPr>
        <w:t xml:space="preserve">Langage familial et détention du pouvoir public (Antiquité tardive et très haut Moyen Âge) », dans </w:t>
      </w:r>
      <w:r w:rsidRPr="009A120F">
        <w:rPr>
          <w:rFonts w:ascii="Cambria" w:hAnsi="Cambria"/>
          <w:b w:val="0"/>
          <w:bCs/>
          <w:i/>
          <w:sz w:val="18"/>
          <w:szCs w:val="18"/>
        </w:rPr>
        <w:t>Aux sources de la puissance : sociabilité et parenté</w:t>
      </w:r>
      <w:r w:rsidRPr="009A120F">
        <w:rPr>
          <w:rFonts w:ascii="Cambria" w:hAnsi="Cambria"/>
          <w:b w:val="0"/>
          <w:bCs/>
          <w:sz w:val="18"/>
          <w:szCs w:val="18"/>
        </w:rPr>
        <w:t xml:space="preserve">, Rouen, 1989. </w:t>
      </w:r>
    </w:p>
    <w:p w14:paraId="25CE96BF" w14:textId="77777777" w:rsidR="00F54175" w:rsidRPr="009A120F" w:rsidRDefault="00F54175" w:rsidP="00F54175">
      <w:pPr>
        <w:ind w:left="540" w:hanging="540"/>
        <w:jc w:val="both"/>
        <w:rPr>
          <w:rFonts w:ascii="Cambria" w:hAnsi="Cambria"/>
          <w:b w:val="0"/>
          <w:bCs/>
          <w:sz w:val="18"/>
          <w:szCs w:val="18"/>
          <w:lang w:val="de-DE"/>
        </w:rPr>
      </w:pPr>
      <w:r w:rsidRPr="009A120F">
        <w:rPr>
          <w:rFonts w:ascii="Cambria" w:hAnsi="Cambria"/>
          <w:b w:val="0"/>
          <w:bCs/>
          <w:sz w:val="18"/>
          <w:szCs w:val="18"/>
          <w:lang w:val="en-GB"/>
        </w:rPr>
        <w:t xml:space="preserve">B. Jussen, </w:t>
      </w:r>
      <w:r w:rsidRPr="009A120F">
        <w:rPr>
          <w:rFonts w:ascii="Cambria" w:hAnsi="Cambria"/>
          <w:b w:val="0"/>
          <w:bCs/>
          <w:i/>
          <w:sz w:val="18"/>
          <w:szCs w:val="18"/>
          <w:lang w:val="en-GB"/>
        </w:rPr>
        <w:t>Parenschaft und Adoption im frühen Mittelalter</w:t>
      </w:r>
      <w:r w:rsidRPr="009A120F">
        <w:rPr>
          <w:rFonts w:ascii="Cambria" w:hAnsi="Cambria"/>
          <w:b w:val="0"/>
          <w:bCs/>
          <w:sz w:val="18"/>
          <w:szCs w:val="18"/>
          <w:lang w:val="en-GB"/>
        </w:rPr>
        <w:t xml:space="preserve">, Göttingen, 1991. </w:t>
      </w:r>
    </w:p>
    <w:p w14:paraId="0179D21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lang w:val="de-DE"/>
        </w:rPr>
        <w:t xml:space="preserve">J. </w:t>
      </w:r>
      <w:r w:rsidRPr="009A120F">
        <w:rPr>
          <w:rFonts w:ascii="Cambria" w:hAnsi="Cambria"/>
          <w:bCs/>
          <w:sz w:val="18"/>
          <w:szCs w:val="18"/>
          <w:lang w:val="it-IT"/>
        </w:rPr>
        <w:t>Le Goff</w:t>
      </w:r>
      <w:r w:rsidRPr="009A120F">
        <w:rPr>
          <w:rFonts w:ascii="Cambria" w:hAnsi="Cambria"/>
          <w:bCs/>
          <w:sz w:val="18"/>
          <w:szCs w:val="18"/>
          <w:lang w:val="de-DE"/>
        </w:rPr>
        <w:t xml:space="preserve">, </w:t>
      </w:r>
      <w:r w:rsidRPr="009A120F">
        <w:rPr>
          <w:rFonts w:ascii="Cambria" w:hAnsi="Cambria"/>
          <w:bCs/>
          <w:sz w:val="18"/>
          <w:szCs w:val="18"/>
        </w:rPr>
        <w:t>« </w:t>
      </w:r>
      <w:r w:rsidRPr="009A120F">
        <w:rPr>
          <w:rFonts w:ascii="Cambria" w:hAnsi="Cambria"/>
          <w:bCs/>
          <w:sz w:val="18"/>
          <w:szCs w:val="18"/>
          <w:lang w:val="de-DE"/>
        </w:rPr>
        <w:t xml:space="preserve">Le rituel symbolique de la vassalité </w:t>
      </w:r>
      <w:r w:rsidRPr="009A120F">
        <w:rPr>
          <w:rFonts w:ascii="Cambria" w:hAnsi="Cambria"/>
          <w:bCs/>
          <w:sz w:val="18"/>
          <w:szCs w:val="18"/>
        </w:rPr>
        <w:t>»</w:t>
      </w:r>
      <w:r w:rsidRPr="009A120F">
        <w:rPr>
          <w:rFonts w:ascii="Cambria" w:hAnsi="Cambria"/>
          <w:bCs/>
          <w:sz w:val="18"/>
          <w:szCs w:val="18"/>
          <w:lang w:val="de-DE"/>
        </w:rPr>
        <w:t xml:space="preserve">, dans </w:t>
      </w:r>
      <w:r w:rsidRPr="009A120F">
        <w:rPr>
          <w:rFonts w:ascii="Cambria" w:hAnsi="Cambria"/>
          <w:bCs/>
          <w:i/>
          <w:sz w:val="18"/>
          <w:szCs w:val="18"/>
          <w:lang w:val="it-IT"/>
        </w:rPr>
        <w:t>id</w:t>
      </w:r>
      <w:r w:rsidRPr="009A120F">
        <w:rPr>
          <w:rFonts w:ascii="Cambria" w:hAnsi="Cambria"/>
          <w:bCs/>
          <w:sz w:val="18"/>
          <w:szCs w:val="18"/>
          <w:lang w:val="de-DE"/>
        </w:rPr>
        <w:t xml:space="preserve">., </w:t>
      </w:r>
      <w:r w:rsidRPr="009A120F">
        <w:rPr>
          <w:rFonts w:ascii="Cambria" w:hAnsi="Cambria"/>
          <w:bCs/>
          <w:i/>
          <w:sz w:val="18"/>
          <w:szCs w:val="18"/>
          <w:lang w:val="it-IT"/>
        </w:rPr>
        <w:t>Pour un autre Moyen Âge</w:t>
      </w:r>
      <w:r w:rsidRPr="009A120F">
        <w:rPr>
          <w:rFonts w:ascii="Cambria" w:hAnsi="Cambria"/>
          <w:bCs/>
          <w:sz w:val="18"/>
          <w:szCs w:val="18"/>
          <w:lang w:val="de-DE"/>
        </w:rPr>
        <w:t>, Paris, 1977, p. 349-420.</w:t>
      </w:r>
    </w:p>
    <w:p w14:paraId="397C7DE3"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iCs/>
          <w:sz w:val="18"/>
          <w:szCs w:val="18"/>
        </w:rPr>
        <w:t>Le mouvement confraternel au Moyen Âge (France, Suisse, Italie),</w:t>
      </w:r>
      <w:r w:rsidRPr="009A120F">
        <w:rPr>
          <w:rFonts w:ascii="Cambria" w:hAnsi="Cambria"/>
          <w:b w:val="0"/>
          <w:bCs/>
          <w:sz w:val="18"/>
          <w:szCs w:val="18"/>
        </w:rPr>
        <w:t xml:space="preserve"> Rome, 1987. </w:t>
      </w:r>
    </w:p>
    <w:p w14:paraId="77F651A4"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GB"/>
        </w:rPr>
        <w:t>T. Reuter, « </w:t>
      </w:r>
      <w:r w:rsidRPr="009A120F">
        <w:rPr>
          <w:rFonts w:ascii="Cambria" w:hAnsi="Cambria"/>
          <w:bCs/>
          <w:i/>
          <w:sz w:val="18"/>
          <w:szCs w:val="18"/>
          <w:lang w:val="en-GB"/>
        </w:rPr>
        <w:t>Filii matris nostrae pugnant adversum nos</w:t>
      </w:r>
      <w:r w:rsidRPr="009A120F">
        <w:rPr>
          <w:rFonts w:ascii="Cambria" w:hAnsi="Cambria"/>
          <w:bCs/>
          <w:sz w:val="18"/>
          <w:szCs w:val="18"/>
          <w:lang w:val="en-GB"/>
        </w:rPr>
        <w:t xml:space="preserve"> : Bonds and Tensions between Prelates and their </w:t>
      </w:r>
      <w:r w:rsidRPr="009A120F">
        <w:rPr>
          <w:rFonts w:ascii="Cambria" w:hAnsi="Cambria"/>
          <w:bCs/>
          <w:i/>
          <w:sz w:val="18"/>
          <w:szCs w:val="18"/>
          <w:lang w:val="en-GB"/>
        </w:rPr>
        <w:t>milites</w:t>
      </w:r>
      <w:r w:rsidRPr="009A120F">
        <w:rPr>
          <w:rFonts w:ascii="Cambria" w:hAnsi="Cambria"/>
          <w:bCs/>
          <w:sz w:val="18"/>
          <w:szCs w:val="18"/>
          <w:lang w:val="en-GB"/>
        </w:rPr>
        <w:t xml:space="preserve"> in the German High Middle Ages », dans </w:t>
      </w:r>
      <w:r w:rsidRPr="009A120F">
        <w:rPr>
          <w:rFonts w:ascii="Cambria" w:hAnsi="Cambria"/>
          <w:bCs/>
          <w:i/>
          <w:sz w:val="18"/>
          <w:szCs w:val="18"/>
          <w:lang w:val="en-GB"/>
        </w:rPr>
        <w:t>Chiesa e mondo feudale nei secoli X-XII</w:t>
      </w:r>
      <w:r w:rsidRPr="009A120F">
        <w:rPr>
          <w:rFonts w:ascii="Cambria" w:hAnsi="Cambria"/>
          <w:bCs/>
          <w:sz w:val="18"/>
          <w:szCs w:val="18"/>
          <w:lang w:val="en-GB"/>
        </w:rPr>
        <w:t>, Milan, 1995, p. 247-276.</w:t>
      </w:r>
    </w:p>
    <w:p w14:paraId="3FA706A0"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F. Roumy, </w:t>
      </w:r>
      <w:r w:rsidRPr="009A120F">
        <w:rPr>
          <w:rFonts w:ascii="Cambria" w:hAnsi="Cambria"/>
          <w:bCs/>
          <w:i/>
          <w:sz w:val="18"/>
          <w:szCs w:val="18"/>
        </w:rPr>
        <w:t>L’adoption dans le droit savant du XII</w:t>
      </w:r>
      <w:r w:rsidRPr="009A120F">
        <w:rPr>
          <w:rFonts w:ascii="Cambria" w:hAnsi="Cambria"/>
          <w:bCs/>
          <w:i/>
          <w:sz w:val="18"/>
          <w:szCs w:val="18"/>
          <w:vertAlign w:val="superscript"/>
        </w:rPr>
        <w:t>e</w:t>
      </w:r>
      <w:r w:rsidRPr="009A120F">
        <w:rPr>
          <w:rFonts w:ascii="Cambria" w:hAnsi="Cambria"/>
          <w:bCs/>
          <w:i/>
          <w:sz w:val="18"/>
          <w:szCs w:val="18"/>
        </w:rPr>
        <w:t xml:space="preserve"> au XVI</w:t>
      </w:r>
      <w:r w:rsidRPr="009A120F">
        <w:rPr>
          <w:rFonts w:ascii="Cambria" w:hAnsi="Cambria"/>
          <w:bCs/>
          <w:i/>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Paris, 1998.</w:t>
      </w:r>
    </w:p>
    <w:p w14:paraId="05B60052"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US"/>
        </w:rPr>
        <w:t xml:space="preserve">H. Tanner, </w:t>
      </w:r>
      <w:r w:rsidRPr="009A120F">
        <w:rPr>
          <w:rFonts w:ascii="Cambria" w:hAnsi="Cambria"/>
          <w:bCs/>
          <w:i/>
          <w:iCs/>
          <w:sz w:val="18"/>
          <w:szCs w:val="18"/>
          <w:lang w:val="en-US"/>
        </w:rPr>
        <w:t>Families, firends and Allies : Boulogne and Politics in Northern France and England c. 879-1660</w:t>
      </w:r>
      <w:r w:rsidRPr="009A120F">
        <w:rPr>
          <w:rFonts w:ascii="Cambria" w:hAnsi="Cambria"/>
          <w:bCs/>
          <w:sz w:val="18"/>
          <w:szCs w:val="18"/>
          <w:lang w:val="en-US"/>
        </w:rPr>
        <w:t>, La Haye, 2004.</w:t>
      </w:r>
    </w:p>
    <w:p w14:paraId="016B5938" w14:textId="741EC18C"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C. Vincent, </w:t>
      </w:r>
      <w:r w:rsidRPr="009A120F">
        <w:rPr>
          <w:rFonts w:ascii="Cambria" w:hAnsi="Cambria"/>
          <w:b w:val="0"/>
          <w:bCs/>
          <w:i/>
          <w:sz w:val="18"/>
          <w:szCs w:val="18"/>
        </w:rPr>
        <w:t>Les confréries médiévales dans le royaume de France, XIII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xml:space="preserve">, Paris, 1994. </w:t>
      </w:r>
    </w:p>
    <w:p w14:paraId="0E4A58F8"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Virginité, chasteté, célibat</w:t>
      </w:r>
    </w:p>
    <w:p w14:paraId="5543C83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Brown, </w:t>
      </w:r>
      <w:r w:rsidRPr="009A120F">
        <w:rPr>
          <w:rFonts w:ascii="Cambria" w:hAnsi="Cambria"/>
          <w:b w:val="0"/>
          <w:bCs/>
          <w:i/>
          <w:sz w:val="18"/>
          <w:szCs w:val="18"/>
        </w:rPr>
        <w:t>Le renoncement à la chair. Virginité, célibat et continence dans le christianisme primitif</w:t>
      </w:r>
      <w:r w:rsidRPr="009A120F">
        <w:rPr>
          <w:rFonts w:ascii="Cambria" w:hAnsi="Cambria"/>
          <w:b w:val="0"/>
          <w:bCs/>
          <w:sz w:val="18"/>
          <w:szCs w:val="18"/>
        </w:rPr>
        <w:t>, Paris, 1995.</w:t>
      </w:r>
    </w:p>
    <w:p w14:paraId="2465763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Le dur apprentissage de la virginité : Cluny,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P. Henriet et A.-M. Legras (dir.), </w:t>
      </w:r>
      <w:r w:rsidRPr="009A120F">
        <w:rPr>
          <w:rFonts w:ascii="Cambria" w:hAnsi="Cambria"/>
          <w:b w:val="0"/>
          <w:bCs/>
          <w:i/>
          <w:sz w:val="18"/>
          <w:szCs w:val="18"/>
        </w:rPr>
        <w:t>Au cloître et dans le monde : femmes, hommes et société</w:t>
      </w:r>
      <w:r w:rsidRPr="009A120F">
        <w:rPr>
          <w:rFonts w:ascii="Cambria" w:hAnsi="Cambria"/>
          <w:b w:val="0"/>
          <w:bCs/>
          <w:sz w:val="18"/>
          <w:szCs w:val="18"/>
        </w:rPr>
        <w:t>, Paris, 2000, p. 119-132.</w:t>
      </w:r>
    </w:p>
    <w:p w14:paraId="6375A21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Peut-on parler de noviciat à Cluny pour les X</w:t>
      </w:r>
      <w:r w:rsidRPr="009A120F">
        <w:rPr>
          <w:rFonts w:ascii="Cambria" w:hAnsi="Cambria"/>
          <w:b w:val="0"/>
          <w:bCs/>
          <w:sz w:val="18"/>
          <w:szCs w:val="18"/>
          <w:vertAlign w:val="superscript"/>
        </w:rPr>
        <w:t>e</w:t>
      </w:r>
      <w:r w:rsidRPr="009A120F">
        <w:rPr>
          <w:rFonts w:ascii="Cambria" w:hAnsi="Cambria"/>
          <w:b w:val="0"/>
          <w:bCs/>
          <w:sz w:val="18"/>
          <w:szCs w:val="18"/>
        </w:rPr>
        <w:t xml:space="preserve"> et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 </w:t>
      </w:r>
      <w:r w:rsidRPr="009A120F">
        <w:rPr>
          <w:rFonts w:ascii="Cambria" w:hAnsi="Cambria"/>
          <w:b w:val="0"/>
          <w:bCs/>
          <w:i/>
          <w:sz w:val="18"/>
          <w:szCs w:val="18"/>
        </w:rPr>
        <w:t>Revue Mabillon</w:t>
      </w:r>
      <w:r w:rsidRPr="009A120F">
        <w:rPr>
          <w:rFonts w:ascii="Cambria" w:hAnsi="Cambria"/>
          <w:b w:val="0"/>
          <w:bCs/>
          <w:sz w:val="18"/>
          <w:szCs w:val="18"/>
        </w:rPr>
        <w:t>, 70 (1998), p. 17-52.</w:t>
      </w:r>
    </w:p>
    <w:p w14:paraId="32D7C1A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Etude sur les hiérarchies monastiques : le prestige de l’ancienneté et son éclipse à Cluny au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w:t>
      </w:r>
      <w:r w:rsidRPr="009A120F">
        <w:rPr>
          <w:rFonts w:ascii="Cambria" w:hAnsi="Cambria"/>
          <w:b w:val="0"/>
          <w:bCs/>
          <w:i/>
          <w:sz w:val="18"/>
          <w:szCs w:val="18"/>
        </w:rPr>
        <w:t>Revue Mabillon</w:t>
      </w:r>
      <w:r w:rsidRPr="009A120F">
        <w:rPr>
          <w:rFonts w:ascii="Cambria" w:hAnsi="Cambria"/>
          <w:b w:val="0"/>
          <w:bCs/>
          <w:sz w:val="18"/>
          <w:szCs w:val="18"/>
        </w:rPr>
        <w:t>, 72, 2000, p. 5-37.</w:t>
      </w:r>
    </w:p>
    <w:p w14:paraId="1A2C8B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G. Constable, « </w:t>
      </w:r>
      <w:r w:rsidRPr="009A120F">
        <w:rPr>
          <w:rFonts w:ascii="Cambria" w:hAnsi="Cambria"/>
          <w:b w:val="0"/>
          <w:bCs/>
          <w:i/>
          <w:sz w:val="18"/>
          <w:szCs w:val="18"/>
        </w:rPr>
        <w:t>Seniores et pueri</w:t>
      </w:r>
      <w:r w:rsidRPr="009A120F">
        <w:rPr>
          <w:rFonts w:ascii="Cambria" w:hAnsi="Cambria"/>
          <w:b w:val="0"/>
          <w:bCs/>
          <w:sz w:val="18"/>
          <w:szCs w:val="18"/>
        </w:rPr>
        <w:t xml:space="preserve"> à Cluny aux X</w:t>
      </w:r>
      <w:r w:rsidRPr="009A120F">
        <w:rPr>
          <w:rFonts w:ascii="Cambria" w:hAnsi="Cambria"/>
          <w:b w:val="0"/>
          <w:bCs/>
          <w:sz w:val="18"/>
          <w:szCs w:val="18"/>
          <w:vertAlign w:val="superscript"/>
        </w:rPr>
        <w:t xml:space="preserve">e </w:t>
      </w:r>
      <w:r w:rsidRPr="009A120F">
        <w:rPr>
          <w:rFonts w:ascii="Cambria" w:hAnsi="Cambria"/>
          <w:b w:val="0"/>
          <w:bCs/>
          <w:sz w:val="18"/>
          <w:szCs w:val="18"/>
        </w:rPr>
        <w:t>et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sz w:val="18"/>
          <w:szCs w:val="18"/>
        </w:rPr>
        <w:t>Histoire et société.</w:t>
      </w:r>
      <w:r w:rsidRPr="009A120F">
        <w:rPr>
          <w:rFonts w:ascii="Cambria" w:hAnsi="Cambria"/>
          <w:b w:val="0"/>
          <w:bCs/>
          <w:sz w:val="18"/>
          <w:szCs w:val="18"/>
        </w:rPr>
        <w:t xml:space="preserve"> </w:t>
      </w:r>
      <w:r w:rsidRPr="009A120F">
        <w:rPr>
          <w:rFonts w:ascii="Cambria" w:hAnsi="Cambria"/>
          <w:b w:val="0"/>
          <w:bCs/>
          <w:i/>
          <w:sz w:val="18"/>
          <w:szCs w:val="18"/>
        </w:rPr>
        <w:t>Mélanges offerts à Georges Duby</w:t>
      </w:r>
      <w:r w:rsidRPr="009A120F">
        <w:rPr>
          <w:rFonts w:ascii="Cambria" w:hAnsi="Cambria"/>
          <w:b w:val="0"/>
          <w:bCs/>
          <w:sz w:val="18"/>
          <w:szCs w:val="18"/>
        </w:rPr>
        <w:t xml:space="preserve">, vol. 3, p. 17-24. </w:t>
      </w:r>
    </w:p>
    <w:p w14:paraId="39EC5ADD"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J. Gaudemet, « Le célibat ecclésiastique. Le droit et la pratique du XI</w:t>
      </w:r>
      <w:r w:rsidRPr="009A120F">
        <w:rPr>
          <w:rFonts w:ascii="Cambria" w:hAnsi="Cambria"/>
          <w:bCs/>
          <w:sz w:val="18"/>
          <w:szCs w:val="18"/>
          <w:vertAlign w:val="superscript"/>
        </w:rPr>
        <w:t>e</w:t>
      </w:r>
      <w:r w:rsidRPr="009A120F">
        <w:rPr>
          <w:rFonts w:ascii="Cambria" w:hAnsi="Cambria"/>
          <w:bCs/>
          <w:sz w:val="18"/>
          <w:szCs w:val="18"/>
        </w:rPr>
        <w:t xml:space="preserve"> au XIII</w:t>
      </w:r>
      <w:r w:rsidRPr="009A120F">
        <w:rPr>
          <w:rFonts w:ascii="Cambria" w:hAnsi="Cambria"/>
          <w:bCs/>
          <w:sz w:val="18"/>
          <w:szCs w:val="18"/>
          <w:vertAlign w:val="superscript"/>
        </w:rPr>
        <w:t>e</w:t>
      </w:r>
      <w:r w:rsidRPr="009A120F">
        <w:rPr>
          <w:rFonts w:ascii="Cambria" w:hAnsi="Cambria"/>
          <w:bCs/>
          <w:sz w:val="18"/>
          <w:szCs w:val="18"/>
        </w:rPr>
        <w:t xml:space="preserve"> siècle », </w:t>
      </w:r>
      <w:r w:rsidRPr="009A120F">
        <w:rPr>
          <w:rFonts w:ascii="Cambria" w:hAnsi="Cambria"/>
          <w:bCs/>
          <w:i/>
          <w:sz w:val="18"/>
          <w:szCs w:val="18"/>
        </w:rPr>
        <w:t>Zeitschrift der Savigny-Stiftung für Rechtsgeschichte, Kanonistische Abteilung</w:t>
      </w:r>
      <w:r w:rsidRPr="009A120F">
        <w:rPr>
          <w:rFonts w:ascii="Cambria" w:hAnsi="Cambria"/>
          <w:bCs/>
          <w:sz w:val="18"/>
          <w:szCs w:val="18"/>
        </w:rPr>
        <w:t xml:space="preserve">, 68, 1982, p. 1-31. </w:t>
      </w:r>
    </w:p>
    <w:p w14:paraId="3B669A77"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M. Grandjean, </w:t>
      </w:r>
      <w:r w:rsidRPr="009A120F">
        <w:rPr>
          <w:rFonts w:ascii="Cambria" w:hAnsi="Cambria"/>
          <w:bCs/>
          <w:i/>
          <w:sz w:val="18"/>
          <w:szCs w:val="18"/>
        </w:rPr>
        <w:t>Laïcs dans l’Église. Regards de Pierre Damien, Anselme de Cantorbéry, Yves de Chartres</w:t>
      </w:r>
      <w:r w:rsidRPr="009A120F">
        <w:rPr>
          <w:rFonts w:ascii="Cambria" w:hAnsi="Cambria"/>
          <w:bCs/>
          <w:sz w:val="18"/>
          <w:szCs w:val="18"/>
        </w:rPr>
        <w:t>, Paris, 1994.</w:t>
      </w:r>
    </w:p>
    <w:p w14:paraId="6A409A5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A.-M. Helvétius, « </w:t>
      </w:r>
      <w:r w:rsidRPr="009A120F">
        <w:rPr>
          <w:rFonts w:ascii="Cambria" w:hAnsi="Cambria"/>
          <w:b w:val="0"/>
          <w:bCs/>
          <w:i/>
          <w:sz w:val="18"/>
          <w:szCs w:val="18"/>
        </w:rPr>
        <w:t>Virgo et virago</w:t>
      </w:r>
      <w:r w:rsidRPr="009A120F">
        <w:rPr>
          <w:rFonts w:ascii="Cambria" w:hAnsi="Cambria"/>
          <w:b w:val="0"/>
          <w:bCs/>
          <w:sz w:val="18"/>
          <w:szCs w:val="18"/>
        </w:rPr>
        <w:t xml:space="preserve"> : réflexions sur le pouvoir du voile consacré d'après les sources hagiographiques de la Gaule du Nord », dans S. Lebecq, A. Dierkens, R. Le Jan, J.-M. Sansterre (sous la direction de), </w:t>
      </w:r>
      <w:r w:rsidRPr="009A120F">
        <w:rPr>
          <w:rFonts w:ascii="Cambria" w:hAnsi="Cambria"/>
          <w:b w:val="0"/>
          <w:bCs/>
          <w:i/>
          <w:iCs/>
          <w:sz w:val="18"/>
          <w:szCs w:val="18"/>
        </w:rPr>
        <w:t>Femmes et pouvoirs des femmes à Byzance et en Occident (VI</w:t>
      </w:r>
      <w:r w:rsidRPr="009A120F">
        <w:rPr>
          <w:rFonts w:ascii="Cambria" w:hAnsi="Cambria"/>
          <w:b w:val="0"/>
          <w:bCs/>
          <w:i/>
          <w:sz w:val="18"/>
          <w:szCs w:val="18"/>
          <w:vertAlign w:val="superscript"/>
        </w:rPr>
        <w:t>e</w:t>
      </w:r>
      <w:r w:rsidRPr="009A120F">
        <w:rPr>
          <w:rFonts w:ascii="Cambria" w:hAnsi="Cambria"/>
          <w:b w:val="0"/>
          <w:bCs/>
          <w:i/>
          <w:iCs/>
          <w:sz w:val="18"/>
          <w:szCs w:val="18"/>
        </w:rPr>
        <w:t>-XI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Lille, 1999, p. 189-203.</w:t>
      </w:r>
    </w:p>
    <w:p w14:paraId="4B6D4CDA"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D. Iogna-Prat, « Entre anges et hommes : les moines “doctrinaires” de l’an Mil », dans </w:t>
      </w:r>
      <w:r w:rsidRPr="009A120F">
        <w:rPr>
          <w:rFonts w:ascii="Cambria" w:hAnsi="Cambria"/>
          <w:b w:val="0"/>
          <w:bCs/>
          <w:i/>
          <w:iCs/>
          <w:sz w:val="18"/>
          <w:szCs w:val="18"/>
        </w:rPr>
        <w:t>La France de l’an Mil</w:t>
      </w:r>
      <w:r w:rsidRPr="009A120F">
        <w:rPr>
          <w:rFonts w:ascii="Cambria" w:hAnsi="Cambria"/>
          <w:b w:val="0"/>
          <w:bCs/>
          <w:sz w:val="18"/>
          <w:szCs w:val="18"/>
        </w:rPr>
        <w:t>,</w:t>
      </w:r>
      <w:r w:rsidRPr="009A120F">
        <w:rPr>
          <w:rFonts w:ascii="Cambria" w:hAnsi="Cambria"/>
          <w:b w:val="0"/>
          <w:bCs/>
          <w:i/>
          <w:iCs/>
          <w:sz w:val="18"/>
          <w:szCs w:val="18"/>
        </w:rPr>
        <w:t xml:space="preserve"> </w:t>
      </w:r>
      <w:r w:rsidRPr="009A120F">
        <w:rPr>
          <w:rFonts w:ascii="Cambria" w:hAnsi="Cambria"/>
          <w:b w:val="0"/>
          <w:bCs/>
          <w:sz w:val="18"/>
          <w:szCs w:val="18"/>
        </w:rPr>
        <w:t>R. Delort  (dir.), Paris, 1990, p. 245-263.</w:t>
      </w:r>
    </w:p>
    <w:p w14:paraId="3B2A13D9" w14:textId="77777777" w:rsidR="00F54175" w:rsidRPr="009A120F" w:rsidRDefault="00F54175" w:rsidP="00F54175">
      <w:pPr>
        <w:pStyle w:val="Listenumros1"/>
        <w:ind w:left="540" w:hanging="540"/>
        <w:rPr>
          <w:rFonts w:ascii="Cambria" w:hAnsi="Cambria"/>
          <w:bCs/>
          <w:sz w:val="18"/>
          <w:szCs w:val="18"/>
          <w:lang w:val="de-DE"/>
        </w:rPr>
      </w:pPr>
      <w:r w:rsidRPr="009A120F">
        <w:rPr>
          <w:rFonts w:ascii="Cambria" w:hAnsi="Cambria"/>
          <w:bCs/>
          <w:sz w:val="18"/>
          <w:szCs w:val="18"/>
          <w:lang w:val="nl-NL"/>
        </w:rPr>
        <w:t xml:space="preserve">M. de Jong, </w:t>
      </w:r>
      <w:r w:rsidRPr="009A120F">
        <w:rPr>
          <w:rFonts w:ascii="Cambria" w:hAnsi="Cambria"/>
          <w:bCs/>
          <w:i/>
          <w:iCs/>
          <w:sz w:val="18"/>
          <w:szCs w:val="18"/>
          <w:lang w:val="nl-NL"/>
        </w:rPr>
        <w:t xml:space="preserve">In Samuel’s Image. </w:t>
      </w:r>
      <w:r w:rsidRPr="009A120F">
        <w:rPr>
          <w:rFonts w:ascii="Cambria" w:hAnsi="Cambria"/>
          <w:bCs/>
          <w:i/>
          <w:iCs/>
          <w:sz w:val="18"/>
          <w:szCs w:val="18"/>
          <w:lang w:val="en-GB"/>
        </w:rPr>
        <w:t>Child Oblation in the Early Medieval West</w:t>
      </w:r>
      <w:r w:rsidRPr="009A120F">
        <w:rPr>
          <w:rFonts w:ascii="Cambria" w:hAnsi="Cambria"/>
          <w:bCs/>
          <w:sz w:val="18"/>
          <w:szCs w:val="18"/>
          <w:lang w:val="en-GB"/>
        </w:rPr>
        <w:t>, Leyde, 1996.</w:t>
      </w:r>
    </w:p>
    <w:p w14:paraId="58483EB4" w14:textId="77777777" w:rsidR="00F54175" w:rsidRPr="009A120F" w:rsidRDefault="00F54175" w:rsidP="00F54175">
      <w:pPr>
        <w:pStyle w:val="Listenumros1"/>
        <w:ind w:left="540" w:hanging="540"/>
        <w:rPr>
          <w:rFonts w:ascii="Cambria" w:hAnsi="Cambria"/>
          <w:bCs/>
          <w:sz w:val="18"/>
          <w:szCs w:val="18"/>
          <w:lang w:val="de-DE"/>
        </w:rPr>
      </w:pPr>
      <w:r w:rsidRPr="009A120F">
        <w:rPr>
          <w:rFonts w:ascii="Cambria" w:hAnsi="Cambria"/>
          <w:bCs/>
          <w:sz w:val="18"/>
          <w:szCs w:val="18"/>
          <w:lang w:val="de-DE"/>
        </w:rPr>
        <w:t xml:space="preserve">J. Laudage, </w:t>
      </w:r>
      <w:r w:rsidRPr="009A120F">
        <w:rPr>
          <w:rFonts w:ascii="Cambria" w:hAnsi="Cambria"/>
          <w:bCs/>
          <w:i/>
          <w:sz w:val="18"/>
          <w:szCs w:val="18"/>
          <w:lang w:val="de-DE"/>
        </w:rPr>
        <w:t>Priesterbild und Reformpapsttum im 11. Jahrhundert</w:t>
      </w:r>
      <w:r w:rsidRPr="009A120F">
        <w:rPr>
          <w:rFonts w:ascii="Cambria" w:hAnsi="Cambria"/>
          <w:bCs/>
          <w:sz w:val="18"/>
          <w:szCs w:val="18"/>
          <w:lang w:val="de-DE"/>
        </w:rPr>
        <w:t>, Cologne / Vienne, 1984.</w:t>
      </w:r>
    </w:p>
    <w:p w14:paraId="669A552E" w14:textId="77777777" w:rsidR="00F54175" w:rsidRPr="009A120F" w:rsidRDefault="00F54175" w:rsidP="00F54175">
      <w:pPr>
        <w:tabs>
          <w:tab w:val="left" w:pos="567"/>
        </w:tabs>
        <w:ind w:left="567" w:hanging="540"/>
        <w:jc w:val="both"/>
        <w:rPr>
          <w:rFonts w:ascii="Cambria" w:hAnsi="Cambria"/>
          <w:b w:val="0"/>
          <w:bCs/>
          <w:sz w:val="18"/>
          <w:szCs w:val="18"/>
          <w:lang w:val="en-US"/>
        </w:rPr>
      </w:pPr>
      <w:r w:rsidRPr="009A120F">
        <w:rPr>
          <w:rFonts w:ascii="Cambria" w:hAnsi="Cambria"/>
          <w:b w:val="0"/>
          <w:bCs/>
          <w:smallCaps/>
          <w:sz w:val="18"/>
          <w:szCs w:val="18"/>
          <w:lang w:val="en-US"/>
        </w:rPr>
        <w:t>M. M</w:t>
      </w:r>
      <w:r w:rsidRPr="009A120F">
        <w:rPr>
          <w:rFonts w:ascii="Cambria" w:hAnsi="Cambria"/>
          <w:b w:val="0"/>
          <w:bCs/>
          <w:sz w:val="18"/>
          <w:szCs w:val="18"/>
          <w:lang w:val="en-US"/>
        </w:rPr>
        <w:t xml:space="preserve">cLaughlin, </w:t>
      </w:r>
      <w:r w:rsidRPr="009A120F">
        <w:rPr>
          <w:rFonts w:ascii="Cambria" w:hAnsi="Cambria"/>
          <w:b w:val="0"/>
          <w:bCs/>
          <w:i/>
          <w:iCs/>
          <w:sz w:val="18"/>
          <w:szCs w:val="18"/>
          <w:lang w:val="en-US"/>
        </w:rPr>
        <w:t>Sex, gender, and episcopal authority in an age of reform (1000-1122)</w:t>
      </w:r>
      <w:r w:rsidRPr="009A120F">
        <w:rPr>
          <w:rFonts w:ascii="Cambria" w:hAnsi="Cambria"/>
          <w:b w:val="0"/>
          <w:bCs/>
          <w:sz w:val="18"/>
          <w:szCs w:val="18"/>
          <w:lang w:val="en-US"/>
        </w:rPr>
        <w:t>, Cambridge, 2010.</w:t>
      </w:r>
    </w:p>
    <w:p w14:paraId="49C2C517"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i/>
          <w:sz w:val="18"/>
          <w:szCs w:val="18"/>
          <w:lang w:val="en-GB"/>
        </w:rPr>
        <w:t>Medieval Purity and Piety. Essays on Medieval Clerical Celibacy and Religious reform</w:t>
      </w:r>
      <w:r w:rsidRPr="009A120F">
        <w:rPr>
          <w:rFonts w:ascii="Cambria" w:hAnsi="Cambria"/>
          <w:bCs/>
          <w:sz w:val="18"/>
          <w:szCs w:val="18"/>
          <w:lang w:val="en-GB"/>
        </w:rPr>
        <w:t>, M. Frassetto (éd.), NewYork-Londres, 1998.</w:t>
      </w:r>
    </w:p>
    <w:p w14:paraId="500FD51A" w14:textId="77777777" w:rsidR="00F54175" w:rsidRPr="009A120F" w:rsidRDefault="00F54175" w:rsidP="00F54175">
      <w:pPr>
        <w:tabs>
          <w:tab w:val="left" w:pos="567"/>
        </w:tabs>
        <w:ind w:left="540" w:hanging="540"/>
        <w:jc w:val="both"/>
        <w:rPr>
          <w:rFonts w:ascii="Cambria" w:hAnsi="Cambria"/>
          <w:b w:val="0"/>
          <w:bCs/>
          <w:sz w:val="18"/>
          <w:szCs w:val="18"/>
          <w:lang w:val="nl-NL"/>
        </w:rPr>
      </w:pPr>
      <w:r w:rsidRPr="009A120F">
        <w:rPr>
          <w:rFonts w:ascii="Cambria" w:hAnsi="Cambria"/>
          <w:b w:val="0"/>
          <w:bCs/>
          <w:sz w:val="18"/>
          <w:szCs w:val="18"/>
          <w:lang w:val="en-GB"/>
        </w:rPr>
        <w:t xml:space="preserve">J. Nelson, « Monks, secular men and masculinity c. 900 », dans </w:t>
      </w:r>
      <w:r w:rsidRPr="009A120F">
        <w:rPr>
          <w:rFonts w:ascii="Cambria" w:hAnsi="Cambria"/>
          <w:b w:val="0"/>
          <w:bCs/>
          <w:i/>
          <w:sz w:val="18"/>
          <w:szCs w:val="18"/>
          <w:lang w:val="en-GB"/>
        </w:rPr>
        <w:t>Masculinity in Medieval Euro</w:t>
      </w:r>
      <w:r w:rsidRPr="009A120F">
        <w:rPr>
          <w:rFonts w:ascii="Cambria" w:hAnsi="Cambria"/>
          <w:b w:val="0"/>
          <w:bCs/>
          <w:sz w:val="18"/>
          <w:szCs w:val="18"/>
          <w:lang w:val="en-GB"/>
        </w:rPr>
        <w:t>pe, D. Hadley (éd.), Londres-New York, 1999, p. 121-142.</w:t>
      </w:r>
    </w:p>
    <w:p w14:paraId="0A6F26CF"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mallCaps/>
          <w:sz w:val="18"/>
          <w:szCs w:val="18"/>
        </w:rPr>
        <w:t xml:space="preserve">I. </w:t>
      </w:r>
      <w:r w:rsidRPr="009A120F">
        <w:rPr>
          <w:rFonts w:ascii="Cambria" w:hAnsi="Cambria"/>
          <w:bCs/>
          <w:sz w:val="18"/>
          <w:szCs w:val="18"/>
          <w:lang w:val="nl-NL"/>
        </w:rPr>
        <w:t>Rosé</w:t>
      </w:r>
      <w:r w:rsidRPr="009A120F">
        <w:rPr>
          <w:rFonts w:ascii="Cambria" w:hAnsi="Cambria"/>
          <w:bCs/>
          <w:sz w:val="18"/>
          <w:szCs w:val="18"/>
        </w:rPr>
        <w:t xml:space="preserve">, </w:t>
      </w:r>
      <w:r w:rsidRPr="009A120F">
        <w:rPr>
          <w:rFonts w:ascii="Cambria" w:hAnsi="Cambria"/>
          <w:bCs/>
          <w:i/>
          <w:iCs/>
          <w:sz w:val="18"/>
          <w:szCs w:val="18"/>
        </w:rPr>
        <w:t>Le mariage des prêtres, une hérésie ? Genèse du nicolaïsme (I</w:t>
      </w:r>
      <w:r w:rsidRPr="009A120F">
        <w:rPr>
          <w:rFonts w:ascii="Cambria" w:hAnsi="Cambria"/>
          <w:bCs/>
          <w:i/>
          <w:iCs/>
          <w:sz w:val="18"/>
          <w:szCs w:val="18"/>
          <w:vertAlign w:val="superscript"/>
        </w:rPr>
        <w:t>er</w:t>
      </w:r>
      <w:r w:rsidRPr="009A120F">
        <w:rPr>
          <w:rFonts w:ascii="Cambria" w:hAnsi="Cambria"/>
          <w:bCs/>
          <w:i/>
          <w:iCs/>
          <w:sz w:val="18"/>
          <w:szCs w:val="18"/>
        </w:rPr>
        <w:t>-XI</w:t>
      </w:r>
      <w:r w:rsidRPr="009A120F">
        <w:rPr>
          <w:rFonts w:ascii="Cambria" w:hAnsi="Cambria"/>
          <w:bCs/>
          <w:i/>
          <w:iCs/>
          <w:sz w:val="18"/>
          <w:szCs w:val="18"/>
          <w:vertAlign w:val="superscript"/>
        </w:rPr>
        <w:t>e</w:t>
      </w:r>
      <w:r w:rsidRPr="009A120F">
        <w:rPr>
          <w:rFonts w:ascii="Cambria" w:hAnsi="Cambria"/>
          <w:bCs/>
          <w:i/>
          <w:iCs/>
          <w:sz w:val="18"/>
          <w:szCs w:val="18"/>
        </w:rPr>
        <w:t xml:space="preserve"> siècle)</w:t>
      </w:r>
      <w:r w:rsidRPr="009A120F">
        <w:rPr>
          <w:rFonts w:ascii="Cambria" w:hAnsi="Cambria"/>
          <w:bCs/>
          <w:sz w:val="18"/>
          <w:szCs w:val="18"/>
        </w:rPr>
        <w:t>, Paris, 2023</w:t>
      </w:r>
    </w:p>
    <w:p w14:paraId="0F4FC7AE" w14:textId="1DD93209" w:rsidR="00F54175" w:rsidRPr="009A120F" w:rsidRDefault="00F54175" w:rsidP="00417511">
      <w:pPr>
        <w:tabs>
          <w:tab w:val="left" w:pos="567"/>
        </w:tabs>
        <w:ind w:left="567" w:hanging="540"/>
        <w:jc w:val="both"/>
        <w:rPr>
          <w:rFonts w:ascii="Cambria" w:hAnsi="Cambria"/>
          <w:b w:val="0"/>
          <w:bCs/>
          <w:sz w:val="18"/>
          <w:szCs w:val="18"/>
          <w:lang w:val="en-US"/>
        </w:rPr>
      </w:pPr>
      <w:r w:rsidRPr="009A120F">
        <w:rPr>
          <w:rFonts w:ascii="Cambria" w:hAnsi="Cambria"/>
          <w:b w:val="0"/>
          <w:bCs/>
          <w:smallCaps/>
          <w:sz w:val="18"/>
          <w:szCs w:val="18"/>
          <w:lang w:val="en-US"/>
        </w:rPr>
        <w:t xml:space="preserve">J. D. </w:t>
      </w:r>
      <w:r w:rsidRPr="009A120F">
        <w:rPr>
          <w:rFonts w:ascii="Cambria" w:hAnsi="Cambria"/>
          <w:b w:val="0"/>
          <w:bCs/>
          <w:sz w:val="18"/>
          <w:szCs w:val="18"/>
          <w:lang w:val="en-US"/>
        </w:rPr>
        <w:t xml:space="preserve">Thibodeaux, </w:t>
      </w:r>
      <w:r w:rsidRPr="009A120F">
        <w:rPr>
          <w:rFonts w:ascii="Cambria" w:hAnsi="Cambria"/>
          <w:b w:val="0"/>
          <w:bCs/>
          <w:i/>
          <w:iCs/>
          <w:sz w:val="18"/>
          <w:szCs w:val="18"/>
          <w:lang w:val="en-US"/>
        </w:rPr>
        <w:t>The Manly Priest. Clerical Celibacy, Masculinity, and Reform in England and Normandy, 1066-1300</w:t>
      </w:r>
      <w:r w:rsidRPr="009A120F">
        <w:rPr>
          <w:rFonts w:ascii="Cambria" w:hAnsi="Cambria"/>
          <w:b w:val="0"/>
          <w:bCs/>
          <w:sz w:val="18"/>
          <w:szCs w:val="18"/>
          <w:lang w:val="en-US"/>
        </w:rPr>
        <w:t>, Berlin, 2015.</w:t>
      </w:r>
    </w:p>
    <w:p w14:paraId="02AC26AC" w14:textId="77777777" w:rsidR="00F54175" w:rsidRPr="009A120F" w:rsidRDefault="00F54175" w:rsidP="00F54175">
      <w:pPr>
        <w:keepNext/>
        <w:tabs>
          <w:tab w:val="left" w:pos="567"/>
        </w:tabs>
        <w:ind w:left="567" w:hanging="540"/>
        <w:jc w:val="both"/>
        <w:rPr>
          <w:rFonts w:ascii="Cambria" w:hAnsi="Cambria"/>
          <w:b w:val="0"/>
          <w:bCs/>
          <w:sz w:val="18"/>
          <w:szCs w:val="18"/>
        </w:rPr>
      </w:pPr>
      <w:r w:rsidRPr="009A120F">
        <w:rPr>
          <w:rFonts w:ascii="Cambria" w:hAnsi="Cambria"/>
          <w:b w:val="0"/>
          <w:bCs/>
          <w:sz w:val="18"/>
          <w:szCs w:val="18"/>
        </w:rPr>
        <w:t>Espace, territoire, mobilité</w:t>
      </w:r>
    </w:p>
    <w:p w14:paraId="21543A66"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 xml:space="preserve">911-2011. Penser les mondes normands médiévaux, </w:t>
      </w:r>
      <w:r w:rsidRPr="009A120F">
        <w:rPr>
          <w:rFonts w:ascii="Cambria" w:hAnsi="Cambria"/>
          <w:b w:val="0"/>
          <w:bCs/>
          <w:iCs/>
          <w:noProof/>
          <w:sz w:val="18"/>
          <w:szCs w:val="18"/>
          <w:lang w:eastAsia="en-US"/>
        </w:rPr>
        <w:t>Caen, 2016.</w:t>
      </w:r>
    </w:p>
    <w:p w14:paraId="37513173"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Genèse médiévale de l’anthroponymie moderne</w:t>
      </w:r>
      <w:r w:rsidRPr="009A120F">
        <w:rPr>
          <w:rFonts w:ascii="Cambria" w:hAnsi="Cambria"/>
          <w:b w:val="0"/>
          <w:bCs/>
          <w:iCs/>
          <w:noProof/>
          <w:sz w:val="18"/>
          <w:szCs w:val="18"/>
          <w:lang w:eastAsia="en-US"/>
        </w:rPr>
        <w:t>, dir. M. Bourin et P. Chareille, 1995, t. I à III, Tours, 1990-1995.</w:t>
      </w:r>
    </w:p>
    <w:p w14:paraId="40E2E3D1"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F. Besson, </w:t>
      </w:r>
      <w:r w:rsidRPr="009A120F">
        <w:rPr>
          <w:rFonts w:ascii="Cambria" w:hAnsi="Cambria"/>
          <w:b w:val="0"/>
          <w:bCs/>
          <w:i/>
          <w:noProof/>
          <w:sz w:val="18"/>
          <w:szCs w:val="18"/>
          <w:lang w:eastAsia="en-US"/>
        </w:rPr>
        <w:t>Les Seigneurs de la Terre sainte. Pratiques du pouvoir en Orient latin (1097-1230)</w:t>
      </w:r>
      <w:r w:rsidRPr="009A120F">
        <w:rPr>
          <w:rFonts w:ascii="Cambria" w:hAnsi="Cambria"/>
          <w:b w:val="0"/>
          <w:bCs/>
          <w:iCs/>
          <w:noProof/>
          <w:sz w:val="18"/>
          <w:szCs w:val="18"/>
          <w:lang w:eastAsia="en-US"/>
        </w:rPr>
        <w:t>, Paris, 2023.</w:t>
      </w:r>
    </w:p>
    <w:p w14:paraId="5B4A9700"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sz w:val="18"/>
          <w:szCs w:val="18"/>
          <w:lang w:val="en-US"/>
        </w:rPr>
        <w:t xml:space="preserve">D. Crouch, </w:t>
      </w:r>
      <w:r w:rsidRPr="009A120F">
        <w:rPr>
          <w:rStyle w:val="Accentuation"/>
          <w:rFonts w:ascii="Cambria" w:hAnsi="Cambria"/>
          <w:b w:val="0"/>
          <w:bCs/>
          <w:sz w:val="18"/>
          <w:szCs w:val="18"/>
          <w:lang w:val="en-US"/>
        </w:rPr>
        <w:t xml:space="preserve">The English Aristocracy, 1070–1272: A Social Transformation, </w:t>
      </w:r>
      <w:r w:rsidRPr="009A120F">
        <w:rPr>
          <w:rFonts w:ascii="Cambria" w:hAnsi="Cambria"/>
          <w:b w:val="0"/>
          <w:bCs/>
          <w:sz w:val="18"/>
          <w:szCs w:val="18"/>
          <w:lang w:val="en-US"/>
        </w:rPr>
        <w:t>New Haven, 2011.</w:t>
      </w:r>
    </w:p>
    <w:p w14:paraId="578FBF2E"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H. </w:t>
      </w:r>
      <w:r w:rsidRPr="009A120F">
        <w:rPr>
          <w:rFonts w:ascii="Cambria" w:hAnsi="Cambria"/>
          <w:b w:val="0"/>
          <w:bCs/>
          <w:iCs/>
          <w:sz w:val="18"/>
          <w:szCs w:val="18"/>
        </w:rPr>
        <w:t>Débax</w:t>
      </w:r>
      <w:r w:rsidRPr="009A120F">
        <w:rPr>
          <w:rFonts w:ascii="Cambria" w:hAnsi="Cambria"/>
          <w:b w:val="0"/>
          <w:bCs/>
          <w:i/>
          <w:noProof/>
          <w:sz w:val="18"/>
          <w:szCs w:val="18"/>
          <w:lang w:eastAsia="en-US"/>
        </w:rPr>
        <w:t>, La féodalité languedocienne,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siècles. Serments, hommages et fiefs dans le Languedoc des Trencavel, </w:t>
      </w:r>
      <w:r w:rsidRPr="009A120F">
        <w:rPr>
          <w:rFonts w:ascii="Cambria" w:hAnsi="Cambria"/>
          <w:b w:val="0"/>
          <w:bCs/>
          <w:iCs/>
          <w:noProof/>
          <w:sz w:val="18"/>
          <w:szCs w:val="18"/>
          <w:lang w:eastAsia="en-US"/>
        </w:rPr>
        <w:t>Toulouse, 2003.</w:t>
      </w:r>
    </w:p>
    <w:p w14:paraId="40A61BEE"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D. Barthélemy, </w:t>
      </w:r>
      <w:r w:rsidRPr="009A120F">
        <w:rPr>
          <w:rFonts w:ascii="Cambria" w:hAnsi="Cambria"/>
          <w:b w:val="0"/>
          <w:bCs/>
          <w:i/>
          <w:noProof/>
          <w:sz w:val="18"/>
          <w:szCs w:val="18"/>
          <w:lang w:eastAsia="en-US"/>
        </w:rPr>
        <w:t>Les deux âges de la seigneurie banale. Pouvoir et société dans la terre des sires de Coucy (milieu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-milieu XIII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xml:space="preserve"> Paris, 1985.</w:t>
      </w:r>
    </w:p>
    <w:p w14:paraId="3F8A5998" w14:textId="77777777" w:rsidR="00F54175" w:rsidRPr="009A120F" w:rsidRDefault="00F54175" w:rsidP="00F54175">
      <w:pPr>
        <w:autoSpaceDE w:val="0"/>
        <w:autoSpaceDN w:val="0"/>
        <w:adjustRightInd w:val="0"/>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C. </w:t>
      </w:r>
      <w:r w:rsidRPr="009A120F">
        <w:rPr>
          <w:rFonts w:ascii="Cambria" w:hAnsi="Cambria"/>
          <w:b w:val="0"/>
          <w:bCs/>
          <w:iCs/>
          <w:sz w:val="18"/>
          <w:szCs w:val="18"/>
        </w:rPr>
        <w:t>Duhamel-Amado</w:t>
      </w:r>
      <w:r w:rsidRPr="009A120F">
        <w:rPr>
          <w:rFonts w:ascii="Cambria" w:hAnsi="Cambria"/>
          <w:b w:val="0"/>
          <w:bCs/>
          <w:i/>
          <w:noProof/>
          <w:sz w:val="18"/>
          <w:szCs w:val="18"/>
          <w:lang w:eastAsia="en-US"/>
        </w:rPr>
        <w:t xml:space="preserve">, Genèse des lignages méridionaux. L’aristocratie languedocienne du Xe au XIIe siècle, </w:t>
      </w:r>
      <w:r w:rsidRPr="009A120F">
        <w:rPr>
          <w:rFonts w:ascii="Cambria" w:hAnsi="Cambria"/>
          <w:b w:val="0"/>
          <w:bCs/>
          <w:iCs/>
          <w:noProof/>
          <w:sz w:val="18"/>
          <w:szCs w:val="18"/>
          <w:lang w:eastAsia="en-US"/>
        </w:rPr>
        <w:t>Toulouse, 2001.</w:t>
      </w:r>
    </w:p>
    <w:p w14:paraId="399BF7C8" w14:textId="77777777" w:rsidR="00F54175" w:rsidRPr="009A120F" w:rsidRDefault="00F54175" w:rsidP="00F54175">
      <w:pPr>
        <w:autoSpaceDE w:val="0"/>
        <w:autoSpaceDN w:val="0"/>
        <w:adjustRightInd w:val="0"/>
        <w:ind w:left="567" w:hanging="567"/>
        <w:jc w:val="both"/>
        <w:rPr>
          <w:rFonts w:ascii="Cambria" w:hAnsi="Cambria"/>
          <w:b w:val="0"/>
          <w:bCs/>
          <w:iCs/>
          <w:noProof/>
          <w:sz w:val="18"/>
          <w:szCs w:val="18"/>
          <w:lang w:val="en-US" w:eastAsia="en-US"/>
        </w:rPr>
      </w:pPr>
      <w:r w:rsidRPr="009A120F">
        <w:rPr>
          <w:rFonts w:ascii="Cambria" w:hAnsi="Cambria"/>
          <w:b w:val="0"/>
          <w:bCs/>
          <w:iCs/>
          <w:noProof/>
          <w:sz w:val="18"/>
          <w:szCs w:val="18"/>
          <w:lang w:val="en-US" w:eastAsia="en-US"/>
        </w:rPr>
        <w:t xml:space="preserve">J. Dunbabin, </w:t>
      </w:r>
      <w:r w:rsidRPr="009A120F">
        <w:rPr>
          <w:rFonts w:ascii="Cambria" w:hAnsi="Cambria"/>
          <w:b w:val="0"/>
          <w:bCs/>
          <w:i/>
          <w:noProof/>
          <w:sz w:val="18"/>
          <w:szCs w:val="18"/>
          <w:lang w:val="en-US" w:eastAsia="en-US"/>
        </w:rPr>
        <w:t>The French in the Kingdom of Sicily, 1266-1305</w:t>
      </w:r>
      <w:r w:rsidRPr="009A120F">
        <w:rPr>
          <w:rFonts w:ascii="Cambria" w:hAnsi="Cambria"/>
          <w:b w:val="0"/>
          <w:bCs/>
          <w:iCs/>
          <w:noProof/>
          <w:sz w:val="18"/>
          <w:szCs w:val="18"/>
          <w:lang w:val="en-US" w:eastAsia="en-US"/>
        </w:rPr>
        <w:t>, Cambridge, 2011.</w:t>
      </w:r>
    </w:p>
    <w:p w14:paraId="2F7D8C26"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Espaces ecclésiastiques et seigneuries laïques (IX</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xml:space="preserve"> dir. T. Martine, J. Nowak et J. Schneider, Paris, 2021.</w:t>
      </w:r>
    </w:p>
    <w:p w14:paraId="7E765522"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i/>
          <w:noProof/>
          <w:sz w:val="18"/>
          <w:szCs w:val="18"/>
          <w:lang w:eastAsia="en-US"/>
        </w:rPr>
        <w:t>Genèse des espaces politiques (IX</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 Autour de la question spatiale dans les royaumes francs et post-carolingiens</w:t>
      </w:r>
      <w:r w:rsidRPr="009A120F">
        <w:rPr>
          <w:rFonts w:ascii="Cambria" w:hAnsi="Cambria"/>
          <w:b w:val="0"/>
          <w:bCs/>
          <w:iCs/>
          <w:noProof/>
          <w:sz w:val="18"/>
          <w:szCs w:val="18"/>
          <w:lang w:eastAsia="en-US"/>
        </w:rPr>
        <w:t xml:space="preserve">, dir. </w:t>
      </w:r>
      <w:r w:rsidRPr="009A120F">
        <w:rPr>
          <w:rFonts w:ascii="Cambria" w:hAnsi="Cambria"/>
          <w:b w:val="0"/>
          <w:bCs/>
          <w:iCs/>
          <w:noProof/>
          <w:sz w:val="18"/>
          <w:szCs w:val="18"/>
          <w:lang w:val="en-US" w:eastAsia="en-US"/>
        </w:rPr>
        <w:t>J. Schneider, S. Patzold et G. Bührer-Thierry, Turnhout, Brepols, 2018.</w:t>
      </w:r>
    </w:p>
    <w:p w14:paraId="1CACF68F"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A. Giunta,</w:t>
      </w:r>
      <w:r w:rsidRPr="009A120F">
        <w:rPr>
          <w:rFonts w:ascii="Cambria" w:hAnsi="Cambria"/>
          <w:b w:val="0"/>
          <w:bCs/>
          <w:i/>
          <w:noProof/>
          <w:sz w:val="18"/>
          <w:szCs w:val="18"/>
          <w:lang w:eastAsia="en-US"/>
        </w:rPr>
        <w:t xml:space="preserve"> Les </w:t>
      </w:r>
      <w:r w:rsidRPr="009A120F">
        <w:rPr>
          <w:rFonts w:ascii="Cambria" w:hAnsi="Cambria"/>
          <w:b w:val="0"/>
          <w:bCs/>
          <w:iCs/>
          <w:noProof/>
          <w:sz w:val="18"/>
          <w:szCs w:val="18"/>
          <w:lang w:eastAsia="en-US"/>
        </w:rPr>
        <w:t>Francos</w:t>
      </w:r>
      <w:r w:rsidRPr="009A120F">
        <w:rPr>
          <w:rFonts w:ascii="Cambria" w:hAnsi="Cambria"/>
          <w:b w:val="0"/>
          <w:bCs/>
          <w:i/>
          <w:noProof/>
          <w:sz w:val="18"/>
          <w:szCs w:val="18"/>
          <w:lang w:eastAsia="en-US"/>
        </w:rPr>
        <w:t xml:space="preserve"> dans la vallée de l’Ebre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Toulouse, 2017.</w:t>
      </w:r>
    </w:p>
    <w:p w14:paraId="327B9382"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iCs/>
          <w:noProof/>
          <w:sz w:val="18"/>
          <w:szCs w:val="18"/>
          <w:lang w:val="en-US" w:eastAsia="en-US"/>
        </w:rPr>
        <w:t xml:space="preserve">J. Green, </w:t>
      </w:r>
      <w:r w:rsidRPr="009A120F">
        <w:rPr>
          <w:rFonts w:ascii="Cambria" w:hAnsi="Cambria"/>
          <w:b w:val="0"/>
          <w:bCs/>
          <w:i/>
          <w:noProof/>
          <w:sz w:val="18"/>
          <w:szCs w:val="18"/>
          <w:lang w:val="en-US" w:eastAsia="en-US"/>
        </w:rPr>
        <w:t>The Aristocracy of Norman England</w:t>
      </w:r>
      <w:r w:rsidRPr="009A120F">
        <w:rPr>
          <w:rFonts w:ascii="Cambria" w:hAnsi="Cambria"/>
          <w:b w:val="0"/>
          <w:bCs/>
          <w:iCs/>
          <w:noProof/>
          <w:sz w:val="18"/>
          <w:szCs w:val="18"/>
          <w:lang w:val="en-US" w:eastAsia="en-US"/>
        </w:rPr>
        <w:t>, Cambridge, 199</w:t>
      </w:r>
    </w:p>
    <w:p w14:paraId="49D6A79C"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 « Les structures de base de la chasse médiévale », </w:t>
      </w:r>
      <w:r w:rsidRPr="009A120F">
        <w:rPr>
          <w:rFonts w:ascii="Cambria" w:hAnsi="Cambria"/>
          <w:b w:val="0"/>
          <w:bCs/>
          <w:i/>
          <w:iCs/>
          <w:sz w:val="18"/>
          <w:szCs w:val="18"/>
        </w:rPr>
        <w:t>La chasse au Moyen Âge : société, traités, symbôles</w:t>
      </w:r>
      <w:r w:rsidRPr="009A120F">
        <w:rPr>
          <w:rFonts w:ascii="Cambria" w:hAnsi="Cambria"/>
          <w:b w:val="0"/>
          <w:bCs/>
          <w:sz w:val="18"/>
          <w:szCs w:val="18"/>
        </w:rPr>
        <w:t>, dans dir. A. Paravicini Bagliani, B. van den Abeele, Florence, Sismel, 2000, p. 203-219</w:t>
      </w:r>
    </w:p>
    <w:p w14:paraId="4AE8ED27"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 « Quelques caractères spécifiques de l’espace féodal européen », dans dir. N. Bulst, R. Descimon, A. Guerreau, </w:t>
      </w:r>
      <w:r w:rsidRPr="009A120F">
        <w:rPr>
          <w:rFonts w:ascii="Cambria" w:hAnsi="Cambria"/>
          <w:b w:val="0"/>
          <w:bCs/>
          <w:i/>
          <w:iCs/>
          <w:sz w:val="18"/>
          <w:szCs w:val="18"/>
        </w:rPr>
        <w:t>L’État ou le roi : les fondations de la modernité monarchique en France (XIVe-XVIIe siècle),</w:t>
      </w:r>
      <w:r w:rsidRPr="009A120F">
        <w:rPr>
          <w:rFonts w:ascii="Cambria" w:hAnsi="Cambria"/>
          <w:b w:val="0"/>
          <w:bCs/>
          <w:sz w:val="18"/>
          <w:szCs w:val="18"/>
        </w:rPr>
        <w:t xml:space="preserve"> Paris, 1996, p. 85-101.</w:t>
      </w:r>
    </w:p>
    <w:p w14:paraId="64DED712"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Guerreau-Jalabert, « Parenté », dans </w:t>
      </w:r>
      <w:r w:rsidRPr="009A120F">
        <w:rPr>
          <w:rFonts w:ascii="Cambria" w:hAnsi="Cambria"/>
          <w:b w:val="0"/>
          <w:bCs/>
          <w:i/>
          <w:iCs/>
          <w:sz w:val="18"/>
          <w:szCs w:val="18"/>
        </w:rPr>
        <w:t>Dictionnaire raisonné de l’Occident médiéval</w:t>
      </w:r>
      <w:r w:rsidRPr="009A120F">
        <w:rPr>
          <w:rFonts w:ascii="Cambria" w:hAnsi="Cambria"/>
          <w:b w:val="0"/>
          <w:bCs/>
          <w:sz w:val="18"/>
          <w:szCs w:val="18"/>
        </w:rPr>
        <w:t>, Paris, p. 861-876.</w:t>
      </w:r>
    </w:p>
    <w:p w14:paraId="53EDA893"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Guerreau-Jalabert, « El sistema de parentesco medieval : sus formas (real/espiritual) y su dependencia con respect a la organizacion del espacio », dans dir. R. Pastor, </w:t>
      </w:r>
      <w:r w:rsidRPr="009A120F">
        <w:rPr>
          <w:rFonts w:ascii="Cambria" w:hAnsi="Cambria"/>
          <w:b w:val="0"/>
          <w:bCs/>
          <w:i/>
          <w:iCs/>
          <w:sz w:val="18"/>
          <w:szCs w:val="18"/>
        </w:rPr>
        <w:t>Relaciones de poder, de produccion y parentesco en la Edad Media y Moderna : Aproximacion a su estudio</w:t>
      </w:r>
      <w:r w:rsidRPr="009A120F">
        <w:rPr>
          <w:rFonts w:ascii="Cambria" w:hAnsi="Cambria"/>
          <w:b w:val="0"/>
          <w:bCs/>
          <w:sz w:val="18"/>
          <w:szCs w:val="18"/>
        </w:rPr>
        <w:t>, Madrid, Consejo Superior de Investigaciones Cientificas, 1990, p. 85-105.</w:t>
      </w:r>
    </w:p>
    <w:p w14:paraId="5F6903D7"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B. Lermesle, </w:t>
      </w:r>
      <w:r w:rsidRPr="009A120F">
        <w:rPr>
          <w:rFonts w:ascii="Cambria" w:hAnsi="Cambria"/>
          <w:b w:val="0"/>
          <w:bCs/>
          <w:i/>
          <w:noProof/>
          <w:sz w:val="18"/>
          <w:szCs w:val="18"/>
          <w:lang w:eastAsia="en-US"/>
        </w:rPr>
        <w:t>La société aristocratique dans le Haut-Maine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w:t>
      </w:r>
      <w:r w:rsidRPr="009A120F">
        <w:rPr>
          <w:rFonts w:ascii="Cambria" w:hAnsi="Cambria"/>
          <w:b w:val="0"/>
          <w:bCs/>
          <w:iCs/>
          <w:noProof/>
          <w:sz w:val="18"/>
          <w:szCs w:val="18"/>
          <w:lang w:eastAsia="en-US"/>
        </w:rPr>
        <w:t>, Rennes, 1999.</w:t>
      </w:r>
    </w:p>
    <w:p w14:paraId="5AC53349"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J.-M. Martin, </w:t>
      </w:r>
      <w:r w:rsidRPr="009A120F">
        <w:rPr>
          <w:rFonts w:ascii="Cambria" w:hAnsi="Cambria"/>
          <w:b w:val="0"/>
          <w:bCs/>
          <w:i/>
          <w:noProof/>
          <w:sz w:val="18"/>
          <w:szCs w:val="18"/>
          <w:lang w:eastAsia="en-US"/>
        </w:rPr>
        <w:t>Italies normandes,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siècles</w:t>
      </w:r>
      <w:r w:rsidRPr="009A120F">
        <w:rPr>
          <w:rFonts w:ascii="Cambria" w:hAnsi="Cambria"/>
          <w:b w:val="0"/>
          <w:bCs/>
          <w:iCs/>
          <w:noProof/>
          <w:sz w:val="18"/>
          <w:szCs w:val="18"/>
          <w:lang w:eastAsia="en-US"/>
        </w:rPr>
        <w:t xml:space="preserve">, Paris, 1994. </w:t>
      </w:r>
    </w:p>
    <w:p w14:paraId="5A4D4BBD"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F. Mazel, « La seigneurie territoriale », dans dir. F. Mazel, </w:t>
      </w:r>
      <w:r w:rsidRPr="009A120F">
        <w:rPr>
          <w:rFonts w:ascii="Cambria" w:hAnsi="Cambria"/>
          <w:b w:val="0"/>
          <w:bCs/>
          <w:i/>
          <w:noProof/>
          <w:sz w:val="18"/>
          <w:szCs w:val="18"/>
          <w:lang w:eastAsia="en-US"/>
        </w:rPr>
        <w:t>Nouvelle histoire du Moyen Âge</w:t>
      </w:r>
      <w:r w:rsidRPr="009A120F">
        <w:rPr>
          <w:rFonts w:ascii="Cambria" w:hAnsi="Cambria"/>
          <w:b w:val="0"/>
          <w:bCs/>
          <w:iCs/>
          <w:noProof/>
          <w:sz w:val="18"/>
          <w:szCs w:val="18"/>
          <w:lang w:eastAsia="en-US"/>
        </w:rPr>
        <w:t>, Paris, 2022, p. 363-376.</w:t>
      </w:r>
    </w:p>
    <w:p w14:paraId="625F71CB" w14:textId="77777777" w:rsidR="00F54175" w:rsidRPr="009A120F" w:rsidRDefault="00F54175" w:rsidP="00F54175">
      <w:pPr>
        <w:ind w:left="567" w:hanging="567"/>
        <w:jc w:val="both"/>
        <w:rPr>
          <w:rFonts w:ascii="Cambria" w:hAnsi="Cambria"/>
          <w:b w:val="0"/>
          <w:bCs/>
          <w:sz w:val="18"/>
          <w:szCs w:val="18"/>
        </w:rPr>
      </w:pPr>
      <w:r w:rsidRPr="009A120F">
        <w:rPr>
          <w:rFonts w:ascii="Cambria" w:hAnsi="Cambria"/>
          <w:b w:val="0"/>
          <w:bCs/>
          <w:iCs/>
          <w:noProof/>
          <w:sz w:val="18"/>
          <w:szCs w:val="18"/>
          <w:lang w:eastAsia="en-US"/>
        </w:rPr>
        <w:t xml:space="preserve">J. Morsel </w:t>
      </w:r>
      <w:r w:rsidRPr="009A120F">
        <w:rPr>
          <w:rFonts w:ascii="Cambria" w:hAnsi="Cambria"/>
          <w:b w:val="0"/>
          <w:bCs/>
          <w:sz w:val="18"/>
          <w:szCs w:val="18"/>
        </w:rPr>
        <w:t xml:space="preserve">(avec la collaboration de Christine Ducourtieux), </w:t>
      </w:r>
      <w:r w:rsidRPr="009A120F">
        <w:rPr>
          <w:rStyle w:val="Accentuation"/>
          <w:rFonts w:ascii="Cambria" w:hAnsi="Cambria"/>
          <w:b w:val="0"/>
          <w:bCs/>
          <w:sz w:val="18"/>
          <w:szCs w:val="18"/>
        </w:rPr>
        <w:t>L’Histoire (du Moyen Âge) est un sport de combat… Réflexions sur les finalités de l’Histoire du Moyen Âge destinées à une société dans laquelle même les étudiants d’histoire s’interrogent</w:t>
      </w:r>
      <w:r w:rsidRPr="009A120F">
        <w:rPr>
          <w:rFonts w:ascii="Cambria" w:hAnsi="Cambria"/>
          <w:b w:val="0"/>
          <w:bCs/>
          <w:sz w:val="18"/>
          <w:szCs w:val="18"/>
        </w:rPr>
        <w:t>. LAMOP-Paris 1, 2007 (</w:t>
      </w:r>
      <w:hyperlink r:id="rId18" w:history="1">
        <w:r w:rsidRPr="009A120F">
          <w:rPr>
            <w:rStyle w:val="Lienhypertexte"/>
            <w:rFonts w:ascii="Cambria" w:hAnsi="Cambria"/>
            <w:b w:val="0"/>
            <w:bCs/>
            <w:sz w:val="18"/>
            <w:szCs w:val="18"/>
          </w:rPr>
          <w:t>http://lamop.univ-paris1.fr/W3/JosephMorsel/Sportdecombat.pdf</w:t>
        </w:r>
      </w:hyperlink>
      <w:r w:rsidRPr="009A120F">
        <w:rPr>
          <w:rFonts w:ascii="Cambria" w:hAnsi="Cambria"/>
          <w:b w:val="0"/>
          <w:bCs/>
          <w:sz w:val="18"/>
          <w:szCs w:val="18"/>
        </w:rPr>
        <w:t>), p. 109-189.</w:t>
      </w:r>
    </w:p>
    <w:p w14:paraId="029D5450"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
          <w:iCs/>
          <w:sz w:val="18"/>
          <w:szCs w:val="18"/>
        </w:rPr>
        <w:t>La noblesse dans les territoires angevins à la fin du Moyen Âge</w:t>
      </w:r>
      <w:r w:rsidRPr="009A120F">
        <w:rPr>
          <w:rFonts w:ascii="Cambria" w:hAnsi="Cambria"/>
          <w:b w:val="0"/>
          <w:bCs/>
          <w:sz w:val="18"/>
          <w:szCs w:val="18"/>
        </w:rPr>
        <w:t xml:space="preserve">, dir. N. Coulet et J.-M. Matz, Rome, 2000. </w:t>
      </w:r>
    </w:p>
    <w:p w14:paraId="7D90A622" w14:textId="751A1165" w:rsidR="00F54175" w:rsidRPr="009A120F" w:rsidRDefault="00F54175" w:rsidP="009F482A">
      <w:pPr>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Les territoires du médiéviste</w:t>
      </w:r>
      <w:r w:rsidRPr="009A120F">
        <w:rPr>
          <w:rFonts w:ascii="Cambria" w:hAnsi="Cambria"/>
          <w:b w:val="0"/>
          <w:bCs/>
          <w:iCs/>
          <w:noProof/>
          <w:sz w:val="18"/>
          <w:szCs w:val="18"/>
          <w:lang w:eastAsia="en-US"/>
        </w:rPr>
        <w:t xml:space="preserve">, dir. B. Cursente et M. Mousnier, Rennes, 2005. </w:t>
      </w:r>
    </w:p>
    <w:p w14:paraId="31425433"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Église et imaginaire de la parenté</w:t>
      </w:r>
    </w:p>
    <w:p w14:paraId="58A4E71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Barbero, </w:t>
      </w:r>
      <w:r w:rsidRPr="009A120F">
        <w:rPr>
          <w:rFonts w:ascii="Cambria" w:hAnsi="Cambria"/>
          <w:b w:val="0"/>
          <w:bCs/>
          <w:i/>
          <w:sz w:val="18"/>
          <w:szCs w:val="18"/>
        </w:rPr>
        <w:t>Un santo in famiglia : vocazione religiosa e resistenze sociali nell’agiografia latina medievale</w:t>
      </w:r>
      <w:r w:rsidRPr="009A120F">
        <w:rPr>
          <w:rFonts w:ascii="Cambria" w:hAnsi="Cambria"/>
          <w:b w:val="0"/>
          <w:bCs/>
          <w:sz w:val="18"/>
          <w:szCs w:val="18"/>
        </w:rPr>
        <w:t>, Turin, 1991.</w:t>
      </w:r>
    </w:p>
    <w:p w14:paraId="494250E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w:t>
      </w:r>
      <w:r w:rsidRPr="009A120F">
        <w:rPr>
          <w:rFonts w:ascii="Cambria" w:hAnsi="Cambria"/>
          <w:b w:val="0"/>
          <w:bCs/>
          <w:i/>
          <w:sz w:val="18"/>
          <w:szCs w:val="18"/>
        </w:rPr>
        <w:t>Le sein du père. Abraham et la paternité dans l’Occident médiéval</w:t>
      </w:r>
      <w:r w:rsidRPr="009A120F">
        <w:rPr>
          <w:rFonts w:ascii="Cambria" w:hAnsi="Cambria"/>
          <w:b w:val="0"/>
          <w:bCs/>
          <w:sz w:val="18"/>
          <w:szCs w:val="18"/>
        </w:rPr>
        <w:t xml:space="preserve">, Paris, Gallimard, 2000. </w:t>
      </w:r>
    </w:p>
    <w:p w14:paraId="10263E7B"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lang w:val="en-GB"/>
        </w:rPr>
        <w:t xml:space="preserve">C. Bynum, </w:t>
      </w:r>
      <w:r w:rsidRPr="009A120F">
        <w:rPr>
          <w:rFonts w:ascii="Cambria" w:hAnsi="Cambria"/>
          <w:b w:val="0"/>
          <w:bCs/>
          <w:i/>
          <w:sz w:val="18"/>
          <w:szCs w:val="18"/>
          <w:lang w:val="en-GB"/>
        </w:rPr>
        <w:t>Jesus as a mother : studies in spirituality of the High Middle Ages</w:t>
      </w:r>
      <w:r w:rsidRPr="009A120F">
        <w:rPr>
          <w:rFonts w:ascii="Cambria" w:hAnsi="Cambria"/>
          <w:b w:val="0"/>
          <w:bCs/>
          <w:sz w:val="18"/>
          <w:szCs w:val="18"/>
          <w:lang w:val="en-GB"/>
        </w:rPr>
        <w:t>, Los Angeles, 1984.</w:t>
      </w:r>
    </w:p>
    <w:p w14:paraId="2637ADA2"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D. Donadieu-Rigaut, </w:t>
      </w:r>
      <w:r w:rsidRPr="009A120F">
        <w:rPr>
          <w:rFonts w:ascii="Cambria" w:hAnsi="Cambria"/>
          <w:b w:val="0"/>
          <w:bCs/>
          <w:i/>
          <w:sz w:val="18"/>
          <w:szCs w:val="18"/>
        </w:rPr>
        <w:t>Penser en image les ordres religieux (XII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rPr>
        <w:t xml:space="preserve"> Paris, 2005. </w:t>
      </w:r>
    </w:p>
    <w:p w14:paraId="410CD52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nl-NL"/>
        </w:rPr>
        <w:t xml:space="preserve">J.-H. Foulon, </w:t>
      </w:r>
      <w:r w:rsidRPr="009A120F">
        <w:rPr>
          <w:rFonts w:ascii="Cambria" w:hAnsi="Cambria"/>
          <w:b w:val="0"/>
          <w:bCs/>
          <w:i/>
          <w:sz w:val="18"/>
          <w:szCs w:val="18"/>
        </w:rPr>
        <w:t>Église et réforme au Moyen Âge. Papauté, milieux réformateurs et ecclésiologie dans les pays de la Loire au tournant des XI</w:t>
      </w:r>
      <w:r w:rsidRPr="009A120F">
        <w:rPr>
          <w:rFonts w:ascii="Cambria" w:hAnsi="Cambria"/>
          <w:b w:val="0"/>
          <w:bCs/>
          <w:i/>
          <w:sz w:val="18"/>
          <w:szCs w:val="18"/>
          <w:vertAlign w:val="superscript"/>
        </w:rPr>
        <w:t>e</w:t>
      </w:r>
      <w:r w:rsidRPr="009A120F">
        <w:rPr>
          <w:rFonts w:ascii="Cambria" w:hAnsi="Cambria"/>
          <w:b w:val="0"/>
          <w:bCs/>
          <w:i/>
          <w:sz w:val="18"/>
          <w:szCs w:val="18"/>
        </w:rPr>
        <w:t>-XII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lang w:val="nl-NL"/>
        </w:rPr>
        <w:t>, Bruxelles, 2008, p. 369-379, 388-410, 483-493.</w:t>
      </w:r>
    </w:p>
    <w:p w14:paraId="24590C16"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J. Gaudemet, « Note sur le symbolisme médiéval. Le mariage de l’évêque », dans </w:t>
      </w:r>
      <w:r w:rsidRPr="009A120F">
        <w:rPr>
          <w:rFonts w:ascii="Cambria" w:hAnsi="Cambria"/>
          <w:b w:val="0"/>
          <w:bCs/>
          <w:i/>
          <w:sz w:val="18"/>
          <w:szCs w:val="18"/>
        </w:rPr>
        <w:t>La société ecclesiastique dans l’Occident médiéval</w:t>
      </w:r>
      <w:r w:rsidRPr="009A120F">
        <w:rPr>
          <w:rFonts w:ascii="Cambria" w:hAnsi="Cambria"/>
          <w:b w:val="0"/>
          <w:bCs/>
          <w:sz w:val="18"/>
          <w:szCs w:val="18"/>
        </w:rPr>
        <w:t>, Aldershot, 1980, n°X</w:t>
      </w:r>
    </w:p>
    <w:p w14:paraId="07316B35" w14:textId="77777777" w:rsidR="00F54175" w:rsidRPr="009A120F" w:rsidRDefault="00F54175" w:rsidP="00F54175">
      <w:pPr>
        <w:pStyle w:val="Listenumros1"/>
        <w:ind w:left="540" w:hanging="540"/>
        <w:rPr>
          <w:rFonts w:ascii="Cambria" w:hAnsi="Cambria"/>
          <w:bCs/>
          <w:sz w:val="18"/>
          <w:szCs w:val="18"/>
          <w:lang w:val="nl-NL"/>
        </w:rPr>
      </w:pPr>
      <w:r w:rsidRPr="009A120F">
        <w:rPr>
          <w:rFonts w:ascii="Cambria" w:hAnsi="Cambria"/>
          <w:bCs/>
          <w:i/>
          <w:iCs/>
          <w:sz w:val="18"/>
          <w:szCs w:val="18"/>
        </w:rPr>
        <w:t>Guerriers et moines. Conversion et sainteté aristocratiques dans l’Occident médiéval (IX</w:t>
      </w:r>
      <w:r w:rsidRPr="009A120F">
        <w:rPr>
          <w:rFonts w:ascii="Cambria" w:hAnsi="Cambria"/>
          <w:bCs/>
          <w:i/>
          <w:iCs/>
          <w:sz w:val="18"/>
          <w:szCs w:val="18"/>
          <w:vertAlign w:val="superscript"/>
        </w:rPr>
        <w:t>e</w:t>
      </w:r>
      <w:r w:rsidRPr="009A120F">
        <w:rPr>
          <w:rFonts w:ascii="Cambria" w:hAnsi="Cambria"/>
          <w:bCs/>
          <w:i/>
          <w:iCs/>
          <w:sz w:val="18"/>
          <w:szCs w:val="18"/>
        </w:rPr>
        <w:t>-XII</w:t>
      </w:r>
      <w:r w:rsidRPr="009A120F">
        <w:rPr>
          <w:rFonts w:ascii="Cambria" w:hAnsi="Cambria"/>
          <w:bCs/>
          <w:i/>
          <w:iCs/>
          <w:sz w:val="18"/>
          <w:szCs w:val="18"/>
          <w:vertAlign w:val="superscript"/>
        </w:rPr>
        <w:t>e</w:t>
      </w:r>
      <w:r w:rsidRPr="009A120F">
        <w:rPr>
          <w:rFonts w:ascii="Cambria" w:hAnsi="Cambria"/>
          <w:bCs/>
          <w:i/>
          <w:iCs/>
          <w:sz w:val="18"/>
          <w:szCs w:val="18"/>
        </w:rPr>
        <w:t xml:space="preserve"> siècle)</w:t>
      </w:r>
      <w:r w:rsidRPr="009A120F">
        <w:rPr>
          <w:rFonts w:ascii="Cambria" w:hAnsi="Cambria"/>
          <w:bCs/>
          <w:sz w:val="18"/>
          <w:szCs w:val="18"/>
        </w:rPr>
        <w:t>, M. </w:t>
      </w:r>
      <w:r w:rsidRPr="009A120F">
        <w:rPr>
          <w:rFonts w:ascii="Cambria" w:hAnsi="Cambria"/>
          <w:bCs/>
          <w:sz w:val="18"/>
          <w:szCs w:val="18"/>
          <w:lang w:val="it-IT"/>
        </w:rPr>
        <w:t>Lauwers</w:t>
      </w:r>
      <w:r w:rsidRPr="009A120F">
        <w:rPr>
          <w:rFonts w:ascii="Cambria" w:hAnsi="Cambria"/>
          <w:bCs/>
          <w:sz w:val="18"/>
          <w:szCs w:val="18"/>
        </w:rPr>
        <w:t xml:space="preserve"> (éd.), Antibes, 2002.</w:t>
      </w:r>
    </w:p>
    <w:p w14:paraId="0DEA811C"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nl-NL"/>
        </w:rPr>
        <w:t xml:space="preserve">C. Ihm-Belting, </w:t>
      </w:r>
      <w:r w:rsidRPr="009A120F">
        <w:rPr>
          <w:rFonts w:ascii="Cambria" w:hAnsi="Cambria"/>
          <w:bCs/>
          <w:i/>
          <w:sz w:val="18"/>
          <w:szCs w:val="18"/>
          <w:lang w:val="nl-NL"/>
        </w:rPr>
        <w:t>Sub tutela matris</w:t>
      </w:r>
      <w:r w:rsidRPr="009A120F">
        <w:rPr>
          <w:rFonts w:ascii="Cambria" w:hAnsi="Cambria"/>
          <w:bCs/>
          <w:sz w:val="18"/>
          <w:szCs w:val="18"/>
          <w:lang w:val="nl-NL"/>
        </w:rPr>
        <w:t xml:space="preserve">. </w:t>
      </w:r>
      <w:r w:rsidRPr="009A120F">
        <w:rPr>
          <w:rFonts w:ascii="Cambria" w:hAnsi="Cambria"/>
          <w:bCs/>
          <w:i/>
          <w:sz w:val="18"/>
          <w:szCs w:val="18"/>
          <w:lang w:val="nl-NL"/>
        </w:rPr>
        <w:t>Untersuschungen zur Vorgeschichte der Schutzmantelmadonna</w:t>
      </w:r>
      <w:r w:rsidRPr="009A120F">
        <w:rPr>
          <w:rFonts w:ascii="Cambria" w:hAnsi="Cambria"/>
          <w:bCs/>
          <w:sz w:val="18"/>
          <w:szCs w:val="18"/>
          <w:lang w:val="nl-NL"/>
        </w:rPr>
        <w:t>, Heidelberg, 1976.</w:t>
      </w:r>
    </w:p>
    <w:p w14:paraId="7867D32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W. Imkamp, « </w:t>
      </w:r>
      <w:r w:rsidRPr="009A120F">
        <w:rPr>
          <w:rFonts w:ascii="Cambria" w:hAnsi="Cambria"/>
          <w:b w:val="0"/>
          <w:bCs/>
          <w:i/>
          <w:sz w:val="18"/>
          <w:szCs w:val="18"/>
        </w:rPr>
        <w:t>Pastor et sponsus</w:t>
      </w:r>
      <w:r w:rsidRPr="009A120F">
        <w:rPr>
          <w:rFonts w:ascii="Cambria" w:hAnsi="Cambria"/>
          <w:b w:val="0"/>
          <w:bCs/>
          <w:sz w:val="18"/>
          <w:szCs w:val="18"/>
        </w:rPr>
        <w:t xml:space="preserve">. Elemente einer Theologie des bischöflichen Amtes bei Innocenz III », dans </w:t>
      </w:r>
      <w:r w:rsidRPr="009A120F">
        <w:rPr>
          <w:rFonts w:ascii="Cambria" w:hAnsi="Cambria"/>
          <w:b w:val="0"/>
          <w:bCs/>
          <w:i/>
          <w:sz w:val="18"/>
          <w:szCs w:val="18"/>
        </w:rPr>
        <w:t>Aus Kirche und Reich. Studien zu Thoelogie, Politik und Recht im Mittelalter. Festschrift für Fredriech Kempf</w:t>
      </w:r>
      <w:r w:rsidRPr="009A120F">
        <w:rPr>
          <w:rFonts w:ascii="Cambria" w:hAnsi="Cambria"/>
          <w:b w:val="0"/>
          <w:bCs/>
          <w:sz w:val="18"/>
          <w:szCs w:val="18"/>
        </w:rPr>
        <w:t>, Sigmaringen, 1983, p. 285-294.</w:t>
      </w:r>
    </w:p>
    <w:p w14:paraId="421B8F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H. de Lubac, « La maternité de l’Église », dans </w:t>
      </w:r>
      <w:r w:rsidRPr="009A120F">
        <w:rPr>
          <w:rFonts w:ascii="Cambria" w:hAnsi="Cambria"/>
          <w:b w:val="0"/>
          <w:bCs/>
          <w:i/>
          <w:sz w:val="18"/>
          <w:szCs w:val="18"/>
        </w:rPr>
        <w:t>id</w:t>
      </w:r>
      <w:r w:rsidRPr="009A120F">
        <w:rPr>
          <w:rFonts w:ascii="Cambria" w:hAnsi="Cambria"/>
          <w:b w:val="0"/>
          <w:bCs/>
          <w:sz w:val="18"/>
          <w:szCs w:val="18"/>
        </w:rPr>
        <w:t xml:space="preserve">., </w:t>
      </w:r>
      <w:r w:rsidRPr="009A120F">
        <w:rPr>
          <w:rFonts w:ascii="Cambria" w:hAnsi="Cambria"/>
          <w:b w:val="0"/>
          <w:bCs/>
          <w:i/>
          <w:sz w:val="18"/>
          <w:szCs w:val="18"/>
        </w:rPr>
        <w:t>Les églises particulières de l’Église universelle</w:t>
      </w:r>
      <w:r w:rsidRPr="009A120F">
        <w:rPr>
          <w:rFonts w:ascii="Cambria" w:hAnsi="Cambria"/>
          <w:b w:val="0"/>
          <w:bCs/>
          <w:sz w:val="18"/>
          <w:szCs w:val="18"/>
        </w:rPr>
        <w:t>, Paris, 1971, p. 141-229.</w:t>
      </w:r>
    </w:p>
    <w:p w14:paraId="365DEF4E"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W. Marchel, « Paternité de Dieu », </w:t>
      </w:r>
      <w:r w:rsidRPr="009A120F">
        <w:rPr>
          <w:rFonts w:ascii="Cambria" w:hAnsi="Cambria"/>
          <w:b w:val="0"/>
          <w:bCs/>
          <w:i/>
          <w:sz w:val="18"/>
          <w:szCs w:val="18"/>
        </w:rPr>
        <w:t>Dictionnaire de spiritualité</w:t>
      </w:r>
      <w:r w:rsidRPr="009A120F">
        <w:rPr>
          <w:rFonts w:ascii="Cambria" w:hAnsi="Cambria"/>
          <w:b w:val="0"/>
          <w:bCs/>
          <w:sz w:val="18"/>
          <w:szCs w:val="18"/>
        </w:rPr>
        <w:t>, t. XII, c. 413-429.</w:t>
      </w:r>
    </w:p>
    <w:p w14:paraId="4CB26531" w14:textId="77777777" w:rsidR="00F54175" w:rsidRPr="009A120F" w:rsidRDefault="00F54175" w:rsidP="00F54175">
      <w:pPr>
        <w:ind w:left="540" w:hanging="540"/>
        <w:jc w:val="both"/>
        <w:rPr>
          <w:b w:val="0"/>
          <w:bCs/>
          <w:sz w:val="18"/>
          <w:szCs w:val="18"/>
        </w:rPr>
      </w:pPr>
      <w:r w:rsidRPr="009A120F">
        <w:rPr>
          <w:b w:val="0"/>
          <w:bCs/>
          <w:i/>
          <w:sz w:val="18"/>
          <w:szCs w:val="18"/>
        </w:rPr>
        <w:t>Marie. Le culte de la vierge dans la société médiévale</w:t>
      </w:r>
      <w:r w:rsidRPr="009A120F">
        <w:rPr>
          <w:b w:val="0"/>
          <w:bCs/>
          <w:sz w:val="18"/>
          <w:szCs w:val="18"/>
        </w:rPr>
        <w:t>, D. Iogna-Prat, E. Palazzo, D. Russo (dir.), Paris, 1996.</w:t>
      </w:r>
    </w:p>
    <w:p w14:paraId="72E0EB2E" w14:textId="77777777" w:rsidR="00F54175" w:rsidRPr="009A120F" w:rsidRDefault="00F54175" w:rsidP="00F54175">
      <w:pPr>
        <w:pStyle w:val="Listenumros1"/>
        <w:ind w:left="540" w:hanging="540"/>
        <w:rPr>
          <w:bCs/>
          <w:sz w:val="18"/>
          <w:szCs w:val="18"/>
        </w:rPr>
      </w:pPr>
      <w:r w:rsidRPr="009A120F">
        <w:rPr>
          <w:bCs/>
          <w:sz w:val="18"/>
          <w:szCs w:val="18"/>
        </w:rPr>
        <w:t xml:space="preserve">C. de Miramon, « Embrasser l’état monastique à l’âge adulte (1050-1200). Étude de la conversion tardive », </w:t>
      </w:r>
      <w:r w:rsidRPr="009A120F">
        <w:rPr>
          <w:bCs/>
          <w:i/>
          <w:iCs/>
          <w:sz w:val="18"/>
          <w:szCs w:val="18"/>
        </w:rPr>
        <w:t>Annales HSS</w:t>
      </w:r>
      <w:r w:rsidRPr="009A120F">
        <w:rPr>
          <w:bCs/>
          <w:iCs/>
          <w:sz w:val="18"/>
          <w:szCs w:val="18"/>
        </w:rPr>
        <w:t>,</w:t>
      </w:r>
      <w:r w:rsidRPr="009A120F">
        <w:rPr>
          <w:bCs/>
          <w:sz w:val="18"/>
          <w:szCs w:val="18"/>
        </w:rPr>
        <w:t xml:space="preserve"> 1999, p. 825-849.</w:t>
      </w:r>
    </w:p>
    <w:p w14:paraId="39AB308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Morsel, « Dieu, l’homme, la femme et le pouvoir. Les fondements de l’ordre social d’après le Jeu d’Adam », dans </w:t>
      </w:r>
      <w:r w:rsidRPr="009A120F">
        <w:rPr>
          <w:rFonts w:ascii="Cambria" w:hAnsi="Cambria"/>
          <w:bCs/>
          <w:i/>
          <w:iCs/>
          <w:sz w:val="18"/>
          <w:szCs w:val="18"/>
        </w:rPr>
        <w:t>Retour aux sources. Textes, études et documents d’histoire médiévale offerts à Michel Parisse</w:t>
      </w:r>
      <w:r w:rsidRPr="009A120F">
        <w:rPr>
          <w:rFonts w:ascii="Cambria" w:hAnsi="Cambria"/>
          <w:bCs/>
          <w:sz w:val="18"/>
          <w:szCs w:val="18"/>
        </w:rPr>
        <w:t>, Paris, 2004, p. 537-549.</w:t>
      </w:r>
    </w:p>
    <w:p w14:paraId="479672E7" w14:textId="77777777" w:rsidR="00DC27BD" w:rsidRPr="009A120F" w:rsidRDefault="00DC27BD" w:rsidP="00F54175">
      <w:pPr>
        <w:pStyle w:val="Listenumros1"/>
        <w:ind w:left="540" w:hanging="540"/>
        <w:rPr>
          <w:rFonts w:ascii="Cambria" w:hAnsi="Cambria"/>
          <w:bCs/>
          <w:sz w:val="18"/>
          <w:szCs w:val="18"/>
        </w:rPr>
      </w:pPr>
    </w:p>
    <w:p w14:paraId="7770BB2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Paravicini Bagliani, </w:t>
      </w:r>
      <w:r w:rsidRPr="009A120F">
        <w:rPr>
          <w:rFonts w:ascii="Cambria" w:hAnsi="Cambria"/>
          <w:b w:val="0"/>
          <w:bCs/>
          <w:i/>
          <w:sz w:val="18"/>
          <w:szCs w:val="18"/>
        </w:rPr>
        <w:t>Le corps du pape</w:t>
      </w:r>
      <w:r w:rsidRPr="009A120F">
        <w:rPr>
          <w:rFonts w:ascii="Cambria" w:hAnsi="Cambria"/>
          <w:b w:val="0"/>
          <w:bCs/>
          <w:sz w:val="18"/>
          <w:szCs w:val="18"/>
        </w:rPr>
        <w:t xml:space="preserve">, Paris, 1997. </w:t>
      </w:r>
    </w:p>
    <w:p w14:paraId="3AC97FEB"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P. Payan, </w:t>
      </w:r>
      <w:r w:rsidRPr="009A120F">
        <w:rPr>
          <w:rFonts w:ascii="Cambria" w:hAnsi="Cambria"/>
          <w:b w:val="0"/>
          <w:bCs/>
          <w:i/>
          <w:sz w:val="18"/>
          <w:szCs w:val="18"/>
        </w:rPr>
        <w:t>Joseph</w:t>
      </w:r>
      <w:r w:rsidRPr="009A120F">
        <w:rPr>
          <w:rFonts w:ascii="Cambria" w:hAnsi="Cambria"/>
          <w:b w:val="0"/>
          <w:bCs/>
          <w:sz w:val="18"/>
          <w:szCs w:val="18"/>
        </w:rPr>
        <w:t xml:space="preserve">, </w:t>
      </w:r>
      <w:r w:rsidRPr="009A120F">
        <w:rPr>
          <w:rFonts w:ascii="Cambria" w:hAnsi="Cambria"/>
          <w:b w:val="0"/>
          <w:bCs/>
          <w:i/>
          <w:sz w:val="18"/>
          <w:szCs w:val="18"/>
        </w:rPr>
        <w:t>une image de la paternité dans l’Occident médiéval</w:t>
      </w:r>
      <w:r w:rsidRPr="009A120F">
        <w:rPr>
          <w:rFonts w:ascii="Cambria" w:hAnsi="Cambria"/>
          <w:b w:val="0"/>
          <w:bCs/>
          <w:sz w:val="18"/>
          <w:szCs w:val="18"/>
        </w:rPr>
        <w:t>, Paris, 2006.</w:t>
      </w:r>
    </w:p>
    <w:p w14:paraId="5F3D3ACD" w14:textId="77777777" w:rsidR="00F54175" w:rsidRPr="009A120F" w:rsidRDefault="00F54175" w:rsidP="00F54175">
      <w:pPr>
        <w:pStyle w:val="Listenumros1"/>
        <w:ind w:left="540" w:hanging="540"/>
        <w:rPr>
          <w:rFonts w:ascii="Cambria" w:hAnsi="Cambria"/>
          <w:bCs/>
          <w:i/>
          <w:sz w:val="18"/>
          <w:szCs w:val="18"/>
        </w:rPr>
      </w:pPr>
      <w:r w:rsidRPr="009A120F">
        <w:rPr>
          <w:rFonts w:ascii="Cambria" w:hAnsi="Cambria"/>
          <w:bCs/>
          <w:sz w:val="18"/>
          <w:szCs w:val="18"/>
          <w:lang w:val="nl-NL"/>
        </w:rPr>
        <w:t xml:space="preserve">P. Perdrizet, </w:t>
      </w:r>
      <w:r w:rsidRPr="009A120F">
        <w:rPr>
          <w:rFonts w:ascii="Cambria" w:hAnsi="Cambria"/>
          <w:bCs/>
          <w:i/>
          <w:sz w:val="18"/>
          <w:szCs w:val="18"/>
        </w:rPr>
        <w:t>La Vierge de miséricorde. Étude d’un thème iconographique</w:t>
      </w:r>
      <w:r w:rsidRPr="009A120F">
        <w:rPr>
          <w:rFonts w:ascii="Cambria" w:hAnsi="Cambria"/>
          <w:bCs/>
          <w:sz w:val="18"/>
          <w:szCs w:val="18"/>
          <w:lang w:val="nl-NL"/>
        </w:rPr>
        <w:t xml:space="preserve">, </w:t>
      </w:r>
      <w:r w:rsidRPr="009A120F">
        <w:rPr>
          <w:rFonts w:ascii="Cambria" w:hAnsi="Cambria"/>
          <w:bCs/>
          <w:sz w:val="18"/>
          <w:szCs w:val="18"/>
          <w:lang w:val="nl-NL"/>
        </w:rPr>
        <w:br/>
        <w:t>Paris, 1908.</w:t>
      </w:r>
    </w:p>
    <w:p w14:paraId="4B05C1E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La protection spirituelle au Moyen Âge</w:t>
      </w:r>
      <w:r w:rsidRPr="009A120F">
        <w:rPr>
          <w:rFonts w:ascii="Cambria" w:hAnsi="Cambria"/>
          <w:b w:val="0"/>
          <w:bCs/>
          <w:sz w:val="18"/>
          <w:szCs w:val="18"/>
        </w:rPr>
        <w:t xml:space="preserve">, </w:t>
      </w:r>
      <w:r w:rsidRPr="009A120F">
        <w:rPr>
          <w:rFonts w:ascii="Cambria" w:hAnsi="Cambria"/>
          <w:b w:val="0"/>
          <w:bCs/>
          <w:i/>
          <w:sz w:val="18"/>
          <w:szCs w:val="18"/>
        </w:rPr>
        <w:t>Cahiers de recherches médiévales</w:t>
      </w:r>
      <w:r w:rsidRPr="009A120F">
        <w:rPr>
          <w:rFonts w:ascii="Cambria" w:hAnsi="Cambria"/>
          <w:b w:val="0"/>
          <w:bCs/>
          <w:sz w:val="18"/>
          <w:szCs w:val="18"/>
        </w:rPr>
        <w:t>, 8 (2001).</w:t>
      </w:r>
    </w:p>
    <w:p w14:paraId="36ECCFA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Rigaux, </w:t>
      </w:r>
      <w:r w:rsidRPr="009A120F">
        <w:rPr>
          <w:rFonts w:ascii="Cambria" w:hAnsi="Cambria"/>
          <w:b w:val="0"/>
          <w:bCs/>
          <w:color w:val="220100"/>
          <w:sz w:val="18"/>
          <w:szCs w:val="18"/>
        </w:rPr>
        <w:t xml:space="preserve">« Les ordres religieux et le manteau de Marie », </w:t>
      </w:r>
      <w:r w:rsidRPr="009A120F">
        <w:rPr>
          <w:rStyle w:val="Accentuation"/>
          <w:rFonts w:ascii="Cambria" w:hAnsi="Cambria"/>
          <w:b w:val="0"/>
          <w:bCs/>
          <w:color w:val="220100"/>
          <w:sz w:val="18"/>
          <w:szCs w:val="18"/>
        </w:rPr>
        <w:t>Cahiers de Recherches Médiévales</w:t>
      </w:r>
      <w:r w:rsidRPr="009A120F">
        <w:rPr>
          <w:rFonts w:ascii="Cambria" w:hAnsi="Cambria"/>
          <w:b w:val="0"/>
          <w:bCs/>
          <w:color w:val="220100"/>
          <w:sz w:val="18"/>
          <w:szCs w:val="18"/>
        </w:rPr>
        <w:t>, 8, 2001, p. 107-134.</w:t>
      </w:r>
    </w:p>
    <w:p w14:paraId="35E7028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M.-L. Thérel, </w:t>
      </w:r>
      <w:r w:rsidRPr="009A120F">
        <w:rPr>
          <w:rFonts w:ascii="Cambria" w:hAnsi="Cambria"/>
          <w:b w:val="0"/>
          <w:bCs/>
          <w:i/>
          <w:sz w:val="18"/>
          <w:szCs w:val="18"/>
        </w:rPr>
        <w:t>Le triomphe de la Vierge-Église</w:t>
      </w:r>
      <w:r w:rsidRPr="009A120F">
        <w:rPr>
          <w:rFonts w:ascii="Cambria" w:hAnsi="Cambria"/>
          <w:b w:val="0"/>
          <w:bCs/>
          <w:sz w:val="18"/>
          <w:szCs w:val="18"/>
        </w:rPr>
        <w:t xml:space="preserve">, Paris, 1984. </w:t>
      </w:r>
    </w:p>
    <w:p w14:paraId="7A57B141" w14:textId="77777777" w:rsidR="00F54175" w:rsidRPr="009A120F" w:rsidRDefault="00F54175" w:rsidP="00F54175">
      <w:pPr>
        <w:ind w:left="540" w:hanging="540"/>
        <w:jc w:val="both"/>
        <w:rPr>
          <w:rFonts w:ascii="Cambria" w:hAnsi="Cambria"/>
          <w:b w:val="0"/>
          <w:bCs/>
          <w:sz w:val="18"/>
          <w:szCs w:val="18"/>
          <w:lang w:val="de-DE"/>
        </w:rPr>
      </w:pPr>
      <w:r w:rsidRPr="009A120F">
        <w:rPr>
          <w:rFonts w:ascii="Cambria" w:hAnsi="Cambria"/>
          <w:b w:val="0"/>
          <w:bCs/>
          <w:sz w:val="18"/>
          <w:szCs w:val="18"/>
        </w:rPr>
        <w:t xml:space="preserve">H. Toubert, « Les représentations de </w:t>
      </w:r>
      <w:r w:rsidRPr="009A120F">
        <w:rPr>
          <w:rFonts w:ascii="Cambria" w:hAnsi="Cambria"/>
          <w:b w:val="0"/>
          <w:bCs/>
          <w:i/>
          <w:sz w:val="18"/>
          <w:szCs w:val="18"/>
        </w:rPr>
        <w:t>l’Ecclesia</w:t>
      </w:r>
      <w:r w:rsidRPr="009A120F">
        <w:rPr>
          <w:rFonts w:ascii="Cambria" w:hAnsi="Cambria"/>
          <w:b w:val="0"/>
          <w:bCs/>
          <w:sz w:val="18"/>
          <w:szCs w:val="18"/>
        </w:rPr>
        <w:t xml:space="preserve"> dans l’art des X</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sz w:val="18"/>
          <w:szCs w:val="18"/>
        </w:rPr>
        <w:t>ead</w:t>
      </w:r>
      <w:r w:rsidRPr="009A120F">
        <w:rPr>
          <w:rFonts w:ascii="Cambria" w:hAnsi="Cambria"/>
          <w:b w:val="0"/>
          <w:bCs/>
          <w:sz w:val="18"/>
          <w:szCs w:val="18"/>
        </w:rPr>
        <w:t xml:space="preserve">., </w:t>
      </w:r>
      <w:r w:rsidRPr="009A120F">
        <w:rPr>
          <w:rFonts w:ascii="Cambria" w:hAnsi="Cambria"/>
          <w:b w:val="0"/>
          <w:bCs/>
          <w:i/>
          <w:sz w:val="18"/>
          <w:szCs w:val="18"/>
        </w:rPr>
        <w:t>Un art dirigé. Réforme grégorienne et iconographie</w:t>
      </w:r>
      <w:r w:rsidRPr="009A120F">
        <w:rPr>
          <w:rFonts w:ascii="Cambria" w:hAnsi="Cambria"/>
          <w:b w:val="0"/>
          <w:bCs/>
          <w:sz w:val="18"/>
          <w:szCs w:val="18"/>
        </w:rPr>
        <w:t>, Paris, 1990, p. 37-63.</w:t>
      </w:r>
    </w:p>
    <w:p w14:paraId="1137F2C4"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lang w:val="de-DE"/>
        </w:rPr>
        <w:t>J. Wollasch,</w:t>
      </w:r>
      <w:r w:rsidRPr="009A120F">
        <w:rPr>
          <w:rFonts w:ascii="Cambria" w:hAnsi="Cambria"/>
          <w:bCs/>
          <w:sz w:val="18"/>
          <w:szCs w:val="18"/>
        </w:rPr>
        <w:t xml:space="preserve"> « Parenté noble et monachisme réformateur. Observations sur les “conversions” à la vie monastique aux XI</w:t>
      </w:r>
      <w:r w:rsidRPr="009A120F">
        <w:rPr>
          <w:rFonts w:ascii="Cambria" w:hAnsi="Cambria"/>
          <w:bCs/>
          <w:sz w:val="18"/>
          <w:szCs w:val="18"/>
          <w:vertAlign w:val="superscript"/>
        </w:rPr>
        <w:t>e</w:t>
      </w:r>
      <w:r w:rsidRPr="009A120F">
        <w:rPr>
          <w:rFonts w:ascii="Cambria" w:hAnsi="Cambria"/>
          <w:bCs/>
          <w:sz w:val="18"/>
          <w:szCs w:val="18"/>
        </w:rPr>
        <w:t xml:space="preserve"> et XII</w:t>
      </w:r>
      <w:r w:rsidRPr="009A120F">
        <w:rPr>
          <w:rFonts w:ascii="Cambria" w:hAnsi="Cambria"/>
          <w:bCs/>
          <w:sz w:val="18"/>
          <w:szCs w:val="18"/>
          <w:vertAlign w:val="superscript"/>
        </w:rPr>
        <w:t>e</w:t>
      </w:r>
      <w:r w:rsidRPr="009A120F">
        <w:rPr>
          <w:rFonts w:ascii="Cambria" w:hAnsi="Cambria"/>
          <w:bCs/>
          <w:sz w:val="18"/>
          <w:szCs w:val="18"/>
        </w:rPr>
        <w:t xml:space="preserve"> siècles », </w:t>
      </w:r>
      <w:r w:rsidRPr="009A120F">
        <w:rPr>
          <w:rFonts w:ascii="Cambria" w:hAnsi="Cambria"/>
          <w:bCs/>
          <w:i/>
          <w:iCs/>
          <w:sz w:val="18"/>
          <w:szCs w:val="18"/>
        </w:rPr>
        <w:t>Revue historique</w:t>
      </w:r>
      <w:r w:rsidRPr="009A120F">
        <w:rPr>
          <w:rFonts w:ascii="Cambria" w:hAnsi="Cambria"/>
          <w:bCs/>
          <w:iCs/>
          <w:sz w:val="18"/>
          <w:szCs w:val="18"/>
        </w:rPr>
        <w:t>,</w:t>
      </w:r>
      <w:r w:rsidRPr="009A120F">
        <w:rPr>
          <w:rFonts w:ascii="Cambria" w:hAnsi="Cambria"/>
          <w:bCs/>
          <w:i/>
          <w:iCs/>
          <w:sz w:val="18"/>
          <w:szCs w:val="18"/>
        </w:rPr>
        <w:t xml:space="preserve"> </w:t>
      </w:r>
      <w:r w:rsidRPr="009A120F">
        <w:rPr>
          <w:rFonts w:ascii="Cambria" w:hAnsi="Cambria"/>
          <w:bCs/>
          <w:sz w:val="18"/>
          <w:szCs w:val="18"/>
        </w:rPr>
        <w:t>264 (1980), p. 3-24.</w:t>
      </w:r>
    </w:p>
    <w:p w14:paraId="2A690F43" w14:textId="77777777" w:rsidR="00F54175" w:rsidRPr="009A120F" w:rsidRDefault="00F54175" w:rsidP="00F54175">
      <w:pPr>
        <w:ind w:left="540" w:hanging="540"/>
        <w:jc w:val="both"/>
        <w:rPr>
          <w:b w:val="0"/>
          <w:bCs/>
          <w:sz w:val="18"/>
          <w:szCs w:val="18"/>
        </w:rPr>
      </w:pPr>
    </w:p>
    <w:p w14:paraId="1B7B50D0" w14:textId="77777777" w:rsidR="00F54175" w:rsidRPr="009A120F" w:rsidRDefault="00F54175" w:rsidP="00F54175">
      <w:pPr>
        <w:jc w:val="both"/>
        <w:rPr>
          <w:sz w:val="18"/>
          <w:szCs w:val="18"/>
        </w:rPr>
      </w:pPr>
    </w:p>
    <w:p w14:paraId="64D7FC60" w14:textId="77777777" w:rsidR="00F54175" w:rsidRPr="009A120F" w:rsidRDefault="00F54175" w:rsidP="00F54175">
      <w:pPr>
        <w:jc w:val="both"/>
        <w:rPr>
          <w:sz w:val="18"/>
          <w:szCs w:val="18"/>
        </w:rPr>
      </w:pPr>
    </w:p>
    <w:p w14:paraId="4CF9CD49" w14:textId="77777777" w:rsidR="00F54175" w:rsidRPr="009A120F" w:rsidRDefault="00F54175" w:rsidP="00F54175">
      <w:pPr>
        <w:rPr>
          <w:sz w:val="18"/>
          <w:szCs w:val="18"/>
        </w:rPr>
      </w:pPr>
    </w:p>
    <w:p w14:paraId="26453E44" w14:textId="77777777" w:rsidR="00F54175" w:rsidRPr="009A120F" w:rsidRDefault="00F54175" w:rsidP="00F54175">
      <w:pPr>
        <w:rPr>
          <w:sz w:val="18"/>
          <w:szCs w:val="18"/>
        </w:rPr>
      </w:pPr>
    </w:p>
    <w:p w14:paraId="0EC11477" w14:textId="77777777" w:rsidR="00F55481" w:rsidRPr="009A120F" w:rsidRDefault="00F55481" w:rsidP="00F55481">
      <w:pPr>
        <w:rPr>
          <w:rFonts w:ascii="Cambria" w:hAnsi="Cambria" w:cs="Times New Roman"/>
          <w:sz w:val="18"/>
          <w:szCs w:val="18"/>
        </w:rPr>
      </w:pPr>
    </w:p>
    <w:p w14:paraId="261BB757" w14:textId="77777777" w:rsidR="002643A5" w:rsidRPr="009A120F" w:rsidRDefault="002643A5" w:rsidP="00F55481">
      <w:pPr>
        <w:rPr>
          <w:rFonts w:ascii="Cambria" w:hAnsi="Cambria" w:cs="Times New Roman"/>
          <w:sz w:val="18"/>
          <w:szCs w:val="18"/>
        </w:rPr>
      </w:pPr>
    </w:p>
    <w:p w14:paraId="3FDD8F97" w14:textId="77777777" w:rsidR="009F482A" w:rsidRPr="009A120F" w:rsidRDefault="009F482A" w:rsidP="00F55481">
      <w:pPr>
        <w:rPr>
          <w:rFonts w:ascii="Cambria" w:hAnsi="Cambria" w:cs="Times New Roman"/>
          <w:sz w:val="18"/>
          <w:szCs w:val="18"/>
        </w:rPr>
      </w:pPr>
    </w:p>
    <w:p w14:paraId="2067BD1A" w14:textId="77777777" w:rsidR="009F482A" w:rsidRPr="009A120F" w:rsidRDefault="009F482A" w:rsidP="00F55481">
      <w:pPr>
        <w:rPr>
          <w:rFonts w:ascii="Cambria" w:hAnsi="Cambria" w:cs="Times New Roman"/>
          <w:sz w:val="18"/>
          <w:szCs w:val="18"/>
        </w:rPr>
      </w:pPr>
    </w:p>
    <w:p w14:paraId="73CEF4DE" w14:textId="77777777" w:rsidR="009F482A" w:rsidRPr="009A120F" w:rsidRDefault="009F482A" w:rsidP="00F55481">
      <w:pPr>
        <w:rPr>
          <w:rFonts w:ascii="Cambria" w:hAnsi="Cambria" w:cs="Times New Roman"/>
          <w:sz w:val="18"/>
          <w:szCs w:val="18"/>
        </w:rPr>
      </w:pPr>
    </w:p>
    <w:p w14:paraId="43191176" w14:textId="77777777" w:rsidR="00417511" w:rsidRPr="009A120F" w:rsidRDefault="00417511" w:rsidP="00C62270">
      <w:pPr>
        <w:spacing w:after="0" w:line="276" w:lineRule="auto"/>
        <w:contextualSpacing/>
        <w:rPr>
          <w:rFonts w:ascii="Cambria" w:hAnsi="Cambria" w:cs="Times New Roman"/>
          <w:sz w:val="18"/>
          <w:szCs w:val="18"/>
          <w:lang w:eastAsia="fr-FR"/>
        </w:rPr>
      </w:pPr>
    </w:p>
    <w:p w14:paraId="777F5B2A" w14:textId="77777777" w:rsidR="00D0646F" w:rsidRDefault="00D0646F" w:rsidP="00C62270">
      <w:pPr>
        <w:spacing w:after="0" w:line="276" w:lineRule="auto"/>
        <w:contextualSpacing/>
        <w:rPr>
          <w:rFonts w:ascii="Cambria" w:hAnsi="Cambria" w:cs="Times New Roman"/>
          <w:lang w:eastAsia="fr-FR"/>
        </w:rPr>
      </w:pPr>
    </w:p>
    <w:p w14:paraId="4CC38C5D" w14:textId="77777777" w:rsidR="009A120F" w:rsidRDefault="009A120F" w:rsidP="00C62270">
      <w:pPr>
        <w:spacing w:after="0" w:line="276" w:lineRule="auto"/>
        <w:contextualSpacing/>
        <w:rPr>
          <w:rFonts w:ascii="Cambria" w:hAnsi="Cambria" w:cs="Times New Roman"/>
          <w:lang w:eastAsia="fr-FR"/>
        </w:rPr>
      </w:pPr>
    </w:p>
    <w:p w14:paraId="04C8E63E" w14:textId="77777777" w:rsidR="009A120F" w:rsidRDefault="009A120F" w:rsidP="00C62270">
      <w:pPr>
        <w:spacing w:after="0" w:line="276" w:lineRule="auto"/>
        <w:contextualSpacing/>
        <w:rPr>
          <w:rFonts w:ascii="Cambria" w:hAnsi="Cambria" w:cs="Times New Roman"/>
          <w:lang w:eastAsia="fr-FR"/>
        </w:rPr>
      </w:pPr>
    </w:p>
    <w:p w14:paraId="624E98EC" w14:textId="77777777" w:rsidR="009A120F" w:rsidRDefault="009A120F" w:rsidP="00C62270">
      <w:pPr>
        <w:spacing w:after="0" w:line="276" w:lineRule="auto"/>
        <w:contextualSpacing/>
        <w:rPr>
          <w:rFonts w:ascii="Cambria" w:hAnsi="Cambria" w:cs="Times New Roman"/>
          <w:lang w:eastAsia="fr-FR"/>
        </w:rPr>
      </w:pPr>
    </w:p>
    <w:p w14:paraId="43A9B5F6" w14:textId="77777777" w:rsidR="009A120F" w:rsidRDefault="009A120F" w:rsidP="00C62270">
      <w:pPr>
        <w:spacing w:after="0" w:line="276" w:lineRule="auto"/>
        <w:contextualSpacing/>
        <w:rPr>
          <w:rFonts w:ascii="Cambria" w:hAnsi="Cambria" w:cs="Times New Roman"/>
          <w:lang w:eastAsia="fr-FR"/>
        </w:rPr>
      </w:pPr>
    </w:p>
    <w:p w14:paraId="5100B404" w14:textId="77777777" w:rsidR="009A120F" w:rsidRDefault="009A120F" w:rsidP="00C62270">
      <w:pPr>
        <w:spacing w:after="0" w:line="276" w:lineRule="auto"/>
        <w:contextualSpacing/>
        <w:rPr>
          <w:rFonts w:ascii="Cambria" w:hAnsi="Cambria" w:cs="Times New Roman"/>
          <w:lang w:eastAsia="fr-FR"/>
        </w:rPr>
      </w:pPr>
    </w:p>
    <w:p w14:paraId="5781354C" w14:textId="77777777" w:rsidR="009A120F" w:rsidRDefault="009A120F" w:rsidP="00C62270">
      <w:pPr>
        <w:spacing w:after="0" w:line="276" w:lineRule="auto"/>
        <w:contextualSpacing/>
        <w:rPr>
          <w:rFonts w:ascii="Cambria" w:hAnsi="Cambria" w:cs="Times New Roman"/>
          <w:lang w:eastAsia="fr-FR"/>
        </w:rPr>
      </w:pPr>
    </w:p>
    <w:p w14:paraId="32177639" w14:textId="77777777" w:rsidR="009A120F" w:rsidRDefault="009A120F" w:rsidP="00C62270">
      <w:pPr>
        <w:spacing w:after="0" w:line="276" w:lineRule="auto"/>
        <w:contextualSpacing/>
        <w:rPr>
          <w:rFonts w:ascii="Cambria" w:hAnsi="Cambria" w:cs="Times New Roman"/>
          <w:lang w:eastAsia="fr-FR"/>
        </w:rPr>
      </w:pPr>
    </w:p>
    <w:p w14:paraId="4D9F59AC" w14:textId="77777777" w:rsidR="009A120F" w:rsidRPr="00CB5007" w:rsidRDefault="009A120F" w:rsidP="00C62270">
      <w:pPr>
        <w:spacing w:after="0" w:line="276" w:lineRule="auto"/>
        <w:contextualSpacing/>
        <w:rPr>
          <w:rFonts w:ascii="Cambria" w:hAnsi="Cambria" w:cs="Times New Roman"/>
          <w:lang w:eastAsia="fr-FR"/>
        </w:rPr>
      </w:pPr>
    </w:p>
    <w:p w14:paraId="35C3632F" w14:textId="77777777" w:rsidR="00962D20" w:rsidRPr="00CB5007" w:rsidRDefault="00962D20" w:rsidP="00C62270">
      <w:pPr>
        <w:spacing w:after="0" w:line="276" w:lineRule="auto"/>
        <w:contextualSpacing/>
        <w:rPr>
          <w:rFonts w:ascii="Cambria" w:hAnsi="Cambria"/>
          <w:lang w:eastAsia="fr-FR"/>
        </w:rPr>
      </w:pPr>
    </w:p>
    <w:p w14:paraId="23C0D2D9" w14:textId="77777777" w:rsidR="00E94CB3" w:rsidRPr="00CB5007" w:rsidRDefault="006119EA" w:rsidP="00804CC5">
      <w:pPr>
        <w:spacing w:after="0" w:line="276" w:lineRule="auto"/>
        <w:contextualSpacing/>
        <w:jc w:val="center"/>
        <w:rPr>
          <w:rFonts w:ascii="Cambria" w:eastAsia="Times New Roman" w:hAnsi="Cambria" w:cs="Times New Roman"/>
          <w:i/>
          <w:color w:val="C00000"/>
          <w:kern w:val="0"/>
          <w:sz w:val="28"/>
          <w:szCs w:val="24"/>
          <w:lang w:eastAsia="en-US"/>
        </w:rPr>
      </w:pPr>
      <w:r w:rsidRPr="00CB5007">
        <w:rPr>
          <w:rFonts w:ascii="Cambria" w:eastAsia="Times New Roman" w:hAnsi="Cambria" w:cs="Times New Roman"/>
          <w:i/>
          <w:color w:val="C00000"/>
          <w:kern w:val="0"/>
          <w:sz w:val="28"/>
          <w:szCs w:val="24"/>
          <w:lang w:eastAsia="en-US"/>
        </w:rPr>
        <w:t>J3021119/J3021219</w:t>
      </w:r>
      <w:r w:rsidR="00E94CB3" w:rsidRPr="00CB5007">
        <w:rPr>
          <w:rFonts w:ascii="Cambria" w:eastAsia="Times New Roman" w:hAnsi="Cambria" w:cs="Times New Roman"/>
          <w:i/>
          <w:color w:val="C00000"/>
          <w:kern w:val="0"/>
          <w:sz w:val="28"/>
          <w:szCs w:val="24"/>
          <w:lang w:eastAsia="en-US"/>
        </w:rPr>
        <w:t> : H</w:t>
      </w:r>
      <w:r w:rsidR="00804CC5" w:rsidRPr="00CB5007">
        <w:rPr>
          <w:rFonts w:ascii="Cambria" w:eastAsia="Times New Roman" w:hAnsi="Cambria" w:cs="Times New Roman"/>
          <w:i/>
          <w:color w:val="C00000"/>
          <w:kern w:val="0"/>
          <w:sz w:val="28"/>
          <w:szCs w:val="24"/>
          <w:lang w:eastAsia="en-US"/>
        </w:rPr>
        <w:t>istoire de l’Islam médiéval</w:t>
      </w:r>
    </w:p>
    <w:p w14:paraId="3765A154" w14:textId="77777777" w:rsidR="00056B03" w:rsidRPr="00CB5007" w:rsidRDefault="00056B03" w:rsidP="00F22C19">
      <w:pPr>
        <w:rPr>
          <w:rFonts w:ascii="Cambria" w:eastAsia="Cambria" w:hAnsi="Cambria" w:cs="Gentium Plus"/>
          <w:bCs/>
          <w:color w:val="000000"/>
          <w:kern w:val="0"/>
          <w:szCs w:val="28"/>
          <w:lang w:eastAsia="fr-FR"/>
        </w:rPr>
      </w:pPr>
    </w:p>
    <w:p w14:paraId="0B7382E8" w14:textId="4834DB2B" w:rsidR="00F3670B" w:rsidRDefault="00973F0B" w:rsidP="00E72ED3">
      <w:pPr>
        <w:jc w:val="center"/>
        <w:rPr>
          <w:rFonts w:ascii="Cambria" w:eastAsia="Cambria" w:hAnsi="Cambria" w:cs="Times New Roman"/>
          <w:color w:val="000000"/>
          <w:kern w:val="0"/>
          <w:sz w:val="22"/>
          <w:lang w:eastAsia="fr-FR"/>
        </w:rPr>
      </w:pPr>
      <w:r w:rsidRPr="00D0646F">
        <w:rPr>
          <w:rFonts w:ascii="Cambria" w:eastAsia="Cambria" w:hAnsi="Cambria" w:cs="Times New Roman"/>
          <w:color w:val="000000"/>
          <w:kern w:val="0"/>
          <w:sz w:val="22"/>
          <w:lang w:eastAsia="fr-FR"/>
        </w:rPr>
        <w:t>Annliese</w:t>
      </w:r>
      <w:r w:rsidR="0047361A" w:rsidRPr="00D0646F">
        <w:rPr>
          <w:rFonts w:ascii="Cambria" w:eastAsia="Cambria" w:hAnsi="Cambria" w:cs="Times New Roman"/>
          <w:color w:val="000000"/>
          <w:kern w:val="0"/>
          <w:sz w:val="22"/>
          <w:lang w:eastAsia="fr-FR"/>
        </w:rPr>
        <w:t xml:space="preserve"> Nef</w:t>
      </w:r>
      <w:r w:rsidRPr="00D0646F">
        <w:rPr>
          <w:rFonts w:ascii="Cambria" w:eastAsia="Cambria" w:hAnsi="Cambria" w:cs="Times New Roman"/>
          <w:color w:val="000000"/>
          <w:kern w:val="0"/>
          <w:sz w:val="22"/>
          <w:lang w:eastAsia="fr-FR"/>
        </w:rPr>
        <w:t xml:space="preserve"> (CM</w:t>
      </w:r>
      <w:r w:rsidR="00E72ED3" w:rsidRPr="00D0646F">
        <w:rPr>
          <w:rFonts w:ascii="Cambria" w:eastAsia="Cambria" w:hAnsi="Cambria" w:cs="Times New Roman"/>
          <w:color w:val="000000"/>
          <w:kern w:val="0"/>
          <w:sz w:val="22"/>
          <w:lang w:eastAsia="fr-FR"/>
        </w:rPr>
        <w:t xml:space="preserve">), </w:t>
      </w:r>
      <w:r w:rsidR="00E72ED3">
        <w:rPr>
          <w:rFonts w:ascii="Cambria" w:eastAsia="Cambria" w:hAnsi="Cambria" w:cs="Times New Roman"/>
          <w:color w:val="000000"/>
          <w:kern w:val="0"/>
          <w:sz w:val="22"/>
          <w:lang w:eastAsia="fr-FR"/>
        </w:rPr>
        <w:t>Alice</w:t>
      </w:r>
      <w:r w:rsidR="00D64AAB">
        <w:rPr>
          <w:rFonts w:ascii="Cambria" w:eastAsia="Cambria" w:hAnsi="Cambria" w:cs="Times New Roman"/>
          <w:color w:val="000000"/>
          <w:kern w:val="0"/>
          <w:sz w:val="22"/>
          <w:lang w:eastAsia="fr-FR"/>
        </w:rPr>
        <w:t xml:space="preserve"> Corq</w:t>
      </w:r>
      <w:r w:rsidR="00F3670B">
        <w:rPr>
          <w:rFonts w:ascii="Cambria" w:eastAsia="Cambria" w:hAnsi="Cambria" w:cs="Times New Roman"/>
          <w:color w:val="000000"/>
          <w:kern w:val="0"/>
          <w:sz w:val="22"/>
          <w:lang w:eastAsia="fr-FR"/>
        </w:rPr>
        <w:t xml:space="preserve"> /Tom Oubelkhir (TD S1), </w:t>
      </w:r>
    </w:p>
    <w:p w14:paraId="38D3C7CA" w14:textId="6B50DEC1" w:rsidR="0047361A" w:rsidRPr="00D0646F" w:rsidRDefault="00F3670B" w:rsidP="00DC2209">
      <w:pPr>
        <w:jc w:val="center"/>
        <w:rPr>
          <w:rFonts w:ascii="Cambria" w:eastAsia="Cambria" w:hAnsi="Cambria" w:cs="Times New Roman"/>
          <w:color w:val="000000"/>
          <w:kern w:val="0"/>
          <w:sz w:val="22"/>
          <w:lang w:eastAsia="fr-FR"/>
        </w:rPr>
      </w:pPr>
      <w:r>
        <w:rPr>
          <w:rFonts w:ascii="Cambria" w:eastAsia="Cambria" w:hAnsi="Cambria" w:cs="Times New Roman"/>
          <w:color w:val="000000"/>
          <w:kern w:val="0"/>
          <w:sz w:val="22"/>
          <w:lang w:eastAsia="fr-FR"/>
        </w:rPr>
        <w:t>Elodie Hibon/Jérôme Okecki (TD S2)</w:t>
      </w:r>
    </w:p>
    <w:p w14:paraId="32309158" w14:textId="77777777" w:rsidR="007F10C0" w:rsidRPr="00D0646F" w:rsidRDefault="007F10C0" w:rsidP="0047361A">
      <w:pPr>
        <w:jc w:val="center"/>
        <w:rPr>
          <w:rFonts w:ascii="Cambria" w:eastAsia="Cambria" w:hAnsi="Cambria" w:cs="Times New Roman"/>
          <w:bCs/>
          <w:color w:val="000000"/>
          <w:kern w:val="0"/>
          <w:sz w:val="22"/>
          <w:lang w:eastAsia="fr-FR"/>
        </w:rPr>
      </w:pPr>
    </w:p>
    <w:p w14:paraId="2FA46E32" w14:textId="1FC3021B" w:rsidR="0047361A" w:rsidRPr="001C775C" w:rsidRDefault="0047361A" w:rsidP="0047361A">
      <w:pPr>
        <w:jc w:val="both"/>
        <w:rPr>
          <w:rFonts w:ascii="Cambria" w:eastAsia="Calibri" w:hAnsi="Cambria" w:cs="Times New Roman"/>
          <w:color w:val="C00000"/>
          <w:kern w:val="0"/>
          <w:sz w:val="22"/>
          <w:lang w:eastAsia="en-US"/>
        </w:rPr>
      </w:pPr>
      <w:r w:rsidRPr="001C775C">
        <w:rPr>
          <w:rFonts w:ascii="Cambria" w:eastAsia="Cambria" w:hAnsi="Cambria" w:cs="Times New Roman"/>
          <w:color w:val="C00000"/>
          <w:kern w:val="0"/>
          <w:sz w:val="22"/>
          <w:u w:val="single"/>
          <w:lang w:eastAsia="fr-FR"/>
        </w:rPr>
        <w:t xml:space="preserve">Sujet de cours </w:t>
      </w:r>
      <w:r w:rsidR="00B879DB" w:rsidRPr="001C775C">
        <w:rPr>
          <w:rFonts w:ascii="Cambria" w:eastAsia="Cambria" w:hAnsi="Cambria" w:cs="Times New Roman"/>
          <w:color w:val="C00000"/>
          <w:kern w:val="0"/>
          <w:sz w:val="22"/>
          <w:u w:val="single"/>
          <w:lang w:eastAsia="fr-FR"/>
        </w:rPr>
        <w:t>semestre 1</w:t>
      </w:r>
      <w:r w:rsidRPr="001C775C">
        <w:rPr>
          <w:rFonts w:ascii="Cambria" w:eastAsia="Cambria" w:hAnsi="Cambria" w:cs="Times New Roman"/>
          <w:color w:val="C00000"/>
          <w:kern w:val="0"/>
          <w:sz w:val="22"/>
          <w:lang w:eastAsia="fr-FR"/>
        </w:rPr>
        <w:t xml:space="preserve"> : </w:t>
      </w:r>
      <w:bookmarkStart w:id="18" w:name="_Hlk46127631"/>
      <w:r w:rsidR="00AE7C59" w:rsidRPr="001C775C">
        <w:rPr>
          <w:rFonts w:ascii="Cambria" w:eastAsia="Cambria" w:hAnsi="Cambria" w:cs="Times New Roman"/>
          <w:color w:val="C00000"/>
          <w:kern w:val="0"/>
          <w:sz w:val="22"/>
          <w:lang w:eastAsia="fr-FR"/>
        </w:rPr>
        <w:t>Bagdad, centre du monde islamique (mi VIIIe- début Xe siècle) ?</w:t>
      </w:r>
      <w:r w:rsidRPr="001C775C">
        <w:rPr>
          <w:rFonts w:ascii="Cambria" w:eastAsia="Cambria" w:hAnsi="Cambria" w:cs="Times New Roman"/>
          <w:color w:val="C00000"/>
          <w:kern w:val="0"/>
          <w:sz w:val="22"/>
          <w:lang w:eastAsia="fr-FR"/>
        </w:rPr>
        <w:t>)</w:t>
      </w:r>
    </w:p>
    <w:bookmarkEnd w:id="18"/>
    <w:p w14:paraId="5C1BCEA1" w14:textId="77777777" w:rsidR="00AE7C59" w:rsidRPr="00CB5007" w:rsidRDefault="00AE7C59" w:rsidP="00AE7C59">
      <w:pPr>
        <w:suppressAutoHyphens/>
        <w:spacing w:after="0" w:line="276" w:lineRule="auto"/>
        <w:jc w:val="both"/>
        <w:rPr>
          <w:rFonts w:ascii="Cambria" w:hAnsi="Cambria" w:cs="Times New Roman"/>
          <w:b w:val="0"/>
          <w:bCs/>
          <w:sz w:val="22"/>
          <w:lang w:eastAsia="en-US"/>
        </w:rPr>
      </w:pPr>
      <w:r w:rsidRPr="00CB5007">
        <w:rPr>
          <w:rFonts w:ascii="Cambria" w:hAnsi="Cambria" w:cs="Times New Roman"/>
          <w:b w:val="0"/>
          <w:bCs/>
          <w:sz w:val="22"/>
          <w:lang w:eastAsia="en-US"/>
        </w:rPr>
        <w:t>La fondation de Bagdad est considérée par les auteurs médiévaux comme un événement important pour l’histoire de l’Empire islamique ; la ville est évoquée par les géographes comme le centre du monde islamique, voire le « carrefour de l’univers ». Capitale de l’empire entre 762 et 1258, date de son sac par les Mongols, de manière quasiment ininterrompue, Bagdad a été un centre politique, savant, économique. On s’interrogera ici sur la nature et les dimensions de cette centralité et des circulations qu’elle a induites, sur ses limites entre la fondation de la ville (762) et la création deux califats concurrents du califat abbasside (début Xe siècle).</w:t>
      </w:r>
    </w:p>
    <w:p w14:paraId="31D2DA4B" w14:textId="77777777" w:rsidR="00AE7C59" w:rsidRPr="00CB5007" w:rsidRDefault="00AE7C59" w:rsidP="00AE7C59">
      <w:pPr>
        <w:suppressAutoHyphens/>
        <w:spacing w:after="0" w:line="276" w:lineRule="auto"/>
        <w:jc w:val="both"/>
        <w:rPr>
          <w:rFonts w:ascii="Cambria" w:hAnsi="Cambria" w:cs="Times New Roman"/>
          <w:b w:val="0"/>
          <w:bCs/>
          <w:sz w:val="22"/>
          <w:lang w:eastAsia="en-US"/>
        </w:rPr>
      </w:pPr>
    </w:p>
    <w:p w14:paraId="010D46FE" w14:textId="77777777" w:rsidR="00AE7C59" w:rsidRPr="00CB5007" w:rsidRDefault="00AE7C59" w:rsidP="00AE7C59">
      <w:pPr>
        <w:suppressAutoHyphens/>
        <w:spacing w:after="0" w:line="276" w:lineRule="auto"/>
        <w:jc w:val="both"/>
        <w:rPr>
          <w:rFonts w:ascii="Cambria" w:hAnsi="Cambria" w:cs="Times New Roman"/>
          <w:sz w:val="22"/>
          <w:lang w:eastAsia="fr-FR"/>
        </w:rPr>
      </w:pPr>
      <w:r w:rsidRPr="00CB5007">
        <w:rPr>
          <w:rFonts w:ascii="Cambria" w:hAnsi="Cambria" w:cs="Times New Roman"/>
          <w:sz w:val="22"/>
          <w:lang w:eastAsia="fr-FR"/>
        </w:rPr>
        <w:t>Bibliographique indicative</w:t>
      </w:r>
    </w:p>
    <w:p w14:paraId="75692648" w14:textId="77777777" w:rsidR="00AE7C59" w:rsidRPr="00CB5007" w:rsidRDefault="00AE7C59" w:rsidP="00AE7C59">
      <w:pPr>
        <w:suppressAutoHyphens/>
        <w:spacing w:after="0" w:line="276" w:lineRule="auto"/>
        <w:jc w:val="both"/>
        <w:rPr>
          <w:rFonts w:ascii="Cambria" w:hAnsi="Cambria" w:cs="Times New Roman"/>
          <w:bCs/>
          <w:sz w:val="22"/>
          <w:lang w:eastAsia="en-US"/>
        </w:rPr>
      </w:pPr>
      <w:r w:rsidRPr="00CB5007">
        <w:rPr>
          <w:rFonts w:ascii="Cambria" w:hAnsi="Cambria" w:cs="Times New Roman"/>
          <w:b w:val="0"/>
          <w:bCs/>
          <w:sz w:val="22"/>
          <w:lang w:eastAsia="en-US"/>
        </w:rPr>
        <w:t xml:space="preserve">Alain </w:t>
      </w:r>
      <w:r w:rsidRPr="00CB5007">
        <w:rPr>
          <w:rFonts w:ascii="Cambria" w:hAnsi="Cambria" w:cs="Times New Roman"/>
          <w:b w:val="0"/>
          <w:bCs/>
          <w:smallCaps/>
          <w:sz w:val="22"/>
          <w:lang w:eastAsia="en-US"/>
        </w:rPr>
        <w:t>Ducellier</w:t>
      </w:r>
      <w:r w:rsidRPr="00CB5007">
        <w:rPr>
          <w:rFonts w:ascii="Cambria" w:hAnsi="Cambria" w:cs="Times New Roman"/>
          <w:b w:val="0"/>
          <w:bCs/>
          <w:sz w:val="22"/>
          <w:lang w:eastAsia="en-US"/>
        </w:rPr>
        <w:t xml:space="preserve"> et Françoise </w:t>
      </w:r>
      <w:r w:rsidRPr="00CB5007">
        <w:rPr>
          <w:rFonts w:ascii="Cambria" w:hAnsi="Cambria" w:cs="Times New Roman"/>
          <w:b w:val="0"/>
          <w:bCs/>
          <w:smallCaps/>
          <w:sz w:val="22"/>
          <w:lang w:eastAsia="en-US"/>
        </w:rPr>
        <w:t>Micheau</w:t>
      </w:r>
      <w:r w:rsidRPr="00CB5007">
        <w:rPr>
          <w:rFonts w:ascii="Cambria" w:hAnsi="Cambria" w:cs="Times New Roman"/>
          <w:b w:val="0"/>
          <w:bCs/>
          <w:sz w:val="22"/>
          <w:lang w:eastAsia="en-US"/>
        </w:rPr>
        <w:t>,</w:t>
      </w:r>
      <w:r w:rsidRPr="00CB5007">
        <w:rPr>
          <w:rFonts w:ascii="Cambria" w:hAnsi="Cambria" w:cs="Times New Roman"/>
          <w:b w:val="0"/>
          <w:bCs/>
          <w:i/>
          <w:sz w:val="22"/>
          <w:lang w:eastAsia="en-US"/>
        </w:rPr>
        <w:t xml:space="preserve"> Les pays d’Islam VII</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-XV</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 xml:space="preserve"> siècle, </w:t>
      </w:r>
      <w:r w:rsidRPr="00CB5007">
        <w:rPr>
          <w:rFonts w:ascii="Cambria" w:hAnsi="Cambria" w:cs="Times New Roman"/>
          <w:b w:val="0"/>
          <w:bCs/>
          <w:sz w:val="22"/>
          <w:lang w:eastAsia="en-US"/>
        </w:rPr>
        <w:t>Paris, Hachette Supérieur, 2000.</w:t>
      </w:r>
    </w:p>
    <w:p w14:paraId="5DEE9835" w14:textId="77777777" w:rsidR="00AE7C59" w:rsidRPr="00CB5007" w:rsidRDefault="00AE7C59" w:rsidP="00AE7C59">
      <w:pPr>
        <w:suppressAutoHyphens/>
        <w:spacing w:after="0" w:line="276" w:lineRule="auto"/>
        <w:jc w:val="both"/>
        <w:rPr>
          <w:rFonts w:ascii="Cambria" w:hAnsi="Cambria" w:cs="Times New Roman"/>
          <w:bCs/>
          <w:i/>
          <w:sz w:val="22"/>
          <w:lang w:eastAsia="en-US"/>
        </w:rPr>
      </w:pPr>
      <w:r w:rsidRPr="00CB5007">
        <w:rPr>
          <w:rFonts w:ascii="Cambria" w:hAnsi="Cambria" w:cs="Times New Roman"/>
          <w:b w:val="0"/>
          <w:bCs/>
          <w:sz w:val="22"/>
          <w:lang w:eastAsia="en-US"/>
        </w:rPr>
        <w:t xml:space="preserve">Alain </w:t>
      </w:r>
      <w:r w:rsidRPr="00CB5007">
        <w:rPr>
          <w:rFonts w:ascii="Cambria" w:hAnsi="Cambria" w:cs="Times New Roman"/>
          <w:b w:val="0"/>
          <w:bCs/>
          <w:smallCaps/>
          <w:sz w:val="22"/>
          <w:lang w:eastAsia="en-US"/>
        </w:rPr>
        <w:t>Ducellier,</w:t>
      </w:r>
      <w:r w:rsidRPr="00CB5007">
        <w:rPr>
          <w:rFonts w:ascii="Cambria" w:hAnsi="Cambria" w:cs="Times New Roman"/>
          <w:b w:val="0"/>
          <w:bCs/>
          <w:sz w:val="22"/>
          <w:lang w:eastAsia="en-US"/>
        </w:rPr>
        <w:t xml:space="preserve"> Michel </w:t>
      </w:r>
      <w:r w:rsidRPr="00CB5007">
        <w:rPr>
          <w:rFonts w:ascii="Cambria" w:hAnsi="Cambria" w:cs="Times New Roman"/>
          <w:b w:val="0"/>
          <w:bCs/>
          <w:smallCaps/>
          <w:sz w:val="22"/>
          <w:lang w:eastAsia="en-US"/>
        </w:rPr>
        <w:t>Balard</w:t>
      </w:r>
      <w:r w:rsidRPr="00CB5007">
        <w:rPr>
          <w:rFonts w:ascii="Cambria" w:hAnsi="Cambria" w:cs="Times New Roman"/>
          <w:b w:val="0"/>
          <w:bCs/>
          <w:sz w:val="22"/>
          <w:lang w:eastAsia="en-US"/>
        </w:rPr>
        <w:t xml:space="preserve"> et Françoise </w:t>
      </w:r>
      <w:r w:rsidRPr="00CB5007">
        <w:rPr>
          <w:rFonts w:ascii="Cambria" w:hAnsi="Cambria" w:cs="Times New Roman"/>
          <w:b w:val="0"/>
          <w:bCs/>
          <w:smallCaps/>
          <w:sz w:val="22"/>
          <w:lang w:eastAsia="en-US"/>
        </w:rPr>
        <w:t>Micheau</w:t>
      </w:r>
      <w:r w:rsidRPr="00CB5007">
        <w:rPr>
          <w:rFonts w:ascii="Cambria" w:hAnsi="Cambria" w:cs="Times New Roman"/>
          <w:b w:val="0"/>
          <w:bCs/>
          <w:i/>
          <w:sz w:val="22"/>
          <w:lang w:eastAsia="en-US"/>
        </w:rPr>
        <w:t xml:space="preserve">, Le Moyen Âge en Orient. Byzance et l’Islam, </w:t>
      </w:r>
      <w:r w:rsidRPr="00CB5007">
        <w:rPr>
          <w:rFonts w:ascii="Cambria" w:hAnsi="Cambria" w:cs="Times New Roman"/>
          <w:b w:val="0"/>
          <w:bCs/>
          <w:sz w:val="22"/>
          <w:lang w:eastAsia="en-US"/>
        </w:rPr>
        <w:t>Paris, Hachette, 2012, 5</w:t>
      </w:r>
      <w:r w:rsidRPr="00CB5007">
        <w:rPr>
          <w:rFonts w:ascii="Cambria" w:hAnsi="Cambria" w:cs="Times New Roman"/>
          <w:b w:val="0"/>
          <w:bCs/>
          <w:sz w:val="22"/>
          <w:vertAlign w:val="superscript"/>
          <w:lang w:eastAsia="en-US"/>
        </w:rPr>
        <w:t>e</w:t>
      </w:r>
      <w:r w:rsidRPr="00CB5007">
        <w:rPr>
          <w:rFonts w:ascii="Cambria" w:hAnsi="Cambria" w:cs="Times New Roman"/>
          <w:b w:val="0"/>
          <w:bCs/>
          <w:sz w:val="22"/>
          <w:lang w:eastAsia="en-US"/>
        </w:rPr>
        <w:t xml:space="preserve"> éd</w:t>
      </w:r>
      <w:r w:rsidRPr="00CB5007">
        <w:rPr>
          <w:rFonts w:ascii="Cambria" w:hAnsi="Cambria" w:cs="Times New Roman"/>
          <w:b w:val="0"/>
          <w:bCs/>
          <w:i/>
          <w:sz w:val="22"/>
          <w:lang w:eastAsia="en-US"/>
        </w:rPr>
        <w:t>.</w:t>
      </w:r>
    </w:p>
    <w:p w14:paraId="25521EF8" w14:textId="77777777" w:rsidR="00AE7C59" w:rsidRPr="00CB5007" w:rsidRDefault="00AE7C59" w:rsidP="00AE7C59">
      <w:pPr>
        <w:suppressAutoHyphens/>
        <w:spacing w:after="0" w:line="276" w:lineRule="auto"/>
        <w:jc w:val="both"/>
        <w:rPr>
          <w:rFonts w:ascii="Cambria" w:hAnsi="Cambria" w:cs="Times New Roman"/>
          <w:bCs/>
          <w:sz w:val="22"/>
          <w:lang w:eastAsia="en-US"/>
        </w:rPr>
      </w:pPr>
      <w:r w:rsidRPr="00CB5007">
        <w:rPr>
          <w:rFonts w:ascii="Cambria" w:hAnsi="Cambria" w:cs="Times New Roman"/>
          <w:b w:val="0"/>
          <w:bCs/>
          <w:sz w:val="22"/>
          <w:lang w:eastAsia="en-US"/>
        </w:rPr>
        <w:t xml:space="preserve">Thierry </w:t>
      </w:r>
      <w:r w:rsidRPr="00CB5007">
        <w:rPr>
          <w:rFonts w:ascii="Cambria" w:hAnsi="Cambria" w:cs="Times New Roman"/>
          <w:b w:val="0"/>
          <w:bCs/>
          <w:smallCaps/>
          <w:sz w:val="22"/>
          <w:lang w:eastAsia="en-US"/>
        </w:rPr>
        <w:t>Bianquis</w:t>
      </w:r>
      <w:r w:rsidRPr="00CB5007">
        <w:rPr>
          <w:rFonts w:ascii="Cambria" w:hAnsi="Cambria" w:cs="Times New Roman"/>
          <w:b w:val="0"/>
          <w:bCs/>
          <w:sz w:val="22"/>
          <w:lang w:eastAsia="en-US"/>
        </w:rPr>
        <w:t xml:space="preserve">, Pierre </w:t>
      </w:r>
      <w:r w:rsidRPr="00CB5007">
        <w:rPr>
          <w:rFonts w:ascii="Cambria" w:hAnsi="Cambria" w:cs="Times New Roman"/>
          <w:b w:val="0"/>
          <w:bCs/>
          <w:smallCaps/>
          <w:sz w:val="22"/>
          <w:lang w:eastAsia="en-US"/>
        </w:rPr>
        <w:t>Guichard</w:t>
      </w:r>
      <w:r w:rsidRPr="00CB5007">
        <w:rPr>
          <w:rFonts w:ascii="Cambria" w:hAnsi="Cambria" w:cs="Times New Roman"/>
          <w:b w:val="0"/>
          <w:bCs/>
          <w:sz w:val="22"/>
          <w:lang w:eastAsia="en-US"/>
        </w:rPr>
        <w:t xml:space="preserve">, Mathieu </w:t>
      </w:r>
      <w:r w:rsidRPr="00CB5007">
        <w:rPr>
          <w:rFonts w:ascii="Cambria" w:hAnsi="Cambria" w:cs="Times New Roman"/>
          <w:b w:val="0"/>
          <w:bCs/>
          <w:smallCaps/>
          <w:sz w:val="22"/>
          <w:lang w:eastAsia="en-US"/>
        </w:rPr>
        <w:t>Tillier</w:t>
      </w:r>
      <w:r w:rsidRPr="00CB5007">
        <w:rPr>
          <w:rFonts w:ascii="Cambria" w:hAnsi="Cambria" w:cs="Times New Roman"/>
          <w:b w:val="0"/>
          <w:bCs/>
          <w:sz w:val="22"/>
          <w:lang w:eastAsia="en-US"/>
        </w:rPr>
        <w:t xml:space="preserve"> (dir.),</w:t>
      </w:r>
      <w:r w:rsidRPr="00CB5007">
        <w:rPr>
          <w:rFonts w:ascii="Cambria" w:hAnsi="Cambria" w:cs="Times New Roman"/>
          <w:b w:val="0"/>
          <w:bCs/>
          <w:i/>
          <w:sz w:val="22"/>
          <w:lang w:eastAsia="en-US"/>
        </w:rPr>
        <w:t xml:space="preserve"> Les débuts du monde musulman. VII</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-X</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 xml:space="preserve"> siècle. De Muhammad aux dynasties autonomes, </w:t>
      </w:r>
      <w:r w:rsidRPr="00CB5007">
        <w:rPr>
          <w:rFonts w:ascii="Cambria" w:hAnsi="Cambria" w:cs="Times New Roman"/>
          <w:b w:val="0"/>
          <w:bCs/>
          <w:sz w:val="22"/>
          <w:lang w:eastAsia="en-US"/>
        </w:rPr>
        <w:t>Paris, PUF, Nouvelle Clio, 2012.</w:t>
      </w:r>
    </w:p>
    <w:p w14:paraId="5A7AD148" w14:textId="77777777" w:rsidR="00AE7C59" w:rsidRPr="00CB5007" w:rsidRDefault="00AE7C59" w:rsidP="00AE7C59">
      <w:pPr>
        <w:suppressAutoHyphens/>
        <w:spacing w:after="0" w:line="276" w:lineRule="auto"/>
        <w:jc w:val="both"/>
        <w:rPr>
          <w:rFonts w:ascii="Cambria" w:hAnsi="Cambria" w:cs="Times New Roman"/>
          <w:b w:val="0"/>
          <w:bCs/>
          <w:sz w:val="22"/>
        </w:rPr>
      </w:pPr>
      <w:r w:rsidRPr="00CB5007">
        <w:rPr>
          <w:rFonts w:ascii="Cambria" w:hAnsi="Cambria" w:cs="Times New Roman"/>
          <w:b w:val="0"/>
          <w:bCs/>
          <w:sz w:val="22"/>
        </w:rPr>
        <w:t xml:space="preserve">J.-C. </w:t>
      </w:r>
      <w:r w:rsidRPr="00CB5007">
        <w:rPr>
          <w:rFonts w:ascii="Cambria" w:hAnsi="Cambria" w:cs="Times New Roman"/>
          <w:b w:val="0"/>
          <w:bCs/>
          <w:smallCaps/>
          <w:sz w:val="22"/>
        </w:rPr>
        <w:t>Garcin</w:t>
      </w:r>
      <w:r w:rsidRPr="00CB5007">
        <w:rPr>
          <w:rFonts w:ascii="Cambria" w:hAnsi="Cambria" w:cs="Times New Roman"/>
          <w:b w:val="0"/>
          <w:bCs/>
          <w:sz w:val="22"/>
        </w:rPr>
        <w:t xml:space="preserve">, (dir.), </w:t>
      </w:r>
      <w:r w:rsidRPr="00CB5007">
        <w:rPr>
          <w:rFonts w:ascii="Cambria" w:hAnsi="Cambria" w:cs="Times New Roman"/>
          <w:b w:val="0"/>
          <w:bCs/>
          <w:i/>
          <w:iCs/>
          <w:sz w:val="22"/>
        </w:rPr>
        <w:t>Grandes villes méditerranéennes du monde musulman médiéval</w:t>
      </w:r>
      <w:r w:rsidRPr="00CB5007">
        <w:rPr>
          <w:rFonts w:ascii="Cambria" w:hAnsi="Cambria" w:cs="Times New Roman"/>
          <w:b w:val="0"/>
          <w:bCs/>
          <w:sz w:val="22"/>
        </w:rPr>
        <w:t>, Rome, École française de Rome, 2000.</w:t>
      </w:r>
    </w:p>
    <w:p w14:paraId="34BB920C" w14:textId="77777777" w:rsidR="00AE7C59" w:rsidRPr="00CB5007" w:rsidRDefault="00AE7C59" w:rsidP="00AE7C59">
      <w:pPr>
        <w:suppressAutoHyphens/>
        <w:spacing w:after="0" w:line="276" w:lineRule="auto"/>
        <w:jc w:val="both"/>
        <w:rPr>
          <w:rFonts w:ascii="Cambria" w:eastAsia="Cambria" w:hAnsi="Cambria" w:cs="Times New Roman"/>
          <w:b w:val="0"/>
          <w:bCs/>
          <w:iCs/>
          <w:kern w:val="0"/>
          <w:sz w:val="22"/>
          <w:lang w:eastAsia="en-US"/>
        </w:rPr>
      </w:pPr>
      <w:r w:rsidRPr="00CB5007">
        <w:rPr>
          <w:rFonts w:ascii="Cambria" w:hAnsi="Cambria" w:cs="Times New Roman"/>
          <w:b w:val="0"/>
          <w:bCs/>
          <w:i/>
          <w:iCs/>
          <w:color w:val="000000"/>
          <w:sz w:val="22"/>
          <w:lang w:val="en-US"/>
        </w:rPr>
        <w:t>Baghdād, from its beginnings to the 14</w:t>
      </w:r>
      <w:r w:rsidRPr="00CB5007">
        <w:rPr>
          <w:rFonts w:ascii="Cambria" w:hAnsi="Cambria" w:cs="Times New Roman"/>
          <w:b w:val="0"/>
          <w:bCs/>
          <w:i/>
          <w:iCs/>
          <w:color w:val="000000"/>
          <w:sz w:val="22"/>
          <w:vertAlign w:val="superscript"/>
          <w:lang w:val="en-US"/>
        </w:rPr>
        <w:t>th</w:t>
      </w:r>
      <w:r w:rsidRPr="00CB5007">
        <w:rPr>
          <w:rFonts w:ascii="Cambria" w:hAnsi="Cambria" w:cs="Times New Roman"/>
          <w:b w:val="0"/>
          <w:bCs/>
          <w:i/>
          <w:iCs/>
          <w:color w:val="000000"/>
          <w:sz w:val="22"/>
          <w:lang w:val="en-US"/>
        </w:rPr>
        <w:t xml:space="preserve"> century</w:t>
      </w:r>
      <w:r w:rsidRPr="00CB5007">
        <w:rPr>
          <w:rFonts w:ascii="Cambria" w:hAnsi="Cambria" w:cs="Times New Roman"/>
          <w:b w:val="0"/>
          <w:bCs/>
          <w:color w:val="000000"/>
          <w:sz w:val="22"/>
          <w:lang w:val="en-US"/>
        </w:rPr>
        <w:t xml:space="preserve">, éd. </w:t>
      </w:r>
      <w:r w:rsidRPr="00CB5007">
        <w:rPr>
          <w:rFonts w:ascii="Cambria" w:hAnsi="Cambria" w:cs="Times New Roman"/>
          <w:b w:val="0"/>
          <w:bCs/>
          <w:color w:val="000000"/>
          <w:sz w:val="22"/>
        </w:rPr>
        <w:t xml:space="preserve">J. </w:t>
      </w:r>
      <w:r w:rsidRPr="00CB5007">
        <w:rPr>
          <w:rFonts w:ascii="Cambria" w:hAnsi="Cambria" w:cs="Times New Roman"/>
          <w:b w:val="0"/>
          <w:bCs/>
          <w:smallCaps/>
          <w:color w:val="000000"/>
          <w:sz w:val="22"/>
        </w:rPr>
        <w:t>Scheiner</w:t>
      </w:r>
      <w:r w:rsidRPr="00CB5007">
        <w:rPr>
          <w:rFonts w:ascii="Cambria" w:hAnsi="Cambria" w:cs="Times New Roman"/>
          <w:b w:val="0"/>
          <w:bCs/>
          <w:color w:val="000000"/>
          <w:sz w:val="22"/>
        </w:rPr>
        <w:t xml:space="preserve"> et I. </w:t>
      </w:r>
      <w:r w:rsidRPr="00CB5007">
        <w:rPr>
          <w:rFonts w:ascii="Cambria" w:hAnsi="Cambria" w:cs="Times New Roman"/>
          <w:b w:val="0"/>
          <w:bCs/>
          <w:smallCaps/>
          <w:color w:val="000000"/>
          <w:sz w:val="22"/>
        </w:rPr>
        <w:t>Toral</w:t>
      </w:r>
      <w:r w:rsidRPr="00CB5007">
        <w:rPr>
          <w:rFonts w:ascii="Cambria" w:hAnsi="Cambria" w:cs="Times New Roman"/>
          <w:b w:val="0"/>
          <w:bCs/>
          <w:color w:val="000000"/>
          <w:sz w:val="22"/>
        </w:rPr>
        <w:t>, Leyde-Boston, Brill, 2022</w:t>
      </w:r>
    </w:p>
    <w:p w14:paraId="3DFD097A" w14:textId="77777777" w:rsidR="00D246E7" w:rsidRPr="00CB5007" w:rsidRDefault="00D246E7" w:rsidP="00AE7C59">
      <w:pPr>
        <w:suppressAutoHyphens/>
        <w:spacing w:after="0" w:line="276" w:lineRule="auto"/>
        <w:jc w:val="both"/>
        <w:rPr>
          <w:rFonts w:ascii="Cambria" w:hAnsi="Cambria" w:cs="Times New Roman"/>
          <w:color w:val="0070C0"/>
          <w:sz w:val="22"/>
          <w:u w:val="single"/>
          <w:lang w:eastAsia="fr-FR"/>
        </w:rPr>
      </w:pPr>
    </w:p>
    <w:p w14:paraId="40E9EF5C" w14:textId="77777777" w:rsidR="00F3523D" w:rsidRPr="00CB5007" w:rsidRDefault="00F3523D" w:rsidP="00AE7C59">
      <w:pPr>
        <w:suppressAutoHyphens/>
        <w:spacing w:after="0" w:line="276" w:lineRule="auto"/>
        <w:jc w:val="both"/>
        <w:rPr>
          <w:rFonts w:ascii="Cambria" w:hAnsi="Cambria" w:cs="Times New Roman"/>
          <w:color w:val="0070C0"/>
          <w:sz w:val="22"/>
          <w:u w:val="single"/>
          <w:lang w:eastAsia="fr-FR"/>
        </w:rPr>
      </w:pPr>
    </w:p>
    <w:p w14:paraId="08F80F0D" w14:textId="213D1F63" w:rsidR="00AE7C59" w:rsidRPr="00A37A4E" w:rsidRDefault="00AE7C59" w:rsidP="00AE7C59">
      <w:pPr>
        <w:suppressAutoHyphens/>
        <w:spacing w:after="0" w:line="276" w:lineRule="auto"/>
        <w:jc w:val="both"/>
        <w:rPr>
          <w:rFonts w:ascii="Cambria" w:hAnsi="Cambria" w:cs="Times New Roman"/>
          <w:color w:val="C00000"/>
          <w:sz w:val="22"/>
          <w:lang w:eastAsia="fr-FR"/>
        </w:rPr>
      </w:pPr>
      <w:r w:rsidRPr="00A37A4E">
        <w:rPr>
          <w:rFonts w:ascii="Cambria" w:hAnsi="Cambria" w:cs="Times New Roman"/>
          <w:color w:val="C00000"/>
          <w:sz w:val="22"/>
          <w:u w:val="single"/>
          <w:lang w:eastAsia="fr-FR"/>
        </w:rPr>
        <w:t>Sujet de cours semestre 2</w:t>
      </w:r>
      <w:r w:rsidRPr="00A37A4E">
        <w:rPr>
          <w:rFonts w:ascii="Cambria" w:hAnsi="Cambria" w:cs="Times New Roman"/>
          <w:color w:val="C00000"/>
          <w:sz w:val="22"/>
          <w:lang w:eastAsia="fr-FR"/>
        </w:rPr>
        <w:t> : </w:t>
      </w:r>
      <w:bookmarkStart w:id="19" w:name="_Hlk202183331"/>
      <w:bookmarkStart w:id="20" w:name="_Hlk46127692"/>
      <w:r w:rsidRPr="00A37A4E">
        <w:rPr>
          <w:rFonts w:ascii="Cambria" w:hAnsi="Cambria" w:cs="Times New Roman"/>
          <w:color w:val="C00000"/>
          <w:sz w:val="22"/>
          <w:lang w:eastAsia="fr-FR"/>
        </w:rPr>
        <w:t>Les recompositions régionales au sein de l’empire abbasside (début IX</w:t>
      </w:r>
      <w:r w:rsidRPr="00A37A4E">
        <w:rPr>
          <w:rFonts w:ascii="Cambria" w:hAnsi="Cambria" w:cs="Times New Roman"/>
          <w:color w:val="C00000"/>
          <w:sz w:val="22"/>
          <w:vertAlign w:val="superscript"/>
          <w:lang w:eastAsia="fr-FR"/>
        </w:rPr>
        <w:t>e</w:t>
      </w:r>
      <w:r w:rsidRPr="00A37A4E">
        <w:rPr>
          <w:rFonts w:ascii="Cambria" w:hAnsi="Cambria" w:cs="Times New Roman"/>
          <w:color w:val="C00000"/>
          <w:sz w:val="22"/>
          <w:lang w:eastAsia="fr-FR"/>
        </w:rPr>
        <w:t>-fin XI</w:t>
      </w:r>
      <w:r w:rsidRPr="00A37A4E">
        <w:rPr>
          <w:rFonts w:ascii="Cambria" w:hAnsi="Cambria" w:cs="Times New Roman"/>
          <w:color w:val="C00000"/>
          <w:sz w:val="22"/>
          <w:vertAlign w:val="superscript"/>
          <w:lang w:eastAsia="fr-FR"/>
        </w:rPr>
        <w:t>e</w:t>
      </w:r>
      <w:r w:rsidRPr="00A37A4E">
        <w:rPr>
          <w:rFonts w:ascii="Cambria" w:hAnsi="Cambria" w:cs="Times New Roman"/>
          <w:color w:val="C00000"/>
          <w:sz w:val="22"/>
          <w:lang w:eastAsia="fr-FR"/>
        </w:rPr>
        <w:t xml:space="preserve"> siècle)</w:t>
      </w:r>
    </w:p>
    <w:bookmarkEnd w:id="19"/>
    <w:p w14:paraId="7E5A3AC5" w14:textId="77777777" w:rsidR="00AE7C59" w:rsidRPr="00CB5007" w:rsidRDefault="00AE7C59" w:rsidP="00AE7C59">
      <w:pPr>
        <w:suppressAutoHyphens/>
        <w:spacing w:after="0" w:line="276" w:lineRule="auto"/>
        <w:jc w:val="both"/>
        <w:rPr>
          <w:rFonts w:ascii="Cambria" w:eastAsia="Calibri" w:hAnsi="Cambria" w:cs="Times New Roman"/>
          <w:color w:val="0070C0"/>
          <w:sz w:val="22"/>
          <w:lang w:eastAsia="en-US"/>
        </w:rPr>
      </w:pPr>
    </w:p>
    <w:bookmarkEnd w:id="20"/>
    <w:p w14:paraId="2F661DC5"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r w:rsidRPr="00CB5007">
        <w:rPr>
          <w:rFonts w:ascii="Cambria" w:hAnsi="Cambria" w:cs="Times New Roman"/>
          <w:b w:val="0"/>
          <w:bCs/>
          <w:sz w:val="22"/>
          <w:lang w:eastAsia="fr-FR"/>
        </w:rPr>
        <w:t>Le IX</w:t>
      </w:r>
      <w:r w:rsidRPr="00CB5007">
        <w:rPr>
          <w:rFonts w:ascii="Cambria" w:hAnsi="Cambria" w:cs="Times New Roman"/>
          <w:b w:val="0"/>
          <w:bCs/>
          <w:sz w:val="22"/>
          <w:vertAlign w:val="superscript"/>
          <w:lang w:eastAsia="fr-FR"/>
        </w:rPr>
        <w:t>e</w:t>
      </w:r>
      <w:r w:rsidRPr="00CB5007">
        <w:rPr>
          <w:rFonts w:ascii="Cambria" w:hAnsi="Cambria" w:cs="Times New Roman"/>
          <w:b w:val="0"/>
          <w:bCs/>
          <w:sz w:val="22"/>
          <w:lang w:eastAsia="fr-FR"/>
        </w:rPr>
        <w:t xml:space="preserve"> siècle voit l’État abbasside faire face à des mouvements d’autonomisation régionale qui débutent au Maghreb mais s’étendent bientôt à l’ensemble de l’empire (en particulier aux confins nord-orientaux de l’empire au contact de l’Asie centrale et en Égypte). Pourtant, à ses débuts au milieu du VIII</w:t>
      </w:r>
      <w:r w:rsidRPr="00CB5007">
        <w:rPr>
          <w:rFonts w:ascii="Cambria" w:hAnsi="Cambria" w:cs="Times New Roman"/>
          <w:b w:val="0"/>
          <w:bCs/>
          <w:sz w:val="22"/>
          <w:vertAlign w:val="superscript"/>
          <w:lang w:eastAsia="fr-FR"/>
        </w:rPr>
        <w:t>e</w:t>
      </w:r>
      <w:r w:rsidRPr="00CB5007">
        <w:rPr>
          <w:rFonts w:ascii="Cambria" w:hAnsi="Cambria" w:cs="Times New Roman"/>
          <w:b w:val="0"/>
          <w:bCs/>
          <w:sz w:val="22"/>
          <w:lang w:eastAsia="fr-FR"/>
        </w:rPr>
        <w:t xml:space="preserve"> siècle, l’un des objectifs de l’État abbasside était de renforcer la centralisation de l’empire. Plutôt que comme un affaiblissement de l’empire, il convient d’analyser ces dynamiques comme le reflet d’une recomposition politique qui voit s’affirmer des dynasties et des identités régionales au sein de l’empire. Cette affirmation régionale s’accompagne d’une redéfinition des pouvoirs au sommet de l’État impérial, au profit notamment de figures militaires et politiques persanes puis turques (Bouyides et Seljoukides).</w:t>
      </w:r>
    </w:p>
    <w:p w14:paraId="7B90E34F"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p>
    <w:p w14:paraId="006D3840" w14:textId="77777777" w:rsidR="00AE7C59" w:rsidRPr="00CB5007" w:rsidRDefault="00AE7C59" w:rsidP="00AE7C59">
      <w:pPr>
        <w:suppressAutoHyphens/>
        <w:spacing w:after="0" w:line="276" w:lineRule="auto"/>
        <w:jc w:val="both"/>
        <w:rPr>
          <w:rFonts w:ascii="Cambria" w:hAnsi="Cambria" w:cs="Times New Roman"/>
          <w:sz w:val="22"/>
          <w:lang w:eastAsia="fr-FR"/>
        </w:rPr>
      </w:pPr>
      <w:r w:rsidRPr="00CB5007">
        <w:rPr>
          <w:rFonts w:ascii="Cambria" w:hAnsi="Cambria" w:cs="Times New Roman"/>
          <w:sz w:val="22"/>
          <w:lang w:eastAsia="fr-FR"/>
        </w:rPr>
        <w:t>Bibliographique indicative (outre celle du premier semestre)</w:t>
      </w:r>
    </w:p>
    <w:p w14:paraId="7913AE1D"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p>
    <w:p w14:paraId="69F78DD5" w14:textId="728B7F8F" w:rsidR="00AE7C59" w:rsidRPr="007A4CC9" w:rsidRDefault="00AE7C59" w:rsidP="00AE7C59">
      <w:pPr>
        <w:suppressAutoHyphens/>
        <w:spacing w:after="60" w:line="276" w:lineRule="auto"/>
        <w:jc w:val="both"/>
        <w:rPr>
          <w:rFonts w:ascii="Cambria" w:eastAsia="Times New Roman" w:hAnsi="Cambria"/>
          <w:b w:val="0"/>
          <w:kern w:val="0"/>
          <w:sz w:val="20"/>
          <w:szCs w:val="20"/>
          <w:lang w:eastAsia="fr-FR"/>
        </w:rPr>
      </w:pPr>
      <w:r w:rsidRPr="007A4CC9">
        <w:rPr>
          <w:rFonts w:ascii="Cambria" w:eastAsia="Times New Roman" w:hAnsi="Cambria"/>
          <w:b w:val="0"/>
          <w:kern w:val="0"/>
          <w:sz w:val="20"/>
          <w:szCs w:val="20"/>
          <w:lang w:eastAsia="fr-FR"/>
        </w:rPr>
        <w:t xml:space="preserve">C. Aillet, E. Tixier et É. Vallet (dir.), </w:t>
      </w:r>
      <w:r w:rsidRPr="007A4CC9">
        <w:rPr>
          <w:rFonts w:ascii="Cambria" w:eastAsia="Times New Roman" w:hAnsi="Cambria"/>
          <w:b w:val="0"/>
          <w:i/>
          <w:iCs/>
          <w:kern w:val="0"/>
          <w:sz w:val="20"/>
          <w:szCs w:val="20"/>
          <w:lang w:eastAsia="fr-FR"/>
        </w:rPr>
        <w:t>Gouverner en Islam, Xe-XVe s.</w:t>
      </w:r>
      <w:r w:rsidRPr="007A4CC9">
        <w:rPr>
          <w:rFonts w:ascii="Cambria" w:eastAsia="Times New Roman" w:hAnsi="Cambria"/>
          <w:b w:val="0"/>
          <w:kern w:val="0"/>
          <w:sz w:val="20"/>
          <w:szCs w:val="20"/>
          <w:lang w:eastAsia="fr-FR"/>
        </w:rPr>
        <w:t>, Paris, Atlande, 2014.</w:t>
      </w:r>
    </w:p>
    <w:p w14:paraId="59090423" w14:textId="77777777" w:rsidR="00AE7C59" w:rsidRPr="007A4CC9" w:rsidRDefault="00AE7C59" w:rsidP="00AE7C59">
      <w:pPr>
        <w:suppressAutoHyphens/>
        <w:spacing w:after="60" w:line="276" w:lineRule="auto"/>
        <w:jc w:val="both"/>
        <w:rPr>
          <w:rFonts w:ascii="Cambria" w:eastAsia="Times New Roman" w:hAnsi="Cambria"/>
          <w:b w:val="0"/>
          <w:kern w:val="0"/>
          <w:sz w:val="20"/>
          <w:szCs w:val="20"/>
          <w:lang w:val="en-US" w:eastAsia="fr-FR"/>
        </w:rPr>
      </w:pPr>
      <w:r w:rsidRPr="007A4CC9">
        <w:rPr>
          <w:rFonts w:ascii="Cambria" w:eastAsia="Times New Roman" w:hAnsi="Cambria"/>
          <w:b w:val="0"/>
          <w:kern w:val="0"/>
          <w:sz w:val="20"/>
          <w:szCs w:val="20"/>
          <w:lang w:val="en-US" w:eastAsia="fr-FR"/>
        </w:rPr>
        <w:t xml:space="preserve">C. Bosworth, “The Ṭāhirids and Saffārids”, R. N. Frye, éd., </w:t>
      </w:r>
      <w:r w:rsidRPr="007A4CC9">
        <w:rPr>
          <w:rFonts w:ascii="Cambria" w:eastAsia="Times New Roman" w:hAnsi="Cambria"/>
          <w:b w:val="0"/>
          <w:i/>
          <w:iCs/>
          <w:kern w:val="0"/>
          <w:sz w:val="20"/>
          <w:szCs w:val="20"/>
          <w:lang w:val="en-US" w:eastAsia="fr-FR"/>
        </w:rPr>
        <w:t>The Cambridge History of Iran. IV. From the Arab Invasion to the Saljuq</w:t>
      </w:r>
      <w:r w:rsidRPr="007A4CC9">
        <w:rPr>
          <w:rFonts w:ascii="Cambria" w:eastAsia="Times New Roman" w:hAnsi="Cambria"/>
          <w:b w:val="0"/>
          <w:kern w:val="0"/>
          <w:sz w:val="20"/>
          <w:szCs w:val="20"/>
          <w:lang w:val="en-US" w:eastAsia="fr-FR"/>
        </w:rPr>
        <w:t>, Cambridge, Cambridge University Press, 1975, p. 90-136.</w:t>
      </w:r>
    </w:p>
    <w:p w14:paraId="49F0A8CD"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b w:val="0"/>
          <w:sz w:val="20"/>
          <w:szCs w:val="20"/>
          <w:lang w:val="en-US"/>
        </w:rPr>
        <w:t xml:space="preserve">J. J. Donohue, </w:t>
      </w:r>
      <w:r w:rsidRPr="007A4CC9">
        <w:rPr>
          <w:rFonts w:ascii="Cambria" w:hAnsi="Cambria"/>
          <w:b w:val="0"/>
          <w:i/>
          <w:iCs/>
          <w:sz w:val="20"/>
          <w:szCs w:val="20"/>
          <w:lang w:val="en-US"/>
        </w:rPr>
        <w:t>The Buwayhid Dynasty in Iraq 334H./945 to 403H./1012. Shaping Institutions for the Future</w:t>
      </w:r>
      <w:r w:rsidRPr="007A4CC9">
        <w:rPr>
          <w:rFonts w:ascii="Cambria" w:hAnsi="Cambria"/>
          <w:b w:val="0"/>
          <w:sz w:val="20"/>
          <w:szCs w:val="20"/>
          <w:lang w:val="en-US"/>
        </w:rPr>
        <w:t>, Leyde-Boston, Brill, 2003.</w:t>
      </w:r>
    </w:p>
    <w:p w14:paraId="3088A481"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b w:val="0"/>
          <w:sz w:val="20"/>
          <w:szCs w:val="20"/>
          <w:lang w:val="en-US"/>
        </w:rPr>
        <w:t xml:space="preserve">M. S. Gordon, </w:t>
      </w:r>
      <w:r w:rsidRPr="007A4CC9">
        <w:rPr>
          <w:rFonts w:ascii="Cambria" w:hAnsi="Cambria"/>
          <w:b w:val="0"/>
          <w:i/>
          <w:iCs/>
          <w:sz w:val="20"/>
          <w:szCs w:val="20"/>
          <w:lang w:val="en-US"/>
        </w:rPr>
        <w:t>Ahmad Ibn Tulun: governor of Abbasid Egypt 868-884</w:t>
      </w:r>
      <w:r w:rsidRPr="007A4CC9">
        <w:rPr>
          <w:rFonts w:ascii="Cambria" w:hAnsi="Cambria"/>
          <w:b w:val="0"/>
          <w:sz w:val="20"/>
          <w:szCs w:val="20"/>
          <w:lang w:val="en-US"/>
        </w:rPr>
        <w:t>, Londres, OneWorld Academic, 2021.</w:t>
      </w:r>
    </w:p>
    <w:p w14:paraId="051BAF26"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cs="Times New Roman"/>
          <w:b w:val="0"/>
          <w:bCs/>
          <w:sz w:val="20"/>
          <w:szCs w:val="20"/>
          <w:lang w:val="en-US"/>
        </w:rPr>
        <w:t xml:space="preserve">N. Frye, « The Sāmānids », R. N. Frye, éd., </w:t>
      </w:r>
      <w:r w:rsidRPr="007A4CC9">
        <w:rPr>
          <w:rFonts w:ascii="Cambria" w:hAnsi="Cambria" w:cs="Times New Roman"/>
          <w:b w:val="0"/>
          <w:bCs/>
          <w:i/>
          <w:iCs/>
          <w:sz w:val="20"/>
          <w:szCs w:val="20"/>
          <w:lang w:val="en-US"/>
        </w:rPr>
        <w:t>The Cambridge History of Iran. IV</w:t>
      </w:r>
      <w:r w:rsidRPr="007A4CC9">
        <w:rPr>
          <w:rFonts w:ascii="Cambria" w:hAnsi="Cambria" w:cs="Times New Roman"/>
          <w:b w:val="0"/>
          <w:bCs/>
          <w:sz w:val="20"/>
          <w:szCs w:val="20"/>
          <w:lang w:val="en-US"/>
        </w:rPr>
        <w:t xml:space="preserve">, cabridge, </w:t>
      </w:r>
      <w:r w:rsidRPr="007A4CC9">
        <w:rPr>
          <w:rFonts w:ascii="Cambria" w:hAnsi="Cambria"/>
          <w:b w:val="0"/>
          <w:bCs/>
          <w:sz w:val="20"/>
          <w:szCs w:val="20"/>
          <w:lang w:val="en-US"/>
        </w:rPr>
        <w:t xml:space="preserve">Cambridge University Press, </w:t>
      </w:r>
      <w:r w:rsidRPr="007A4CC9">
        <w:rPr>
          <w:rFonts w:ascii="Cambria" w:hAnsi="Cambria" w:cs="Times New Roman"/>
          <w:b w:val="0"/>
          <w:bCs/>
          <w:sz w:val="20"/>
          <w:szCs w:val="20"/>
          <w:lang w:val="en-US"/>
        </w:rPr>
        <w:t>p. 136-161.</w:t>
      </w:r>
    </w:p>
    <w:p w14:paraId="121B06D2"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eastAsia="EBGaramond" w:hAnsi="Cambria" w:cs="Times New Roman"/>
          <w:b w:val="0"/>
          <w:bCs/>
          <w:sz w:val="20"/>
          <w:szCs w:val="20"/>
          <w:lang w:val="en-US"/>
        </w:rPr>
        <w:t xml:space="preserve">R. Haug, </w:t>
      </w:r>
      <w:r w:rsidRPr="007A4CC9">
        <w:rPr>
          <w:rFonts w:ascii="Cambria" w:hAnsi="Cambria" w:cs="Times New Roman"/>
          <w:b w:val="0"/>
          <w:bCs/>
          <w:i/>
          <w:iCs/>
          <w:sz w:val="20"/>
          <w:szCs w:val="20"/>
          <w:lang w:val="en-US"/>
        </w:rPr>
        <w:t>The Eastern Frontier: Limits of Empire in Late Antique and Early Medieval Central Asia</w:t>
      </w:r>
      <w:r w:rsidRPr="007A4CC9">
        <w:rPr>
          <w:rFonts w:ascii="Cambria" w:hAnsi="Cambria" w:cs="Times New Roman"/>
          <w:b w:val="0"/>
          <w:bCs/>
          <w:sz w:val="20"/>
          <w:szCs w:val="20"/>
          <w:lang w:val="en-US"/>
        </w:rPr>
        <w:t xml:space="preserve">, </w:t>
      </w:r>
      <w:r w:rsidRPr="007A4CC9">
        <w:rPr>
          <w:rFonts w:ascii="Cambria" w:eastAsia="EBGaramond" w:hAnsi="Cambria" w:cs="Times New Roman"/>
          <w:b w:val="0"/>
          <w:bCs/>
          <w:sz w:val="20"/>
          <w:szCs w:val="20"/>
          <w:lang w:val="en-US"/>
        </w:rPr>
        <w:t>Londres-New York, Bloomsbury Publishing, 2019.</w:t>
      </w:r>
    </w:p>
    <w:p w14:paraId="31E15ABD" w14:textId="77777777" w:rsidR="00AE7C59" w:rsidRPr="007A4CC9" w:rsidRDefault="00AE7C59" w:rsidP="00AE7C59">
      <w:pPr>
        <w:suppressAutoHyphens/>
        <w:spacing w:after="0" w:line="276" w:lineRule="auto"/>
        <w:jc w:val="both"/>
        <w:rPr>
          <w:rFonts w:ascii="Cambria" w:hAnsi="Cambria"/>
          <w:b w:val="0"/>
          <w:sz w:val="20"/>
          <w:szCs w:val="20"/>
        </w:rPr>
      </w:pPr>
      <w:r w:rsidRPr="007A4CC9">
        <w:rPr>
          <w:rFonts w:ascii="Cambria" w:hAnsi="Cambria"/>
          <w:b w:val="0"/>
          <w:sz w:val="20"/>
          <w:szCs w:val="20"/>
        </w:rPr>
        <w:t xml:space="preserve">D. Sourdel, </w:t>
      </w:r>
      <w:r w:rsidRPr="007A4CC9">
        <w:rPr>
          <w:rFonts w:ascii="Cambria" w:hAnsi="Cambria"/>
          <w:b w:val="0"/>
          <w:i/>
          <w:iCs/>
          <w:sz w:val="20"/>
          <w:szCs w:val="20"/>
        </w:rPr>
        <w:t>L’État impérial des califes abbassides</w:t>
      </w:r>
      <w:r w:rsidRPr="007A4CC9">
        <w:rPr>
          <w:rFonts w:ascii="Cambria" w:hAnsi="Cambria"/>
          <w:b w:val="0"/>
          <w:sz w:val="20"/>
          <w:szCs w:val="20"/>
        </w:rPr>
        <w:t>, Paris, PUF, 1999.</w:t>
      </w:r>
    </w:p>
    <w:p w14:paraId="2D62E432" w14:textId="77777777" w:rsidR="00AE7C59" w:rsidRPr="007A4CC9" w:rsidRDefault="00AE7C59" w:rsidP="00AE7C59">
      <w:pPr>
        <w:suppressAutoHyphens/>
        <w:spacing w:after="60" w:line="276" w:lineRule="auto"/>
        <w:jc w:val="both"/>
        <w:rPr>
          <w:rFonts w:ascii="Cambria" w:eastAsia="Times New Roman" w:hAnsi="Cambria"/>
          <w:b w:val="0"/>
          <w:kern w:val="0"/>
          <w:sz w:val="20"/>
          <w:szCs w:val="20"/>
          <w:lang w:eastAsia="fr-FR"/>
        </w:rPr>
      </w:pPr>
      <w:r w:rsidRPr="007A4CC9">
        <w:rPr>
          <w:rFonts w:ascii="Cambria" w:eastAsia="Times New Roman" w:hAnsi="Cambria"/>
          <w:b w:val="0"/>
          <w:kern w:val="0"/>
          <w:sz w:val="20"/>
          <w:szCs w:val="20"/>
          <w:lang w:eastAsia="fr-FR"/>
        </w:rPr>
        <w:t xml:space="preserve">M. Talbi, </w:t>
      </w:r>
      <w:r w:rsidRPr="007A4CC9">
        <w:rPr>
          <w:rFonts w:ascii="Cambria" w:eastAsia="Times New Roman" w:hAnsi="Cambria"/>
          <w:b w:val="0"/>
          <w:i/>
          <w:iCs/>
          <w:kern w:val="0"/>
          <w:sz w:val="20"/>
          <w:szCs w:val="20"/>
          <w:lang w:eastAsia="fr-FR"/>
        </w:rPr>
        <w:t>L’Émirat aghlabide (184-296/800-909). Histoire politique</w:t>
      </w:r>
      <w:r w:rsidRPr="007A4CC9">
        <w:rPr>
          <w:rFonts w:ascii="Cambria" w:eastAsia="Times New Roman" w:hAnsi="Cambria"/>
          <w:b w:val="0"/>
          <w:kern w:val="0"/>
          <w:sz w:val="20"/>
          <w:szCs w:val="20"/>
          <w:lang w:eastAsia="fr-FR"/>
        </w:rPr>
        <w:t>, Paris, Librairie d’Amérique et d’Orient-Maisonneuve, 1966.</w:t>
      </w:r>
    </w:p>
    <w:p w14:paraId="649F7F4E" w14:textId="77777777" w:rsidR="000741F4" w:rsidRPr="00CB5007" w:rsidRDefault="000741F4" w:rsidP="00306A4F">
      <w:pPr>
        <w:spacing w:after="0" w:line="276" w:lineRule="auto"/>
        <w:contextualSpacing/>
        <w:rPr>
          <w:rFonts w:ascii="Cambria" w:hAnsi="Cambria" w:cs="Times New Roman"/>
          <w:sz w:val="22"/>
          <w:lang w:eastAsia="fr-FR"/>
        </w:rPr>
      </w:pPr>
    </w:p>
    <w:p w14:paraId="55E3B8B7" w14:textId="77777777" w:rsidR="00E94CB3" w:rsidRPr="00CB5007" w:rsidRDefault="00E94CB3" w:rsidP="00C62270">
      <w:pPr>
        <w:spacing w:after="0" w:line="276" w:lineRule="auto"/>
        <w:contextualSpacing/>
        <w:rPr>
          <w:rFonts w:ascii="Cambria" w:hAnsi="Cambria"/>
          <w:lang w:eastAsia="fr-FR"/>
        </w:rPr>
      </w:pPr>
    </w:p>
    <w:p w14:paraId="0CC887ED" w14:textId="77777777" w:rsidR="004B5DCE" w:rsidRPr="00DF1F54" w:rsidRDefault="004672CC" w:rsidP="00155FFD">
      <w:pPr>
        <w:pStyle w:val="PrformatHTML"/>
        <w:spacing w:after="0" w:line="276" w:lineRule="auto"/>
        <w:contextualSpacing/>
        <w:jc w:val="center"/>
        <w:rPr>
          <w:rFonts w:ascii="Cambria" w:hAnsi="Cambria"/>
          <w:b/>
          <w:i/>
          <w:color w:val="C00000"/>
          <w:sz w:val="26"/>
          <w:szCs w:val="26"/>
        </w:rPr>
      </w:pPr>
      <w:r w:rsidRPr="00DF1F54">
        <w:rPr>
          <w:rFonts w:ascii="Cambria" w:hAnsi="Cambria"/>
          <w:b/>
          <w:i/>
          <w:color w:val="C00000"/>
          <w:sz w:val="26"/>
          <w:szCs w:val="26"/>
        </w:rPr>
        <w:t>J3021319/J3021419</w:t>
      </w:r>
      <w:r w:rsidR="00E94CB3" w:rsidRPr="00DF1F54">
        <w:rPr>
          <w:rFonts w:ascii="Cambria" w:hAnsi="Cambria"/>
          <w:b/>
          <w:i/>
          <w:color w:val="C00000"/>
          <w:sz w:val="26"/>
          <w:szCs w:val="26"/>
        </w:rPr>
        <w:t xml:space="preserve"> : La méditerranée médiévale</w:t>
      </w:r>
      <w:r w:rsidR="004B5DCE" w:rsidRPr="00DF1F54">
        <w:rPr>
          <w:rFonts w:ascii="Cambria" w:hAnsi="Cambria"/>
          <w:b/>
          <w:i/>
          <w:color w:val="C00000"/>
          <w:sz w:val="26"/>
          <w:szCs w:val="26"/>
        </w:rPr>
        <w:t xml:space="preserve"> </w:t>
      </w:r>
    </w:p>
    <w:p w14:paraId="1C32151B" w14:textId="04135589" w:rsidR="00E94CB3" w:rsidRPr="00DF1F54" w:rsidRDefault="004B5DCE" w:rsidP="00155FFD">
      <w:pPr>
        <w:pStyle w:val="PrformatHTML"/>
        <w:spacing w:after="0" w:line="276" w:lineRule="auto"/>
        <w:contextualSpacing/>
        <w:jc w:val="center"/>
        <w:rPr>
          <w:rFonts w:ascii="Cambria" w:hAnsi="Cambria"/>
          <w:b/>
          <w:i/>
          <w:color w:val="C00000"/>
          <w:sz w:val="26"/>
          <w:szCs w:val="26"/>
        </w:rPr>
      </w:pPr>
      <w:r w:rsidRPr="00DF1F54">
        <w:rPr>
          <w:rFonts w:ascii="Cambria" w:hAnsi="Cambria"/>
          <w:b/>
          <w:i/>
          <w:color w:val="C00000"/>
          <w:sz w:val="26"/>
          <w:szCs w:val="26"/>
        </w:rPr>
        <w:t>(VIIème-XIIIème siècles)</w:t>
      </w:r>
    </w:p>
    <w:p w14:paraId="4860715E" w14:textId="77777777" w:rsidR="00155FFD" w:rsidRPr="00DF1F54" w:rsidRDefault="00155FFD" w:rsidP="00155FFD">
      <w:pPr>
        <w:pStyle w:val="PrformatHTML"/>
        <w:spacing w:after="0" w:line="276" w:lineRule="auto"/>
        <w:contextualSpacing/>
        <w:jc w:val="center"/>
        <w:rPr>
          <w:rFonts w:ascii="Cambria" w:hAnsi="Cambria"/>
          <w:b/>
          <w:i/>
          <w:color w:val="C00000"/>
          <w:sz w:val="26"/>
          <w:szCs w:val="26"/>
        </w:rPr>
      </w:pPr>
    </w:p>
    <w:p w14:paraId="14A18437" w14:textId="50E06AE2" w:rsidR="00D82FBB" w:rsidRPr="00DF1F54" w:rsidRDefault="00D82FBB" w:rsidP="00DC2209">
      <w:pPr>
        <w:pStyle w:val="PrformatHTML"/>
        <w:jc w:val="center"/>
        <w:rPr>
          <w:rFonts w:ascii="Cambria" w:eastAsia="Cambria" w:hAnsi="Cambria" w:cstheme="majorBidi"/>
          <w:b/>
          <w:bCs/>
          <w:color w:val="000000"/>
          <w:sz w:val="22"/>
          <w:szCs w:val="22"/>
          <w:lang w:eastAsia="fr-FR"/>
        </w:rPr>
      </w:pPr>
      <w:r w:rsidRPr="00DF1F54">
        <w:rPr>
          <w:rFonts w:ascii="Cambria" w:eastAsia="Cambria" w:hAnsi="Cambria" w:cstheme="majorBidi"/>
          <w:b/>
          <w:bCs/>
          <w:color w:val="000000"/>
          <w:sz w:val="22"/>
          <w:szCs w:val="22"/>
          <w:lang w:eastAsia="fr-FR"/>
        </w:rPr>
        <w:t>Thomas Tanase</w:t>
      </w:r>
      <w:r w:rsidR="00075968" w:rsidRPr="00DF1F54">
        <w:rPr>
          <w:rFonts w:ascii="Cambria" w:eastAsia="Cambria" w:hAnsi="Cambria" w:cstheme="majorBidi"/>
          <w:b/>
          <w:bCs/>
          <w:color w:val="000000"/>
          <w:sz w:val="22"/>
          <w:szCs w:val="22"/>
          <w:lang w:eastAsia="fr-FR"/>
        </w:rPr>
        <w:t xml:space="preserve"> (CM et TD)</w:t>
      </w:r>
      <w:r w:rsidRPr="00DF1F54">
        <w:rPr>
          <w:rFonts w:ascii="Cambria" w:eastAsia="Cambria" w:hAnsi="Cambria" w:cstheme="majorBidi"/>
          <w:b/>
          <w:bCs/>
          <w:color w:val="000000"/>
          <w:sz w:val="22"/>
          <w:szCs w:val="22"/>
          <w:lang w:eastAsia="fr-FR"/>
        </w:rPr>
        <w:t>, Emmanuelle Vagnon</w:t>
      </w:r>
      <w:r w:rsidR="00FB3E08" w:rsidRPr="00DF1F54">
        <w:rPr>
          <w:rFonts w:ascii="Cambria" w:eastAsia="Cambria" w:hAnsi="Cambria" w:cstheme="majorBidi"/>
          <w:b/>
          <w:bCs/>
          <w:color w:val="000000"/>
          <w:sz w:val="22"/>
          <w:szCs w:val="22"/>
          <w:lang w:eastAsia="fr-FR"/>
        </w:rPr>
        <w:t xml:space="preserve"> </w:t>
      </w:r>
      <w:r w:rsidR="00075968" w:rsidRPr="00DF1F54">
        <w:rPr>
          <w:rFonts w:ascii="Cambria" w:eastAsia="Cambria" w:hAnsi="Cambria" w:cstheme="majorBidi"/>
          <w:b/>
          <w:bCs/>
          <w:color w:val="000000"/>
          <w:sz w:val="22"/>
          <w:szCs w:val="22"/>
          <w:lang w:eastAsia="fr-FR"/>
        </w:rPr>
        <w:t>(TD)</w:t>
      </w:r>
    </w:p>
    <w:p w14:paraId="1359E42F" w14:textId="77777777" w:rsidR="00D82FBB" w:rsidRPr="00DF1F54" w:rsidRDefault="00D82FBB" w:rsidP="00D82FBB">
      <w:pPr>
        <w:pStyle w:val="PrformatHTML"/>
        <w:rPr>
          <w:rFonts w:ascii="Cambria" w:hAnsi="Cambria" w:cstheme="majorBidi"/>
          <w:sz w:val="24"/>
          <w:szCs w:val="24"/>
        </w:rPr>
      </w:pPr>
    </w:p>
    <w:p w14:paraId="3D5022C0" w14:textId="77777777" w:rsidR="0071245A" w:rsidRPr="009A2468" w:rsidRDefault="0071245A" w:rsidP="0071245A">
      <w:pPr>
        <w:pStyle w:val="PrformatHTML"/>
        <w:rPr>
          <w:rFonts w:ascii="Cambria" w:hAnsi="Cambria"/>
          <w:b/>
          <w:bCs/>
          <w:color w:val="C00000"/>
          <w:sz w:val="22"/>
          <w:szCs w:val="22"/>
        </w:rPr>
      </w:pPr>
      <w:r w:rsidRPr="009A2468">
        <w:rPr>
          <w:rFonts w:ascii="Cambria" w:hAnsi="Cambria"/>
          <w:b/>
          <w:bCs/>
          <w:color w:val="C00000"/>
          <w:sz w:val="22"/>
          <w:szCs w:val="22"/>
          <w:u w:val="single"/>
        </w:rPr>
        <w:t>Sujet du cours semestre 1</w:t>
      </w:r>
      <w:r w:rsidRPr="009A2468">
        <w:rPr>
          <w:rFonts w:ascii="Cambria" w:hAnsi="Cambria"/>
          <w:b/>
          <w:bCs/>
          <w:color w:val="C00000"/>
          <w:sz w:val="22"/>
          <w:szCs w:val="22"/>
        </w:rPr>
        <w:t xml:space="preserve"> : </w:t>
      </w:r>
      <w:bookmarkStart w:id="21" w:name="_Hlk106105266"/>
      <w:r w:rsidRPr="009A2468">
        <w:rPr>
          <w:rFonts w:ascii="Cambria" w:hAnsi="Cambria"/>
          <w:b/>
          <w:bCs/>
          <w:color w:val="C00000"/>
          <w:sz w:val="22"/>
          <w:szCs w:val="22"/>
        </w:rPr>
        <w:t>Croisades et expansion latine en Orient fin XI</w:t>
      </w:r>
      <w:r w:rsidRPr="009A2468">
        <w:rPr>
          <w:rFonts w:ascii="Cambria" w:hAnsi="Cambria"/>
          <w:b/>
          <w:bCs/>
          <w:color w:val="C00000"/>
          <w:sz w:val="22"/>
          <w:szCs w:val="22"/>
          <w:vertAlign w:val="superscript"/>
        </w:rPr>
        <w:t>e</w:t>
      </w:r>
      <w:r w:rsidRPr="009A2468">
        <w:rPr>
          <w:rFonts w:ascii="Cambria" w:hAnsi="Cambria"/>
          <w:b/>
          <w:bCs/>
          <w:color w:val="C00000"/>
          <w:sz w:val="22"/>
          <w:szCs w:val="22"/>
        </w:rPr>
        <w:t>-mi-XIV</w:t>
      </w:r>
      <w:r w:rsidRPr="009A2468">
        <w:rPr>
          <w:rFonts w:ascii="Cambria" w:hAnsi="Cambria"/>
          <w:b/>
          <w:bCs/>
          <w:color w:val="C00000"/>
          <w:sz w:val="22"/>
          <w:szCs w:val="22"/>
          <w:vertAlign w:val="superscript"/>
        </w:rPr>
        <w:t>e</w:t>
      </w:r>
      <w:r w:rsidRPr="009A2468">
        <w:rPr>
          <w:rFonts w:ascii="Cambria" w:hAnsi="Cambria"/>
          <w:b/>
          <w:bCs/>
          <w:color w:val="C00000"/>
          <w:sz w:val="22"/>
          <w:szCs w:val="22"/>
        </w:rPr>
        <w:t> </w:t>
      </w:r>
      <w:bookmarkEnd w:id="21"/>
      <w:r w:rsidRPr="009A2468">
        <w:rPr>
          <w:rFonts w:ascii="Cambria" w:hAnsi="Cambria"/>
          <w:b/>
          <w:bCs/>
          <w:color w:val="C00000"/>
          <w:sz w:val="22"/>
          <w:szCs w:val="22"/>
        </w:rPr>
        <w:t xml:space="preserve">siècle. Dominations et confrontations </w:t>
      </w:r>
    </w:p>
    <w:p w14:paraId="4651E38F" w14:textId="77777777" w:rsidR="0071245A" w:rsidRPr="00DF1F54" w:rsidRDefault="0071245A" w:rsidP="0071245A">
      <w:pPr>
        <w:pStyle w:val="PrformatHTML"/>
        <w:jc w:val="both"/>
        <w:rPr>
          <w:rFonts w:ascii="Cambria" w:hAnsi="Cambria"/>
          <w:b/>
          <w:bCs/>
          <w:sz w:val="22"/>
          <w:szCs w:val="22"/>
        </w:rPr>
      </w:pPr>
      <w:r w:rsidRPr="00DF1F54">
        <w:rPr>
          <w:rFonts w:ascii="Cambria" w:hAnsi="Cambria"/>
          <w:sz w:val="22"/>
          <w:szCs w:val="22"/>
        </w:rPr>
        <w:t>L’appel du pape Urbain II en 1095 pour la libération de Jérusalem entraîne un vaste mouvement d’expansion de la chrétienté latine vers l’Orient, connu sous le nom de croisades, dont la définition idéologique se construit progressivement. Ces expéditions armées débouchent sur la conquête de territoires en Syrie-Palestine et la fondation d’</w:t>
      </w:r>
      <w:r w:rsidRPr="00DF1F54">
        <w:rPr>
          <w:rFonts w:ascii="Cambria" w:hAnsi="Cambria"/>
          <w:caps/>
          <w:sz w:val="22"/>
          <w:szCs w:val="22"/>
        </w:rPr>
        <w:t>é</w:t>
      </w:r>
      <w:r w:rsidRPr="00DF1F54">
        <w:rPr>
          <w:rFonts w:ascii="Cambria" w:hAnsi="Cambria"/>
          <w:sz w:val="22"/>
          <w:szCs w:val="22"/>
        </w:rPr>
        <w:t>tats latins et sur des confrontations avec les puissances régionales, musulmanes mais aussi byzantine. De nouvelles formes de domination, que l’on peut qualifier de coloniales, se mettent en place, avec l’importation d’institutions féodales adaptées au contexte oriental et aux populations conquises, musulmanes ou chrétiennes. La réaction musulmane au cours du XII</w:t>
      </w:r>
      <w:r w:rsidRPr="00DF1F54">
        <w:rPr>
          <w:rFonts w:ascii="Cambria" w:hAnsi="Cambria"/>
          <w:sz w:val="22"/>
          <w:szCs w:val="22"/>
          <w:vertAlign w:val="superscript"/>
        </w:rPr>
        <w:t>e</w:t>
      </w:r>
      <w:r w:rsidRPr="00DF1F54">
        <w:rPr>
          <w:rFonts w:ascii="Cambria" w:hAnsi="Cambria"/>
          <w:sz w:val="22"/>
          <w:szCs w:val="22"/>
        </w:rPr>
        <w:t xml:space="preserve"> siècle, sous le signe du djihad, oblige au lancement de nouvelles croisades, qui ne parviennent cependant pas à empêcher la chute des </w:t>
      </w:r>
      <w:r w:rsidRPr="00DF1F54">
        <w:rPr>
          <w:rFonts w:ascii="Cambria" w:hAnsi="Cambria"/>
          <w:caps/>
          <w:sz w:val="22"/>
          <w:szCs w:val="22"/>
        </w:rPr>
        <w:t>é</w:t>
      </w:r>
      <w:r w:rsidRPr="00DF1F54">
        <w:rPr>
          <w:rFonts w:ascii="Cambria" w:hAnsi="Cambria"/>
          <w:sz w:val="22"/>
          <w:szCs w:val="22"/>
        </w:rPr>
        <w:t>tats latins à la fin du XIII</w:t>
      </w:r>
      <w:r w:rsidRPr="00DF1F54">
        <w:rPr>
          <w:rFonts w:ascii="Cambria" w:hAnsi="Cambria"/>
          <w:sz w:val="22"/>
          <w:szCs w:val="22"/>
          <w:vertAlign w:val="superscript"/>
        </w:rPr>
        <w:t>e</w:t>
      </w:r>
      <w:r w:rsidRPr="00DF1F54">
        <w:rPr>
          <w:rFonts w:ascii="Cambria" w:hAnsi="Cambria"/>
          <w:sz w:val="22"/>
          <w:szCs w:val="22"/>
        </w:rPr>
        <w:t xml:space="preserve"> siècle. Pendant cette période la guerre alterne cependant avec des trêves, rendues possibles par une diplomatie active laissant une large place à une </w:t>
      </w:r>
      <w:r w:rsidRPr="00DF1F54">
        <w:rPr>
          <w:rFonts w:ascii="Cambria" w:hAnsi="Cambria"/>
          <w:i/>
          <w:iCs/>
          <w:sz w:val="22"/>
          <w:szCs w:val="22"/>
        </w:rPr>
        <w:t>realpolitik</w:t>
      </w:r>
      <w:r w:rsidRPr="00DF1F54">
        <w:rPr>
          <w:rFonts w:ascii="Cambria" w:hAnsi="Cambria"/>
          <w:sz w:val="22"/>
          <w:szCs w:val="22"/>
        </w:rPr>
        <w:t xml:space="preserve"> dans laquelle les frontières religieuses ne sont pas toujours déterminantes. Enfin après la chute du royaume de Jérusalem en 1291 les Latins se replient sur Chypre et la papauté continue d’encourager les projets de croisades, qui prennent en compte la nouvelle configuration géopolitique du Proche-Orient et notamment la présence des Mongols. Les TD s’attacheront à la fois à l’étude des sources médiévales et des modes d’écriture et d’interprétation, aujourd’hui, de cette histoire marquée par de vifs débats historiographiques mais aussi idéologiques.</w:t>
      </w:r>
    </w:p>
    <w:p w14:paraId="4E93CD8C" w14:textId="77777777" w:rsidR="0071245A" w:rsidRPr="00DF1F54" w:rsidRDefault="0071245A" w:rsidP="0071245A">
      <w:pPr>
        <w:pStyle w:val="PrformatHTML"/>
        <w:rPr>
          <w:rFonts w:ascii="Cambria" w:hAnsi="Cambria"/>
          <w:sz w:val="22"/>
          <w:szCs w:val="22"/>
        </w:rPr>
      </w:pPr>
    </w:p>
    <w:p w14:paraId="17416395" w14:textId="77777777" w:rsidR="0071245A" w:rsidRPr="00DF1F54" w:rsidRDefault="0071245A" w:rsidP="0071245A">
      <w:pPr>
        <w:pStyle w:val="PrformatHTML"/>
        <w:rPr>
          <w:rFonts w:ascii="Cambria" w:hAnsi="Cambria"/>
          <w:sz w:val="22"/>
          <w:szCs w:val="22"/>
        </w:rPr>
      </w:pPr>
    </w:p>
    <w:p w14:paraId="4295F7F0" w14:textId="77777777" w:rsidR="0071245A" w:rsidRPr="00DF1F54" w:rsidRDefault="0071245A" w:rsidP="0071245A">
      <w:pPr>
        <w:pStyle w:val="PrformatHTML"/>
        <w:rPr>
          <w:rFonts w:ascii="Cambria" w:hAnsi="Cambria"/>
          <w:sz w:val="22"/>
          <w:szCs w:val="22"/>
        </w:rPr>
      </w:pPr>
    </w:p>
    <w:p w14:paraId="0E557D7E" w14:textId="77777777" w:rsidR="0071245A" w:rsidRPr="00DF1F54" w:rsidRDefault="0071245A" w:rsidP="0071245A">
      <w:pPr>
        <w:pStyle w:val="PrformatHTML"/>
        <w:spacing w:after="0"/>
        <w:rPr>
          <w:rFonts w:ascii="Cambria" w:hAnsi="Cambria"/>
          <w:b/>
          <w:bCs/>
          <w:sz w:val="22"/>
          <w:szCs w:val="22"/>
        </w:rPr>
      </w:pPr>
    </w:p>
    <w:p w14:paraId="00BC134F" w14:textId="77777777" w:rsidR="0071245A" w:rsidRPr="00DF1F54" w:rsidRDefault="0071245A" w:rsidP="0071245A">
      <w:pPr>
        <w:pStyle w:val="PrformatHTML"/>
        <w:spacing w:after="0"/>
        <w:rPr>
          <w:rFonts w:ascii="Cambria" w:hAnsi="Cambria"/>
          <w:b/>
          <w:bCs/>
          <w:sz w:val="22"/>
          <w:szCs w:val="22"/>
        </w:rPr>
      </w:pPr>
    </w:p>
    <w:p w14:paraId="4A3D6A95" w14:textId="77777777" w:rsidR="0071245A" w:rsidRPr="00DF1F54" w:rsidRDefault="0071245A" w:rsidP="0071245A">
      <w:pPr>
        <w:pStyle w:val="PrformatHTML"/>
        <w:spacing w:after="0"/>
        <w:rPr>
          <w:rFonts w:ascii="Cambria" w:eastAsia="Cambria" w:hAnsi="Cambria"/>
          <w:b/>
          <w:bCs/>
          <w:color w:val="000000"/>
          <w:sz w:val="22"/>
          <w:szCs w:val="22"/>
          <w:lang w:eastAsia="fr-FR"/>
        </w:rPr>
      </w:pPr>
      <w:r w:rsidRPr="00DF1F54">
        <w:rPr>
          <w:rFonts w:ascii="Cambria" w:hAnsi="Cambria"/>
          <w:b/>
          <w:bCs/>
          <w:sz w:val="22"/>
          <w:szCs w:val="22"/>
        </w:rPr>
        <w:t xml:space="preserve">Bibliographie </w:t>
      </w:r>
      <w:r w:rsidRPr="00DF1F54">
        <w:rPr>
          <w:rFonts w:ascii="Cambria" w:eastAsia="Cambria" w:hAnsi="Cambria"/>
          <w:b/>
          <w:bCs/>
          <w:color w:val="000000"/>
          <w:sz w:val="22"/>
          <w:szCs w:val="22"/>
          <w:lang w:eastAsia="fr-FR"/>
        </w:rPr>
        <w:t>indicative </w:t>
      </w:r>
    </w:p>
    <w:p w14:paraId="312EA867" w14:textId="77777777" w:rsidR="0071245A" w:rsidRPr="00DF1F54" w:rsidRDefault="0071245A" w:rsidP="0071245A">
      <w:pPr>
        <w:pStyle w:val="PrformatHTML"/>
        <w:spacing w:after="0"/>
        <w:rPr>
          <w:rFonts w:ascii="Cambria" w:eastAsia="MS ??" w:hAnsi="Cambria"/>
          <w:bCs/>
          <w:kern w:val="2"/>
          <w:sz w:val="22"/>
          <w:szCs w:val="22"/>
        </w:rPr>
      </w:pPr>
      <w:r w:rsidRPr="00DF1F54">
        <w:rPr>
          <w:rFonts w:ascii="Cambria" w:eastAsia="MS ??" w:hAnsi="Cambria"/>
          <w:bCs/>
          <w:kern w:val="2"/>
          <w:sz w:val="22"/>
          <w:szCs w:val="22"/>
        </w:rPr>
        <w:t xml:space="preserve"> </w:t>
      </w:r>
    </w:p>
    <w:p w14:paraId="65FF474A" w14:textId="77777777" w:rsidR="0071245A" w:rsidRPr="00DF1F54" w:rsidRDefault="0071245A" w:rsidP="0071245A">
      <w:pPr>
        <w:spacing w:after="0"/>
        <w:rPr>
          <w:rFonts w:ascii="Cambria" w:hAnsi="Cambria" w:cs="Times New Roman"/>
          <w:b w:val="0"/>
          <w:bCs/>
          <w:sz w:val="22"/>
          <w:lang w:eastAsia="en-US"/>
        </w:rPr>
      </w:pPr>
      <w:r w:rsidRPr="00DF1F54">
        <w:rPr>
          <w:rFonts w:ascii="Cambria" w:hAnsi="Cambria" w:cs="Times New Roman"/>
          <w:b w:val="0"/>
          <w:bCs/>
          <w:sz w:val="22"/>
          <w:lang w:eastAsia="en-US"/>
        </w:rPr>
        <w:t xml:space="preserve">M. Balard, Ch. Picard, </w:t>
      </w:r>
      <w:r w:rsidRPr="00DF1F54">
        <w:rPr>
          <w:rFonts w:ascii="Cambria" w:hAnsi="Cambria" w:cs="Times New Roman"/>
          <w:b w:val="0"/>
          <w:bCs/>
          <w:i/>
          <w:iCs/>
          <w:sz w:val="22"/>
          <w:lang w:eastAsia="en-US"/>
        </w:rPr>
        <w:t>La Méditerranée au Moyen Âge. Les hommes et la mer</w:t>
      </w:r>
      <w:r w:rsidRPr="00DF1F54">
        <w:rPr>
          <w:rFonts w:ascii="Cambria" w:hAnsi="Cambria" w:cs="Times New Roman"/>
          <w:b w:val="0"/>
          <w:bCs/>
          <w:sz w:val="22"/>
          <w:lang w:eastAsia="en-US"/>
        </w:rPr>
        <w:t>, Paris, Hachette, 2014.</w:t>
      </w:r>
    </w:p>
    <w:p w14:paraId="0D5ED3DA" w14:textId="77777777" w:rsidR="0071245A" w:rsidRPr="00DF1F54" w:rsidRDefault="0071245A" w:rsidP="0071245A">
      <w:pPr>
        <w:spacing w:after="0"/>
        <w:rPr>
          <w:rFonts w:ascii="Cambria" w:hAnsi="Cambria" w:cs="Times New Roman"/>
          <w:b w:val="0"/>
          <w:bCs/>
          <w:sz w:val="22"/>
          <w:lang w:eastAsia="en-US"/>
        </w:rPr>
      </w:pPr>
      <w:r w:rsidRPr="00DF1F54">
        <w:rPr>
          <w:rFonts w:ascii="Cambria" w:hAnsi="Cambria" w:cs="Times New Roman"/>
          <w:b w:val="0"/>
          <w:bCs/>
          <w:sz w:val="22"/>
          <w:lang w:val="en-US" w:eastAsia="en-US"/>
        </w:rPr>
        <w:t xml:space="preserve">Ph. Jansen, A. Nef, Ch. </w:t>
      </w:r>
      <w:r w:rsidRPr="00DF1F54">
        <w:rPr>
          <w:rFonts w:ascii="Cambria" w:hAnsi="Cambria" w:cs="Times New Roman"/>
          <w:b w:val="0"/>
          <w:bCs/>
          <w:sz w:val="22"/>
          <w:lang w:eastAsia="en-US"/>
        </w:rPr>
        <w:t xml:space="preserve">Picard, </w:t>
      </w:r>
      <w:r w:rsidRPr="00DF1F54">
        <w:rPr>
          <w:rFonts w:ascii="Cambria" w:hAnsi="Cambria" w:cs="Times New Roman"/>
          <w:b w:val="0"/>
          <w:bCs/>
          <w:i/>
          <w:iCs/>
          <w:sz w:val="22"/>
          <w:lang w:eastAsia="en-US"/>
        </w:rPr>
        <w:t>La Méditerranée entre pays d’Islam et monde latin (milieu X</w:t>
      </w:r>
      <w:r w:rsidRPr="00DF1F54">
        <w:rPr>
          <w:rFonts w:ascii="Cambria" w:hAnsi="Cambria" w:cs="Times New Roman"/>
          <w:b w:val="0"/>
          <w:bCs/>
          <w:i/>
          <w:iCs/>
          <w:sz w:val="22"/>
          <w:vertAlign w:val="superscript"/>
          <w:lang w:eastAsia="en-US"/>
        </w:rPr>
        <w:t>e</w:t>
      </w:r>
      <w:r w:rsidRPr="00DF1F54">
        <w:rPr>
          <w:rFonts w:ascii="Cambria" w:hAnsi="Cambria" w:cs="Times New Roman"/>
          <w:b w:val="0"/>
          <w:bCs/>
          <w:i/>
          <w:iCs/>
          <w:sz w:val="22"/>
          <w:lang w:eastAsia="en-US"/>
        </w:rPr>
        <w:t>-milieu XIII</w:t>
      </w:r>
      <w:r w:rsidRPr="00DF1F54">
        <w:rPr>
          <w:rFonts w:ascii="Cambria" w:hAnsi="Cambria" w:cs="Times New Roman"/>
          <w:b w:val="0"/>
          <w:bCs/>
          <w:i/>
          <w:iCs/>
          <w:sz w:val="22"/>
          <w:vertAlign w:val="superscript"/>
          <w:lang w:eastAsia="en-US"/>
        </w:rPr>
        <w:t>e</w:t>
      </w:r>
      <w:r w:rsidRPr="00DF1F54">
        <w:rPr>
          <w:rFonts w:ascii="Cambria" w:hAnsi="Cambria" w:cs="Times New Roman"/>
          <w:b w:val="0"/>
          <w:bCs/>
          <w:i/>
          <w:iCs/>
          <w:sz w:val="22"/>
          <w:lang w:eastAsia="en-US"/>
        </w:rPr>
        <w:t xml:space="preserve"> siècle), </w:t>
      </w:r>
      <w:r w:rsidRPr="00DF1F54">
        <w:rPr>
          <w:rFonts w:ascii="Cambria" w:hAnsi="Cambria" w:cs="Times New Roman"/>
          <w:b w:val="0"/>
          <w:bCs/>
          <w:sz w:val="22"/>
          <w:lang w:eastAsia="en-US"/>
        </w:rPr>
        <w:t>Paris, Sedes, 2000.</w:t>
      </w:r>
    </w:p>
    <w:p w14:paraId="09F2103D" w14:textId="77777777" w:rsidR="0071245A" w:rsidRPr="00DF1F54" w:rsidRDefault="0071245A" w:rsidP="0071245A">
      <w:pPr>
        <w:spacing w:after="0"/>
        <w:rPr>
          <w:rFonts w:ascii="Cambria" w:eastAsia="Times New Roman" w:hAnsi="Cambria" w:cs="Times New Roman"/>
          <w:b w:val="0"/>
          <w:bCs/>
          <w:kern w:val="0"/>
          <w:sz w:val="22"/>
          <w:lang w:eastAsia="en-US"/>
        </w:rPr>
      </w:pPr>
      <w:r w:rsidRPr="00DF1F54">
        <w:rPr>
          <w:rFonts w:ascii="Cambria" w:hAnsi="Cambria" w:cs="Times New Roman"/>
          <w:b w:val="0"/>
          <w:bCs/>
          <w:sz w:val="22"/>
        </w:rPr>
        <w:t xml:space="preserve">M. Balard, </w:t>
      </w:r>
      <w:r w:rsidRPr="00DF1F54">
        <w:rPr>
          <w:rFonts w:ascii="Cambria" w:hAnsi="Cambria" w:cs="Times New Roman"/>
          <w:b w:val="0"/>
          <w:bCs/>
          <w:i/>
          <w:iCs/>
          <w:sz w:val="22"/>
        </w:rPr>
        <w:t>Croisades et Orient latin (XI</w:t>
      </w:r>
      <w:r w:rsidRPr="00DF1F54">
        <w:rPr>
          <w:rFonts w:ascii="Cambria" w:hAnsi="Cambria" w:cs="Times New Roman"/>
          <w:b w:val="0"/>
          <w:bCs/>
          <w:i/>
          <w:iCs/>
          <w:sz w:val="22"/>
          <w:vertAlign w:val="superscript"/>
        </w:rPr>
        <w:t>e</w:t>
      </w:r>
      <w:r w:rsidRPr="00DF1F54">
        <w:rPr>
          <w:rFonts w:ascii="Cambria" w:hAnsi="Cambria" w:cs="Times New Roman"/>
          <w:b w:val="0"/>
          <w:bCs/>
          <w:i/>
          <w:iCs/>
          <w:sz w:val="22"/>
        </w:rPr>
        <w:t xml:space="preserve"> – XIV</w:t>
      </w:r>
      <w:r w:rsidRPr="00DF1F54">
        <w:rPr>
          <w:rFonts w:ascii="Cambria" w:hAnsi="Cambria" w:cs="Times New Roman"/>
          <w:b w:val="0"/>
          <w:bCs/>
          <w:i/>
          <w:iCs/>
          <w:sz w:val="22"/>
          <w:vertAlign w:val="superscript"/>
        </w:rPr>
        <w:t>e</w:t>
      </w:r>
      <w:r w:rsidRPr="00DF1F54">
        <w:rPr>
          <w:rFonts w:ascii="Cambria" w:hAnsi="Cambria" w:cs="Times New Roman"/>
          <w:b w:val="0"/>
          <w:bCs/>
          <w:i/>
          <w:iCs/>
          <w:sz w:val="22"/>
        </w:rPr>
        <w:t xml:space="preserve"> siècle),</w:t>
      </w:r>
      <w:r w:rsidRPr="00DF1F54">
        <w:rPr>
          <w:rFonts w:ascii="Cambria" w:hAnsi="Cambria" w:cs="Times New Roman"/>
          <w:b w:val="0"/>
          <w:bCs/>
          <w:sz w:val="22"/>
        </w:rPr>
        <w:t xml:space="preserve"> Paris, A. Colin, 2003.</w:t>
      </w:r>
    </w:p>
    <w:p w14:paraId="2665B6EC" w14:textId="77777777" w:rsidR="0071245A" w:rsidRPr="00DF1F54" w:rsidRDefault="0071245A" w:rsidP="0071245A">
      <w:pPr>
        <w:spacing w:after="0"/>
        <w:rPr>
          <w:rFonts w:ascii="Cambria" w:hAnsi="Cambria" w:cs="Times New Roman"/>
          <w:b w:val="0"/>
          <w:bCs/>
          <w:sz w:val="22"/>
          <w:lang w:eastAsia="fr-FR"/>
        </w:rPr>
      </w:pPr>
      <w:r w:rsidRPr="00DF1F54">
        <w:rPr>
          <w:rFonts w:ascii="Cambria" w:hAnsi="Cambria" w:cs="Times New Roman"/>
          <w:b w:val="0"/>
          <w:bCs/>
          <w:sz w:val="22"/>
          <w:lang w:eastAsia="fr-FR"/>
        </w:rPr>
        <w:t xml:space="preserve">É. Malamut et M. Ouerfelli (dir.), </w:t>
      </w:r>
      <w:r w:rsidRPr="00DF1F54">
        <w:rPr>
          <w:rFonts w:ascii="Cambria" w:hAnsi="Cambria" w:cs="Times New Roman"/>
          <w:b w:val="0"/>
          <w:bCs/>
          <w:i/>
          <w:iCs/>
          <w:sz w:val="22"/>
          <w:lang w:eastAsia="fr-FR"/>
        </w:rPr>
        <w:t>De la guerre à la paix en Méditerranée médiévale : acteurs, propagande, défense et diplomatie</w:t>
      </w:r>
      <w:r w:rsidRPr="00DF1F54">
        <w:rPr>
          <w:rFonts w:ascii="Cambria" w:hAnsi="Cambria" w:cs="Times New Roman"/>
          <w:b w:val="0"/>
          <w:bCs/>
          <w:sz w:val="22"/>
          <w:lang w:eastAsia="fr-FR"/>
        </w:rPr>
        <w:t>, Aix-en-Provence, PUP, 2021.</w:t>
      </w:r>
    </w:p>
    <w:p w14:paraId="27274F82" w14:textId="77777777" w:rsidR="0071245A" w:rsidRPr="00DF1F54" w:rsidRDefault="0071245A" w:rsidP="0071245A">
      <w:pPr>
        <w:spacing w:after="0"/>
        <w:rPr>
          <w:rFonts w:ascii="Cambria" w:hAnsi="Cambria" w:cs="Times New Roman"/>
          <w:b w:val="0"/>
          <w:bCs/>
          <w:sz w:val="22"/>
          <w:lang w:eastAsia="fr-FR"/>
        </w:rPr>
      </w:pPr>
      <w:r w:rsidRPr="00DF1F54">
        <w:rPr>
          <w:rFonts w:ascii="Cambria" w:hAnsi="Cambria" w:cs="Times New Roman"/>
          <w:b w:val="0"/>
          <w:bCs/>
          <w:sz w:val="22"/>
          <w:lang w:eastAsia="fr-FR"/>
        </w:rPr>
        <w:t xml:space="preserve">E. Sivan, </w:t>
      </w:r>
      <w:r w:rsidRPr="00DF1F54">
        <w:rPr>
          <w:rFonts w:ascii="Cambria" w:hAnsi="Cambria" w:cs="Times New Roman"/>
          <w:b w:val="0"/>
          <w:bCs/>
          <w:i/>
          <w:iCs/>
          <w:sz w:val="22"/>
          <w:lang w:eastAsia="fr-FR"/>
        </w:rPr>
        <w:t>L’Islam et la croisade : idéologie et propagande dans les réactions musulmanes aux croisades</w:t>
      </w:r>
      <w:r w:rsidRPr="00DF1F54">
        <w:rPr>
          <w:rFonts w:ascii="Cambria" w:hAnsi="Cambria" w:cs="Times New Roman"/>
          <w:b w:val="0"/>
          <w:bCs/>
          <w:sz w:val="22"/>
          <w:lang w:eastAsia="fr-FR"/>
        </w:rPr>
        <w:t>, Paris, A. Maisonneuve, 1968.</w:t>
      </w:r>
    </w:p>
    <w:p w14:paraId="2A21E48D" w14:textId="77777777" w:rsidR="0071245A" w:rsidRPr="00DF1F54" w:rsidRDefault="0071245A" w:rsidP="0071245A">
      <w:pPr>
        <w:spacing w:after="0"/>
        <w:rPr>
          <w:rFonts w:ascii="Cambria" w:eastAsia="Times New Roman" w:hAnsi="Cambria" w:cs="Times New Roman"/>
          <w:b w:val="0"/>
          <w:bCs/>
          <w:kern w:val="0"/>
          <w:sz w:val="22"/>
          <w:lang w:eastAsia="fr-FR"/>
        </w:rPr>
      </w:pPr>
      <w:r w:rsidRPr="00DF1F54">
        <w:rPr>
          <w:rFonts w:ascii="Cambria" w:hAnsi="Cambria" w:cs="Times New Roman"/>
          <w:b w:val="0"/>
          <w:bCs/>
          <w:sz w:val="22"/>
        </w:rPr>
        <w:t xml:space="preserve">A.-M. Eddé, </w:t>
      </w:r>
      <w:r w:rsidRPr="00DF1F54">
        <w:rPr>
          <w:rFonts w:ascii="Cambria" w:hAnsi="Cambria" w:cs="Times New Roman"/>
          <w:b w:val="0"/>
          <w:bCs/>
          <w:i/>
          <w:iCs/>
          <w:sz w:val="22"/>
        </w:rPr>
        <w:t>Saladin</w:t>
      </w:r>
      <w:r w:rsidRPr="00DF1F54">
        <w:rPr>
          <w:rFonts w:ascii="Cambria" w:hAnsi="Cambria" w:cs="Times New Roman"/>
          <w:b w:val="0"/>
          <w:bCs/>
          <w:sz w:val="22"/>
        </w:rPr>
        <w:t>, Paris, Flammarion, 2008</w:t>
      </w:r>
    </w:p>
    <w:p w14:paraId="7149C325" w14:textId="77777777" w:rsidR="0071245A" w:rsidRPr="00DF1F54" w:rsidRDefault="0071245A" w:rsidP="0071245A">
      <w:pPr>
        <w:pStyle w:val="PrformatHTML"/>
        <w:rPr>
          <w:rFonts w:ascii="Cambria" w:hAnsi="Cambria"/>
          <w:sz w:val="22"/>
          <w:szCs w:val="22"/>
        </w:rPr>
      </w:pPr>
    </w:p>
    <w:p w14:paraId="35D05F0C" w14:textId="77777777" w:rsidR="0071245A" w:rsidRPr="009A2468" w:rsidRDefault="0071245A" w:rsidP="0071245A">
      <w:pPr>
        <w:pStyle w:val="PrformatHTML"/>
        <w:rPr>
          <w:rFonts w:ascii="Cambria" w:hAnsi="Cambria"/>
          <w:b/>
          <w:bCs/>
          <w:color w:val="C00000"/>
          <w:sz w:val="22"/>
          <w:szCs w:val="22"/>
        </w:rPr>
      </w:pPr>
      <w:r w:rsidRPr="009A2468">
        <w:rPr>
          <w:rFonts w:ascii="Cambria" w:hAnsi="Cambria"/>
          <w:b/>
          <w:bCs/>
          <w:color w:val="C00000"/>
          <w:sz w:val="22"/>
          <w:szCs w:val="22"/>
          <w:u w:val="single"/>
        </w:rPr>
        <w:t>Sujet du cours semestre 2</w:t>
      </w:r>
      <w:r w:rsidRPr="009A2468">
        <w:rPr>
          <w:rFonts w:ascii="Cambria" w:hAnsi="Cambria"/>
          <w:b/>
          <w:bCs/>
          <w:color w:val="C00000"/>
          <w:sz w:val="22"/>
          <w:szCs w:val="22"/>
        </w:rPr>
        <w:t xml:space="preserve"> : </w:t>
      </w:r>
      <w:bookmarkStart w:id="22" w:name="_Hlk46128019"/>
      <w:r w:rsidRPr="009A2468">
        <w:rPr>
          <w:rFonts w:ascii="Cambria" w:hAnsi="Cambria"/>
          <w:b/>
          <w:bCs/>
          <w:color w:val="C00000"/>
          <w:sz w:val="22"/>
          <w:szCs w:val="22"/>
        </w:rPr>
        <w:t>Croisades et expansion latine en Orient fin XI</w:t>
      </w:r>
      <w:r w:rsidRPr="009A2468">
        <w:rPr>
          <w:rFonts w:ascii="Cambria" w:hAnsi="Cambria"/>
          <w:b/>
          <w:bCs/>
          <w:color w:val="C00000"/>
          <w:sz w:val="22"/>
          <w:szCs w:val="22"/>
          <w:vertAlign w:val="superscript"/>
        </w:rPr>
        <w:t>e</w:t>
      </w:r>
      <w:r w:rsidRPr="009A2468">
        <w:rPr>
          <w:rFonts w:ascii="Cambria" w:hAnsi="Cambria"/>
          <w:b/>
          <w:bCs/>
          <w:color w:val="C00000"/>
          <w:sz w:val="22"/>
          <w:szCs w:val="22"/>
        </w:rPr>
        <w:t>-mi-XIV</w:t>
      </w:r>
      <w:r w:rsidRPr="009A2468">
        <w:rPr>
          <w:rFonts w:ascii="Cambria" w:hAnsi="Cambria"/>
          <w:b/>
          <w:bCs/>
          <w:color w:val="C00000"/>
          <w:sz w:val="22"/>
          <w:szCs w:val="22"/>
          <w:vertAlign w:val="superscript"/>
        </w:rPr>
        <w:t>e</w:t>
      </w:r>
      <w:r w:rsidRPr="009A2468">
        <w:rPr>
          <w:rFonts w:ascii="Cambria" w:hAnsi="Cambria"/>
          <w:b/>
          <w:bCs/>
          <w:color w:val="C00000"/>
          <w:sz w:val="22"/>
          <w:szCs w:val="22"/>
        </w:rPr>
        <w:t> siècle. Aspects économiques, sociaux et culturels</w:t>
      </w:r>
      <w:bookmarkEnd w:id="22"/>
    </w:p>
    <w:p w14:paraId="0A4670FC" w14:textId="003AA00F" w:rsidR="0071245A" w:rsidRPr="00DF1F54" w:rsidRDefault="0071245A" w:rsidP="0093011A">
      <w:pPr>
        <w:pStyle w:val="PrformatHTML"/>
        <w:jc w:val="both"/>
        <w:rPr>
          <w:rFonts w:ascii="Cambria" w:hAnsi="Cambria"/>
          <w:b/>
          <w:bCs/>
          <w:sz w:val="22"/>
          <w:szCs w:val="22"/>
        </w:rPr>
      </w:pPr>
      <w:r w:rsidRPr="00DF1F54">
        <w:rPr>
          <w:rFonts w:ascii="Cambria" w:hAnsi="Cambria"/>
          <w:sz w:val="22"/>
          <w:szCs w:val="22"/>
        </w:rPr>
        <w:t>Le second semestre abordera les aspects économiques, sociaux et culturels de l’expansion latine en Orient. Les sociétés méditerranéennes organisent des réseaux d'échanges multiples, permettant aux marchands, aux pèlerins ou aux savants, mais aussi aux idées et aux savoirs de circuler à travers la Méditerranée, qui devient un espace central de connexion entre l’Afrique, l’Asie et l’Europe dans le cadre d’une économie-monde en formation. La présence latine en Syrie-Palestine, mais aussi dans les ports musulmans et byzantins, a encouragé les échanges commerciaux, malgré l’état de guerre. Elle a aussi permis aux Européens de mieux connaître l’Orient, proche mais aussi plus lointain vers l’Asie centrale et orientale, par les voyages marchands et les missions diplomatiques ou religieuses. Enfin la confrontation a aussi été religieuse, autour de la sacralité de Jérusalem et de la Terre Sainte mais aussi les missions de conversion, qui ont nécessité l’acquisition d’une meilleure connaissance des autres religions pour les besoins de la polémique théologique avec les Grecs et les musulmans.</w:t>
      </w:r>
    </w:p>
    <w:p w14:paraId="7B507B2F" w14:textId="77777777" w:rsidR="0093011A" w:rsidRPr="00DF1F54" w:rsidRDefault="0093011A" w:rsidP="0093011A">
      <w:pPr>
        <w:pStyle w:val="PrformatHTML"/>
        <w:jc w:val="both"/>
        <w:rPr>
          <w:rFonts w:ascii="Cambria" w:hAnsi="Cambria"/>
          <w:b/>
          <w:bCs/>
          <w:sz w:val="22"/>
          <w:szCs w:val="22"/>
        </w:rPr>
      </w:pPr>
    </w:p>
    <w:p w14:paraId="4B6928E5" w14:textId="77777777" w:rsidR="0071245A" w:rsidRPr="00DF1F54" w:rsidRDefault="0071245A" w:rsidP="0071245A">
      <w:pPr>
        <w:pStyle w:val="PrformatHTML"/>
        <w:spacing w:after="0" w:line="276" w:lineRule="auto"/>
        <w:contextualSpacing/>
        <w:jc w:val="both"/>
        <w:rPr>
          <w:rFonts w:ascii="Cambria" w:hAnsi="Cambria"/>
          <w:b/>
          <w:bCs/>
          <w:sz w:val="22"/>
          <w:szCs w:val="22"/>
        </w:rPr>
      </w:pPr>
      <w:r w:rsidRPr="00DF1F54">
        <w:rPr>
          <w:rFonts w:ascii="Cambria" w:hAnsi="Cambria"/>
          <w:b/>
          <w:bCs/>
          <w:sz w:val="22"/>
          <w:szCs w:val="22"/>
        </w:rPr>
        <w:t>Bibliographie indicative </w:t>
      </w:r>
    </w:p>
    <w:p w14:paraId="1C52BF9F" w14:textId="77777777" w:rsidR="0071245A" w:rsidRPr="00DF1F54" w:rsidRDefault="0071245A" w:rsidP="0071245A">
      <w:pPr>
        <w:pStyle w:val="PrformatHTML"/>
        <w:spacing w:after="0" w:line="276" w:lineRule="auto"/>
        <w:contextualSpacing/>
        <w:jc w:val="both"/>
        <w:rPr>
          <w:rFonts w:ascii="Cambria" w:hAnsi="Cambria"/>
          <w:b/>
          <w:sz w:val="22"/>
          <w:szCs w:val="22"/>
        </w:rPr>
      </w:pPr>
    </w:p>
    <w:p w14:paraId="2D8DF5DA"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eastAsia="Times New Roman" w:hAnsi="Cambria" w:cs="Times New Roman"/>
          <w:b w:val="0"/>
          <w:bCs/>
          <w:kern w:val="0"/>
          <w:sz w:val="22"/>
          <w:lang w:eastAsia="en-US"/>
        </w:rPr>
      </w:pPr>
      <w:r w:rsidRPr="00DF1F54">
        <w:rPr>
          <w:rFonts w:ascii="Cambria" w:eastAsia="Times New Roman" w:hAnsi="Cambria" w:cs="Times New Roman"/>
          <w:b w:val="0"/>
          <w:bCs/>
          <w:kern w:val="0"/>
          <w:sz w:val="22"/>
          <w:lang w:eastAsia="en-US"/>
        </w:rPr>
        <w:t xml:space="preserve">M. Balard, Ch. Picard, </w:t>
      </w:r>
      <w:r w:rsidRPr="00DF1F54">
        <w:rPr>
          <w:rFonts w:ascii="Cambria" w:eastAsia="Times New Roman" w:hAnsi="Cambria" w:cs="Times New Roman"/>
          <w:b w:val="0"/>
          <w:bCs/>
          <w:i/>
          <w:kern w:val="0"/>
          <w:sz w:val="22"/>
          <w:lang w:eastAsia="en-US"/>
        </w:rPr>
        <w:t>La Méditerranée au Moyen Âge. Les hommes et la mer</w:t>
      </w:r>
      <w:r w:rsidRPr="00DF1F54">
        <w:rPr>
          <w:rFonts w:ascii="Cambria" w:eastAsia="Times New Roman" w:hAnsi="Cambria" w:cs="Times New Roman"/>
          <w:b w:val="0"/>
          <w:bCs/>
          <w:kern w:val="0"/>
          <w:sz w:val="22"/>
          <w:lang w:eastAsia="en-US"/>
        </w:rPr>
        <w:t>, Paris, Hachette, 2014.</w:t>
      </w:r>
    </w:p>
    <w:p w14:paraId="3A1D83CA"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color w:val="000000" w:themeColor="text1"/>
          <w:sz w:val="22"/>
        </w:rPr>
      </w:pPr>
      <w:r w:rsidRPr="00DF1F54">
        <w:rPr>
          <w:rFonts w:ascii="Cambria" w:hAnsi="Cambria" w:cs="Times New Roman"/>
          <w:b w:val="0"/>
          <w:bCs/>
          <w:color w:val="000000" w:themeColor="text1"/>
          <w:sz w:val="22"/>
        </w:rPr>
        <w:t xml:space="preserve">D. Baloup, D. Bramoullé, B. Doumerc, B. Joudiou, </w:t>
      </w:r>
      <w:r w:rsidRPr="00DF1F54">
        <w:rPr>
          <w:rFonts w:ascii="Cambria" w:hAnsi="Cambria" w:cs="Times New Roman"/>
          <w:b w:val="0"/>
          <w:bCs/>
          <w:i/>
          <w:iCs/>
          <w:color w:val="000000" w:themeColor="text1"/>
          <w:sz w:val="22"/>
        </w:rPr>
        <w:t>Les mondes méditerranéens au Moyen Âge. VIIe-XVIe siècle</w:t>
      </w:r>
      <w:r w:rsidRPr="00DF1F54">
        <w:rPr>
          <w:rFonts w:ascii="Cambria" w:hAnsi="Cambria" w:cs="Times New Roman"/>
          <w:b w:val="0"/>
          <w:bCs/>
          <w:color w:val="000000" w:themeColor="text1"/>
          <w:sz w:val="22"/>
        </w:rPr>
        <w:t>, Paris, A. Colin, 2018.</w:t>
      </w:r>
    </w:p>
    <w:p w14:paraId="19559CD3"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i/>
          <w:iCs/>
          <w:color w:val="000000" w:themeColor="text1"/>
          <w:sz w:val="22"/>
        </w:rPr>
      </w:pPr>
      <w:r w:rsidRPr="00DF1F54">
        <w:rPr>
          <w:rFonts w:ascii="Cambria" w:hAnsi="Cambria" w:cs="Times New Roman"/>
          <w:b w:val="0"/>
          <w:bCs/>
          <w:color w:val="000000" w:themeColor="text1"/>
          <w:sz w:val="22"/>
        </w:rPr>
        <w:t xml:space="preserve">D. Coulon, Ch. Picard, D. Valérian (dir.), </w:t>
      </w:r>
      <w:r w:rsidRPr="00DF1F54">
        <w:rPr>
          <w:rFonts w:ascii="Cambria" w:hAnsi="Cambria" w:cs="Times New Roman"/>
          <w:b w:val="0"/>
          <w:bCs/>
          <w:i/>
          <w:sz w:val="22"/>
        </w:rPr>
        <w:t>Espaces et réseaux en Méditerranée. VI</w:t>
      </w:r>
      <w:r w:rsidRPr="00DF1F54">
        <w:rPr>
          <w:rFonts w:ascii="Cambria" w:hAnsi="Cambria" w:cs="Times New Roman"/>
          <w:b w:val="0"/>
          <w:bCs/>
          <w:i/>
          <w:sz w:val="22"/>
          <w:vertAlign w:val="superscript"/>
        </w:rPr>
        <w:t>e</w:t>
      </w:r>
      <w:r w:rsidRPr="00DF1F54">
        <w:rPr>
          <w:rFonts w:ascii="Cambria" w:hAnsi="Cambria" w:cs="Times New Roman"/>
          <w:b w:val="0"/>
          <w:bCs/>
          <w:i/>
          <w:sz w:val="22"/>
        </w:rPr>
        <w:t>-XVI</w:t>
      </w:r>
      <w:r w:rsidRPr="00DF1F54">
        <w:rPr>
          <w:rFonts w:ascii="Cambria" w:hAnsi="Cambria" w:cs="Times New Roman"/>
          <w:b w:val="0"/>
          <w:bCs/>
          <w:i/>
          <w:sz w:val="22"/>
          <w:vertAlign w:val="superscript"/>
        </w:rPr>
        <w:t>e</w:t>
      </w:r>
      <w:r w:rsidRPr="00DF1F54">
        <w:rPr>
          <w:rFonts w:ascii="Cambria" w:hAnsi="Cambria" w:cs="Times New Roman"/>
          <w:b w:val="0"/>
          <w:bCs/>
          <w:i/>
          <w:sz w:val="22"/>
        </w:rPr>
        <w:t xml:space="preserve"> siècle</w:t>
      </w:r>
      <w:r w:rsidRPr="00DF1F54">
        <w:rPr>
          <w:rFonts w:ascii="Cambria" w:hAnsi="Cambria" w:cs="Times New Roman"/>
          <w:b w:val="0"/>
          <w:bCs/>
          <w:sz w:val="22"/>
        </w:rPr>
        <w:t>, Paris, Bouchene, 2007 et 2010.</w:t>
      </w:r>
    </w:p>
    <w:p w14:paraId="046E0639"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color w:val="000000" w:themeColor="text1"/>
          <w:sz w:val="22"/>
        </w:rPr>
      </w:pPr>
      <w:r w:rsidRPr="00DF1F54">
        <w:rPr>
          <w:rFonts w:ascii="Cambria" w:hAnsi="Cambria" w:cs="Times New Roman"/>
          <w:b w:val="0"/>
          <w:bCs/>
          <w:color w:val="000000" w:themeColor="text1"/>
          <w:sz w:val="22"/>
        </w:rPr>
        <w:t xml:space="preserve">Th. Tanase, </w:t>
      </w:r>
      <w:r w:rsidRPr="00DF1F54">
        <w:rPr>
          <w:rFonts w:ascii="Cambria" w:hAnsi="Cambria" w:cs="Times New Roman"/>
          <w:b w:val="0"/>
          <w:bCs/>
          <w:i/>
          <w:iCs/>
          <w:sz w:val="22"/>
        </w:rPr>
        <w:t>"Jusqu'aux limites du monde" : la papauté et la mission franciscaine de l'Asie de Marco Polo à l'Amérique de Christophe Colomb</w:t>
      </w:r>
      <w:r w:rsidRPr="00DF1F54">
        <w:rPr>
          <w:rFonts w:ascii="Cambria" w:hAnsi="Cambria" w:cs="Times New Roman"/>
          <w:b w:val="0"/>
          <w:bCs/>
          <w:sz w:val="22"/>
        </w:rPr>
        <w:t>, Rome, École française de Rome, 2013.</w:t>
      </w:r>
    </w:p>
    <w:p w14:paraId="0BF17BB2" w14:textId="77777777" w:rsidR="0071245A" w:rsidRPr="00DF1F54" w:rsidRDefault="0071245A" w:rsidP="0071245A">
      <w:pPr>
        <w:pStyle w:val="PrformatHTML"/>
        <w:rPr>
          <w:rFonts w:ascii="Cambria" w:hAnsi="Cambria"/>
          <w:sz w:val="22"/>
          <w:szCs w:val="22"/>
        </w:rPr>
      </w:pPr>
    </w:p>
    <w:p w14:paraId="211C55F1" w14:textId="77777777" w:rsidR="000741F4" w:rsidRPr="00DF1F54" w:rsidRDefault="000741F4" w:rsidP="000741F4">
      <w:pPr>
        <w:pStyle w:val="PrformatHTML"/>
        <w:jc w:val="both"/>
        <w:rPr>
          <w:rFonts w:ascii="Cambria" w:hAnsi="Cambria"/>
          <w:sz w:val="22"/>
          <w:szCs w:val="22"/>
        </w:rPr>
      </w:pPr>
    </w:p>
    <w:p w14:paraId="5719D2B2" w14:textId="77777777" w:rsidR="0020431F" w:rsidRPr="00DF1F54" w:rsidRDefault="0020431F" w:rsidP="0020431F">
      <w:pPr>
        <w:rPr>
          <w:rFonts w:ascii="Cambria" w:hAnsi="Cambria" w:cs="Times New Roman"/>
          <w:b w:val="0"/>
          <w:sz w:val="22"/>
        </w:rPr>
      </w:pPr>
    </w:p>
    <w:p w14:paraId="14B4CFD5" w14:textId="77777777" w:rsidR="0020431F" w:rsidRPr="00DF1F54" w:rsidRDefault="0020431F" w:rsidP="0020431F">
      <w:pPr>
        <w:rPr>
          <w:rFonts w:ascii="Cambria" w:hAnsi="Cambria" w:cs="Times New Roman"/>
          <w:b w:val="0"/>
          <w:sz w:val="22"/>
        </w:rPr>
      </w:pPr>
    </w:p>
    <w:p w14:paraId="7795D7B2" w14:textId="77777777" w:rsidR="0020431F" w:rsidRPr="00DF1F54" w:rsidRDefault="0020431F" w:rsidP="0020431F">
      <w:pPr>
        <w:rPr>
          <w:rFonts w:ascii="Cambria" w:hAnsi="Cambria" w:cs="Times New Roman"/>
          <w:b w:val="0"/>
          <w:sz w:val="22"/>
        </w:rPr>
      </w:pPr>
    </w:p>
    <w:p w14:paraId="4A80C625" w14:textId="77777777" w:rsidR="0020431F" w:rsidRPr="00DF1F54" w:rsidRDefault="0020431F" w:rsidP="0020431F">
      <w:pPr>
        <w:rPr>
          <w:rFonts w:ascii="Cambria" w:hAnsi="Cambria" w:cs="Times New Roman"/>
          <w:b w:val="0"/>
          <w:sz w:val="22"/>
        </w:rPr>
      </w:pPr>
    </w:p>
    <w:p w14:paraId="493E444B" w14:textId="77777777" w:rsidR="0020431F" w:rsidRPr="00DF1F54" w:rsidRDefault="0020431F" w:rsidP="0020431F">
      <w:pPr>
        <w:rPr>
          <w:rFonts w:ascii="Cambria" w:hAnsi="Cambria" w:cs="Times New Roman"/>
          <w:b w:val="0"/>
          <w:sz w:val="22"/>
        </w:rPr>
      </w:pPr>
    </w:p>
    <w:p w14:paraId="74CEDCB1" w14:textId="77777777" w:rsidR="0020431F" w:rsidRPr="00DF1F54" w:rsidRDefault="0020431F" w:rsidP="0020431F">
      <w:pPr>
        <w:rPr>
          <w:rFonts w:ascii="Cambria" w:hAnsi="Cambria" w:cs="Times New Roman"/>
          <w:b w:val="0"/>
          <w:sz w:val="22"/>
        </w:rPr>
      </w:pPr>
    </w:p>
    <w:p w14:paraId="3EF55E46" w14:textId="77777777" w:rsidR="0020431F" w:rsidRPr="00DF1F54" w:rsidRDefault="0020431F" w:rsidP="0020431F">
      <w:pPr>
        <w:rPr>
          <w:rFonts w:ascii="Cambria" w:hAnsi="Cambria" w:cs="Times New Roman"/>
          <w:b w:val="0"/>
          <w:sz w:val="22"/>
        </w:rPr>
      </w:pPr>
    </w:p>
    <w:p w14:paraId="662E7387" w14:textId="77777777" w:rsidR="0020431F" w:rsidRPr="00DF1F54" w:rsidRDefault="0020431F" w:rsidP="0020431F">
      <w:pPr>
        <w:rPr>
          <w:rFonts w:ascii="Cambria" w:hAnsi="Cambria" w:cs="Times New Roman"/>
          <w:b w:val="0"/>
          <w:sz w:val="22"/>
        </w:rPr>
      </w:pPr>
    </w:p>
    <w:p w14:paraId="1F12E28E" w14:textId="77777777" w:rsidR="0020431F" w:rsidRPr="00DF1F54" w:rsidRDefault="0020431F" w:rsidP="0020431F">
      <w:pPr>
        <w:rPr>
          <w:rFonts w:ascii="Cambria" w:hAnsi="Cambria" w:cs="Times New Roman"/>
          <w:b w:val="0"/>
          <w:sz w:val="22"/>
        </w:rPr>
      </w:pPr>
    </w:p>
    <w:p w14:paraId="328A1344" w14:textId="77777777" w:rsidR="0020431F" w:rsidRPr="00DF1F54" w:rsidRDefault="0020431F" w:rsidP="0020431F">
      <w:pPr>
        <w:rPr>
          <w:rFonts w:ascii="Cambria" w:hAnsi="Cambria" w:cs="Times New Roman"/>
          <w:b w:val="0"/>
          <w:sz w:val="22"/>
        </w:rPr>
      </w:pPr>
    </w:p>
    <w:p w14:paraId="7611DB96" w14:textId="77777777" w:rsidR="0020431F" w:rsidRPr="00DF1F54" w:rsidRDefault="0020431F" w:rsidP="0020431F">
      <w:pPr>
        <w:rPr>
          <w:rFonts w:ascii="Cambria" w:hAnsi="Cambria" w:cs="Times New Roman"/>
          <w:b w:val="0"/>
          <w:sz w:val="22"/>
        </w:rPr>
      </w:pPr>
    </w:p>
    <w:p w14:paraId="2621F910" w14:textId="77777777" w:rsidR="0020431F" w:rsidRPr="00DF1F54" w:rsidRDefault="0020431F" w:rsidP="0020431F">
      <w:pPr>
        <w:rPr>
          <w:rFonts w:ascii="Cambria" w:hAnsi="Cambria" w:cs="Times New Roman"/>
          <w:b w:val="0"/>
          <w:sz w:val="22"/>
        </w:rPr>
      </w:pPr>
    </w:p>
    <w:p w14:paraId="005CA020" w14:textId="77777777" w:rsidR="0020431F" w:rsidRPr="00DF1F54" w:rsidRDefault="0020431F" w:rsidP="0020431F">
      <w:pPr>
        <w:rPr>
          <w:rFonts w:ascii="Cambria" w:hAnsi="Cambria" w:cs="Times New Roman"/>
          <w:b w:val="0"/>
          <w:sz w:val="22"/>
        </w:rPr>
      </w:pPr>
    </w:p>
    <w:p w14:paraId="7C779FC6" w14:textId="77777777" w:rsidR="0020431F" w:rsidRPr="00DF1F54" w:rsidRDefault="0020431F" w:rsidP="0020431F">
      <w:pPr>
        <w:rPr>
          <w:rFonts w:ascii="Cambria" w:hAnsi="Cambria" w:cs="Times New Roman"/>
          <w:b w:val="0"/>
          <w:sz w:val="22"/>
        </w:rPr>
      </w:pPr>
    </w:p>
    <w:p w14:paraId="143958F5" w14:textId="77777777" w:rsidR="0020431F" w:rsidRPr="00DF1F54" w:rsidRDefault="0020431F" w:rsidP="0020431F">
      <w:pPr>
        <w:rPr>
          <w:rFonts w:ascii="Cambria" w:hAnsi="Cambria" w:cs="Times New Roman"/>
          <w:b w:val="0"/>
          <w:sz w:val="22"/>
        </w:rPr>
      </w:pPr>
    </w:p>
    <w:p w14:paraId="771671C3" w14:textId="77777777" w:rsidR="0020431F" w:rsidRPr="00DF1F54" w:rsidRDefault="0020431F" w:rsidP="0020431F">
      <w:pPr>
        <w:rPr>
          <w:rFonts w:ascii="Cambria" w:hAnsi="Cambria" w:cs="Times New Roman"/>
          <w:b w:val="0"/>
          <w:sz w:val="22"/>
        </w:rPr>
      </w:pPr>
    </w:p>
    <w:p w14:paraId="33173FF9" w14:textId="77777777" w:rsidR="0020431F" w:rsidRPr="00DF1F54" w:rsidRDefault="0020431F" w:rsidP="0020431F">
      <w:pPr>
        <w:rPr>
          <w:rFonts w:ascii="Cambria" w:hAnsi="Cambria" w:cs="Times New Roman"/>
          <w:b w:val="0"/>
          <w:sz w:val="22"/>
        </w:rPr>
      </w:pPr>
    </w:p>
    <w:p w14:paraId="1DFE104C" w14:textId="77777777" w:rsidR="0020431F" w:rsidRPr="00DF1F54" w:rsidRDefault="0020431F" w:rsidP="0020431F">
      <w:pPr>
        <w:rPr>
          <w:rFonts w:ascii="Cambria" w:hAnsi="Cambria" w:cs="Times New Roman"/>
          <w:b w:val="0"/>
          <w:sz w:val="22"/>
        </w:rPr>
      </w:pPr>
    </w:p>
    <w:p w14:paraId="36C3E91C" w14:textId="77777777" w:rsidR="0020431F" w:rsidRPr="00DF1F54" w:rsidRDefault="0020431F" w:rsidP="0020431F">
      <w:pPr>
        <w:rPr>
          <w:rFonts w:ascii="Cambria" w:hAnsi="Cambria"/>
        </w:rPr>
      </w:pPr>
    </w:p>
    <w:p w14:paraId="14D2A52D" w14:textId="77777777" w:rsidR="0020431F" w:rsidRPr="00DF1F54" w:rsidRDefault="0020431F" w:rsidP="0020431F">
      <w:pPr>
        <w:rPr>
          <w:rFonts w:ascii="Cambria" w:hAnsi="Cambria"/>
        </w:rPr>
      </w:pPr>
    </w:p>
    <w:p w14:paraId="70176631" w14:textId="77777777" w:rsidR="0020431F" w:rsidRPr="00DF1F54" w:rsidRDefault="0020431F" w:rsidP="0020431F">
      <w:pPr>
        <w:rPr>
          <w:rFonts w:ascii="Cambria" w:hAnsi="Cambria"/>
        </w:rPr>
      </w:pPr>
    </w:p>
    <w:p w14:paraId="4CB86481" w14:textId="77777777" w:rsidR="0020431F" w:rsidRPr="00DF1F54" w:rsidRDefault="0020431F" w:rsidP="0020431F">
      <w:pPr>
        <w:rPr>
          <w:rFonts w:ascii="Cambria" w:hAnsi="Cambria"/>
        </w:rPr>
      </w:pPr>
    </w:p>
    <w:p w14:paraId="58F488B2" w14:textId="77777777" w:rsidR="0020431F" w:rsidRPr="00DF1F54" w:rsidRDefault="0020431F" w:rsidP="0020431F">
      <w:pPr>
        <w:rPr>
          <w:rFonts w:ascii="Cambria" w:hAnsi="Cambria"/>
        </w:rPr>
      </w:pPr>
    </w:p>
    <w:p w14:paraId="382CFAB8" w14:textId="77777777" w:rsidR="0020431F" w:rsidRPr="00DF1F54" w:rsidRDefault="0020431F" w:rsidP="0020431F">
      <w:pPr>
        <w:rPr>
          <w:rFonts w:ascii="Cambria" w:hAnsi="Cambria"/>
        </w:rPr>
      </w:pPr>
    </w:p>
    <w:p w14:paraId="309B2775" w14:textId="77777777" w:rsidR="0020431F" w:rsidRPr="00DF1F54" w:rsidRDefault="0020431F" w:rsidP="0020431F">
      <w:pPr>
        <w:rPr>
          <w:rFonts w:ascii="Cambria" w:hAnsi="Cambria"/>
        </w:rPr>
      </w:pPr>
    </w:p>
    <w:p w14:paraId="4B457956" w14:textId="77777777" w:rsidR="0020431F" w:rsidRPr="00DF1F54" w:rsidRDefault="0020431F" w:rsidP="0020431F">
      <w:pPr>
        <w:rPr>
          <w:rFonts w:ascii="Cambria" w:hAnsi="Cambria"/>
        </w:rPr>
      </w:pPr>
    </w:p>
    <w:p w14:paraId="434CBD2C" w14:textId="77777777" w:rsidR="0020431F" w:rsidRPr="00DF1F54" w:rsidRDefault="0020431F" w:rsidP="0020431F">
      <w:pPr>
        <w:rPr>
          <w:rFonts w:ascii="Cambria" w:hAnsi="Cambria"/>
        </w:rPr>
      </w:pPr>
    </w:p>
    <w:p w14:paraId="72020E28" w14:textId="77777777" w:rsidR="0020431F" w:rsidRPr="00DF1F54" w:rsidRDefault="0020431F" w:rsidP="0020431F">
      <w:pPr>
        <w:rPr>
          <w:rFonts w:ascii="Cambria" w:hAnsi="Cambria"/>
        </w:rPr>
      </w:pPr>
    </w:p>
    <w:p w14:paraId="53E6182E" w14:textId="77777777" w:rsidR="0020431F" w:rsidRPr="00DF1F54" w:rsidRDefault="0020431F" w:rsidP="0020431F">
      <w:pPr>
        <w:rPr>
          <w:rFonts w:ascii="Cambria" w:hAnsi="Cambria"/>
        </w:rPr>
      </w:pPr>
    </w:p>
    <w:p w14:paraId="3D3A7C18" w14:textId="77777777" w:rsidR="0020431F" w:rsidRPr="00DF1F54" w:rsidRDefault="0020431F" w:rsidP="0020431F">
      <w:pPr>
        <w:rPr>
          <w:rFonts w:ascii="Cambria" w:hAnsi="Cambria"/>
        </w:rPr>
      </w:pPr>
    </w:p>
    <w:p w14:paraId="07B78754" w14:textId="77777777" w:rsidR="000741F4" w:rsidRPr="00DF1F54" w:rsidRDefault="000741F4" w:rsidP="0020431F">
      <w:pPr>
        <w:rPr>
          <w:rFonts w:ascii="Cambria" w:hAnsi="Cambria"/>
        </w:rPr>
      </w:pPr>
    </w:p>
    <w:p w14:paraId="26CF567E" w14:textId="77777777" w:rsidR="000741F4" w:rsidRDefault="000741F4" w:rsidP="0020431F">
      <w:pPr>
        <w:rPr>
          <w:rFonts w:ascii="Cambria" w:hAnsi="Cambria"/>
        </w:rPr>
      </w:pPr>
    </w:p>
    <w:p w14:paraId="1578B186" w14:textId="77777777" w:rsidR="009A2468" w:rsidRPr="00DF1F54" w:rsidRDefault="009A2468" w:rsidP="0020431F">
      <w:pPr>
        <w:rPr>
          <w:rFonts w:ascii="Cambria" w:hAnsi="Cambria"/>
        </w:rPr>
      </w:pPr>
    </w:p>
    <w:p w14:paraId="52371745" w14:textId="77777777" w:rsidR="002455A3" w:rsidRPr="00DF1F54" w:rsidRDefault="002455A3" w:rsidP="00CB7B73">
      <w:pPr>
        <w:spacing w:after="0" w:line="276" w:lineRule="auto"/>
        <w:contextualSpacing/>
        <w:rPr>
          <w:rFonts w:ascii="Cambria" w:eastAsia="Times New Roman" w:hAnsi="Cambria" w:cs="Times New Roman"/>
          <w:i/>
          <w:color w:val="C00000"/>
          <w:kern w:val="0"/>
          <w:sz w:val="28"/>
          <w:szCs w:val="24"/>
          <w:lang w:eastAsia="en-US"/>
        </w:rPr>
      </w:pPr>
    </w:p>
    <w:p w14:paraId="1C020858" w14:textId="16B2536C" w:rsidR="00F31619" w:rsidRPr="00DF1F54" w:rsidRDefault="00F31619" w:rsidP="00F31619">
      <w:pPr>
        <w:spacing w:after="0" w:line="276" w:lineRule="auto"/>
        <w:contextualSpacing/>
        <w:jc w:val="center"/>
        <w:rPr>
          <w:rFonts w:ascii="Cambria" w:eastAsia="Times New Roman" w:hAnsi="Cambria" w:cs="Times New Roman"/>
          <w:i/>
          <w:color w:val="C00000"/>
          <w:kern w:val="0"/>
          <w:sz w:val="28"/>
          <w:szCs w:val="28"/>
          <w:lang w:eastAsia="en-US"/>
        </w:rPr>
      </w:pPr>
      <w:r w:rsidRPr="00DF1F54">
        <w:rPr>
          <w:rFonts w:ascii="Cambria" w:eastAsia="Times New Roman" w:hAnsi="Cambria" w:cs="Times New Roman"/>
          <w:i/>
          <w:color w:val="C00000"/>
          <w:kern w:val="0"/>
          <w:sz w:val="28"/>
          <w:szCs w:val="28"/>
          <w:lang w:eastAsia="en-US"/>
        </w:rPr>
        <w:t>J3020119/J3020219</w:t>
      </w:r>
      <w:r w:rsidR="001C4648" w:rsidRPr="00DF1F54">
        <w:rPr>
          <w:rFonts w:ascii="Cambria" w:eastAsia="Times New Roman" w:hAnsi="Cambria" w:cs="Times New Roman"/>
          <w:i/>
          <w:color w:val="C00000"/>
          <w:kern w:val="0"/>
          <w:sz w:val="28"/>
          <w:szCs w:val="28"/>
          <w:lang w:eastAsia="en-US"/>
        </w:rPr>
        <w:t xml:space="preserve"> : Sociétés en </w:t>
      </w:r>
      <w:r w:rsidRPr="00DF1F54">
        <w:rPr>
          <w:rFonts w:ascii="Cambria" w:eastAsia="Times New Roman" w:hAnsi="Cambria" w:cs="Times New Roman"/>
          <w:i/>
          <w:color w:val="C00000"/>
          <w:kern w:val="0"/>
          <w:sz w:val="28"/>
          <w:szCs w:val="28"/>
          <w:lang w:eastAsia="en-US"/>
        </w:rPr>
        <w:t>contacts à l'époque médiévale (cultures et pouvoirs)</w:t>
      </w:r>
    </w:p>
    <w:p w14:paraId="11A4C76A" w14:textId="7D764175" w:rsidR="00CD26B7" w:rsidRPr="00DF1F54" w:rsidRDefault="00CD26B7" w:rsidP="00CD26B7">
      <w:pPr>
        <w:rPr>
          <w:rFonts w:ascii="Cambria" w:hAnsi="Cambria" w:cs="Times New Roman"/>
          <w:color w:val="7030A0"/>
          <w:sz w:val="22"/>
        </w:rPr>
      </w:pPr>
    </w:p>
    <w:p w14:paraId="305E9E63" w14:textId="77777777" w:rsidR="009630C5" w:rsidRPr="00DF1F54" w:rsidRDefault="009630C5" w:rsidP="00CD26B7">
      <w:pPr>
        <w:spacing w:after="0" w:line="276" w:lineRule="auto"/>
        <w:contextualSpacing/>
        <w:rPr>
          <w:rFonts w:ascii="Cambria" w:hAnsi="Cambria"/>
          <w:sz w:val="22"/>
          <w:lang w:eastAsia="fr-FR"/>
        </w:rPr>
      </w:pPr>
    </w:p>
    <w:p w14:paraId="454404D7" w14:textId="77777777" w:rsidR="00975C8A" w:rsidRDefault="00E860D9" w:rsidP="009A2468">
      <w:pPr>
        <w:pStyle w:val="PrformatHTML"/>
        <w:jc w:val="center"/>
        <w:rPr>
          <w:rFonts w:ascii="Cambria" w:hAnsi="Cambria"/>
          <w:b/>
          <w:bCs/>
          <w:sz w:val="22"/>
          <w:szCs w:val="22"/>
        </w:rPr>
      </w:pPr>
      <w:r w:rsidRPr="00DF1F54">
        <w:rPr>
          <w:rFonts w:ascii="Cambria" w:hAnsi="Cambria"/>
          <w:b/>
          <w:bCs/>
          <w:sz w:val="22"/>
          <w:szCs w:val="22"/>
        </w:rPr>
        <w:t>Anne-Laure Alard-</w:t>
      </w:r>
      <w:r w:rsidR="00AC5B2E" w:rsidRPr="00DF1F54">
        <w:rPr>
          <w:rFonts w:ascii="Cambria" w:hAnsi="Cambria"/>
          <w:b/>
          <w:bCs/>
          <w:sz w:val="22"/>
          <w:szCs w:val="22"/>
        </w:rPr>
        <w:t>Bonhoure (</w:t>
      </w:r>
      <w:r w:rsidRPr="00DF1F54">
        <w:rPr>
          <w:rFonts w:ascii="Cambria" w:hAnsi="Cambria"/>
          <w:b/>
          <w:bCs/>
          <w:sz w:val="22"/>
          <w:szCs w:val="22"/>
        </w:rPr>
        <w:t>CM et TD</w:t>
      </w:r>
      <w:r w:rsidR="00AC5B2E" w:rsidRPr="00DF1F54">
        <w:rPr>
          <w:rFonts w:ascii="Cambria" w:hAnsi="Cambria"/>
          <w:b/>
          <w:bCs/>
          <w:sz w:val="22"/>
          <w:szCs w:val="22"/>
        </w:rPr>
        <w:t xml:space="preserve"> S1</w:t>
      </w:r>
      <w:r w:rsidR="009A2468" w:rsidRPr="00DF1F54">
        <w:rPr>
          <w:rFonts w:ascii="Cambria" w:hAnsi="Cambria"/>
          <w:b/>
          <w:bCs/>
          <w:sz w:val="22"/>
          <w:szCs w:val="22"/>
        </w:rPr>
        <w:t>)</w:t>
      </w:r>
      <w:r w:rsidR="009A2468">
        <w:rPr>
          <w:rFonts w:ascii="Cambria" w:hAnsi="Cambria"/>
          <w:b/>
          <w:bCs/>
          <w:sz w:val="22"/>
          <w:szCs w:val="22"/>
        </w:rPr>
        <w:t>,</w:t>
      </w:r>
    </w:p>
    <w:p w14:paraId="5FED9467" w14:textId="70D56301" w:rsidR="009630C5" w:rsidRPr="009A2468" w:rsidRDefault="009A2468" w:rsidP="009A2468">
      <w:pPr>
        <w:pStyle w:val="PrformatHTML"/>
        <w:jc w:val="center"/>
        <w:rPr>
          <w:rFonts w:ascii="Cambria" w:hAnsi="Cambria"/>
          <w:b/>
          <w:bCs/>
          <w:sz w:val="22"/>
          <w:szCs w:val="22"/>
        </w:rPr>
      </w:pPr>
      <w:r>
        <w:rPr>
          <w:rFonts w:ascii="Cambria" w:hAnsi="Cambria"/>
          <w:b/>
          <w:bCs/>
          <w:sz w:val="22"/>
          <w:szCs w:val="22"/>
        </w:rPr>
        <w:t xml:space="preserve"> </w:t>
      </w:r>
      <w:r w:rsidRPr="00DF1F54">
        <w:rPr>
          <w:rFonts w:ascii="Cambria" w:hAnsi="Cambria"/>
          <w:b/>
          <w:bCs/>
          <w:sz w:val="22"/>
          <w:szCs w:val="22"/>
        </w:rPr>
        <w:t>Stéphane</w:t>
      </w:r>
      <w:r w:rsidR="009630C5" w:rsidRPr="00DF1F54">
        <w:rPr>
          <w:rFonts w:ascii="Cambria" w:eastAsia="Cambria" w:hAnsi="Cambria" w:cstheme="majorBidi"/>
          <w:b/>
          <w:bCs/>
          <w:color w:val="000000"/>
          <w:sz w:val="22"/>
          <w:szCs w:val="22"/>
          <w:lang w:eastAsia="fr-FR"/>
        </w:rPr>
        <w:t xml:space="preserve"> </w:t>
      </w:r>
      <w:r w:rsidR="00AC5B2E" w:rsidRPr="00DF1F54">
        <w:rPr>
          <w:rFonts w:ascii="Cambria" w:eastAsia="Cambria" w:hAnsi="Cambria" w:cstheme="majorBidi"/>
          <w:b/>
          <w:bCs/>
          <w:color w:val="000000"/>
          <w:sz w:val="22"/>
          <w:szCs w:val="22"/>
          <w:lang w:eastAsia="fr-FR"/>
        </w:rPr>
        <w:t>Lamassé (</w:t>
      </w:r>
      <w:r w:rsidR="009630C5" w:rsidRPr="00DF1F54">
        <w:rPr>
          <w:rFonts w:ascii="Cambria" w:eastAsia="Cambria" w:hAnsi="Cambria" w:cstheme="majorBidi"/>
          <w:b/>
          <w:bCs/>
          <w:color w:val="000000"/>
          <w:sz w:val="22"/>
          <w:szCs w:val="22"/>
          <w:lang w:eastAsia="fr-FR"/>
        </w:rPr>
        <w:t>CM et TD</w:t>
      </w:r>
      <w:r w:rsidR="00AC5B2E" w:rsidRPr="00DF1F54">
        <w:rPr>
          <w:rFonts w:ascii="Cambria" w:eastAsia="Cambria" w:hAnsi="Cambria" w:cstheme="majorBidi"/>
          <w:b/>
          <w:bCs/>
          <w:color w:val="000000"/>
          <w:sz w:val="22"/>
          <w:szCs w:val="22"/>
          <w:lang w:eastAsia="fr-FR"/>
        </w:rPr>
        <w:t xml:space="preserve"> S2</w:t>
      </w:r>
      <w:r w:rsidR="008504DF" w:rsidRPr="00DF1F54">
        <w:rPr>
          <w:rFonts w:ascii="Cambria" w:eastAsia="Cambria" w:hAnsi="Cambria" w:cstheme="majorBidi"/>
          <w:b/>
          <w:bCs/>
          <w:color w:val="000000"/>
          <w:sz w:val="22"/>
          <w:szCs w:val="22"/>
          <w:lang w:eastAsia="fr-FR"/>
        </w:rPr>
        <w:t>)</w:t>
      </w:r>
    </w:p>
    <w:p w14:paraId="38631AE5" w14:textId="77777777" w:rsidR="009630C5" w:rsidRPr="00DF1F54" w:rsidRDefault="009630C5" w:rsidP="009630C5">
      <w:pPr>
        <w:pStyle w:val="PrformatHTML"/>
        <w:rPr>
          <w:rFonts w:ascii="Cambria" w:hAnsi="Cambria" w:cstheme="majorBidi"/>
          <w:sz w:val="22"/>
          <w:szCs w:val="22"/>
        </w:rPr>
      </w:pPr>
    </w:p>
    <w:p w14:paraId="5663A234" w14:textId="76882314" w:rsidR="00CD26B7" w:rsidRPr="009A2468" w:rsidRDefault="009630C5" w:rsidP="00345DC8">
      <w:pPr>
        <w:pStyle w:val="PrformatHTML"/>
        <w:rPr>
          <w:rFonts w:ascii="Cambria" w:hAnsi="Cambria"/>
          <w:b/>
          <w:bCs/>
          <w:color w:val="C00000"/>
          <w:sz w:val="22"/>
          <w:szCs w:val="22"/>
        </w:rPr>
      </w:pPr>
      <w:r w:rsidRPr="009A2468">
        <w:rPr>
          <w:rFonts w:ascii="Cambria" w:hAnsi="Cambria"/>
          <w:b/>
          <w:bCs/>
          <w:color w:val="C00000"/>
          <w:sz w:val="22"/>
          <w:szCs w:val="22"/>
          <w:u w:val="single"/>
        </w:rPr>
        <w:t xml:space="preserve">Sujet du </w:t>
      </w:r>
      <w:r w:rsidR="00345DC8" w:rsidRPr="009A2468">
        <w:rPr>
          <w:rFonts w:ascii="Cambria" w:hAnsi="Cambria"/>
          <w:b/>
          <w:bCs/>
          <w:color w:val="C00000"/>
          <w:sz w:val="22"/>
          <w:szCs w:val="22"/>
          <w:u w:val="single"/>
        </w:rPr>
        <w:t xml:space="preserve">cours </w:t>
      </w:r>
      <w:r w:rsidR="007906DE" w:rsidRPr="009A2468">
        <w:rPr>
          <w:rFonts w:ascii="Cambria" w:hAnsi="Cambria"/>
          <w:b/>
          <w:bCs/>
          <w:color w:val="C00000"/>
          <w:sz w:val="22"/>
          <w:szCs w:val="22"/>
          <w:u w:val="single"/>
        </w:rPr>
        <w:t xml:space="preserve">semestre </w:t>
      </w:r>
      <w:r w:rsidR="00345DC8" w:rsidRPr="009A2468">
        <w:rPr>
          <w:rFonts w:ascii="Cambria" w:hAnsi="Cambria"/>
          <w:b/>
          <w:bCs/>
          <w:color w:val="C00000"/>
          <w:sz w:val="22"/>
          <w:szCs w:val="22"/>
          <w:u w:val="single"/>
        </w:rPr>
        <w:t>1 :</w:t>
      </w:r>
      <w:r w:rsidRPr="009A2468">
        <w:rPr>
          <w:rFonts w:ascii="Cambria" w:hAnsi="Cambria"/>
          <w:b/>
          <w:bCs/>
          <w:color w:val="C00000"/>
          <w:sz w:val="22"/>
          <w:szCs w:val="22"/>
          <w:u w:val="single"/>
        </w:rPr>
        <w:t xml:space="preserve"> </w:t>
      </w:r>
      <w:r w:rsidR="00E860D9" w:rsidRPr="009A2468">
        <w:rPr>
          <w:rFonts w:ascii="Cambria" w:hAnsi="Cambria"/>
          <w:b/>
          <w:bCs/>
          <w:color w:val="C00000"/>
          <w:sz w:val="22"/>
          <w:szCs w:val="22"/>
        </w:rPr>
        <w:t xml:space="preserve"> Economie</w:t>
      </w:r>
      <w:r w:rsidR="00345DC8" w:rsidRPr="009A2468">
        <w:rPr>
          <w:rFonts w:ascii="Cambria" w:hAnsi="Cambria"/>
          <w:b/>
          <w:bCs/>
          <w:color w:val="C00000"/>
          <w:sz w:val="22"/>
          <w:szCs w:val="22"/>
        </w:rPr>
        <w:t>,</w:t>
      </w:r>
      <w:r w:rsidRPr="009A2468">
        <w:rPr>
          <w:rFonts w:ascii="Cambria" w:hAnsi="Cambria"/>
          <w:b/>
          <w:bCs/>
          <w:color w:val="C00000"/>
          <w:sz w:val="22"/>
          <w:szCs w:val="22"/>
        </w:rPr>
        <w:t xml:space="preserve"> </w:t>
      </w:r>
      <w:r w:rsidR="00345DC8" w:rsidRPr="009A2468">
        <w:rPr>
          <w:rFonts w:ascii="Cambria" w:hAnsi="Cambria"/>
          <w:b/>
          <w:bCs/>
          <w:color w:val="C00000"/>
          <w:sz w:val="22"/>
          <w:szCs w:val="22"/>
        </w:rPr>
        <w:t>nature et environnement au Moyen Âge (XIIe-XVe siècles)</w:t>
      </w:r>
    </w:p>
    <w:p w14:paraId="1E12DA17" w14:textId="77777777" w:rsidR="00784198" w:rsidRPr="00DF1F54" w:rsidRDefault="00784198" w:rsidP="00784198">
      <w:pPr>
        <w:spacing w:beforeAutospacing="1" w:afterAutospacing="1" w:line="240" w:lineRule="auto"/>
        <w:jc w:val="both"/>
        <w:rPr>
          <w:rFonts w:ascii="Cambria" w:eastAsia="Times New Roman" w:hAnsi="Cambria" w:cs="Times New Roman"/>
          <w:b w:val="0"/>
          <w:kern w:val="0"/>
          <w:sz w:val="22"/>
          <w:lang w:eastAsia="fr-FR"/>
        </w:rPr>
      </w:pPr>
      <w:r w:rsidRPr="00DF1F54">
        <w:rPr>
          <w:rFonts w:ascii="Cambria" w:eastAsia="Times New Roman" w:hAnsi="Cambria" w:cs="Times New Roman"/>
          <w:b w:val="0"/>
          <w:kern w:val="0"/>
          <w:sz w:val="22"/>
          <w:lang w:eastAsia="fr-FR"/>
        </w:rPr>
        <w:t>À la lumière des acquis historiographiques récents, cet enseignement propose d’examiner conjointement les dynamiques économiques et les relations entre les sociétés humaines et leur environnement durant la période médiévale. Des rivages de la mer du Nord aux rives de la Méditerranée, les sociétés médiévales entretiennent en effet des rapports complexes avec leur milieu naturel, qu’elles transforment profondément tout en en dépendant étroitement pour leur subsistance et leur développement. Adopter une lecture à la fois environnementale et économique permet d’interroger les modalités du développement médiéval à travers le prisme des interactions entre sociétés et milieux. Seront notamment abordés : la place de la nature dans l’idéal et les pratiques monastiques, en particulier cisterciennes ; l’imaginaire et les usages de la forêt, espace aux fonctions multiples pour les seigneurs et les paysans ; ou encore le mouvement de défrichement, qui redessine durablement les paysages et accompagne la croissance agricole. Cette approche offre également l’opportunité de réfléchir aux apports de la notion d’anthropocène dans le cadre médiéval, en questionnant les capacités de résilience des sociétés médiévales face aux aléas climatiques et aux déséquilibres environnementaux. Le retournement de la conjoncture et le ralentissement économique des XIVe et XVe siècles seront ainsi appréhendés à l’aune du rapport entre les sociétés et l’environnement.</w:t>
      </w:r>
    </w:p>
    <w:p w14:paraId="76BFE490" w14:textId="77777777" w:rsidR="00345DC8" w:rsidRPr="00DF1F54" w:rsidRDefault="00345DC8" w:rsidP="00345DC8">
      <w:pPr>
        <w:spacing w:before="100" w:beforeAutospacing="1" w:after="100" w:afterAutospacing="1" w:line="240" w:lineRule="auto"/>
        <w:rPr>
          <w:rFonts w:ascii="Cambria" w:eastAsia="Times New Roman" w:hAnsi="Cambria" w:cs="Times New Roman"/>
          <w:b w:val="0"/>
          <w:kern w:val="0"/>
          <w:sz w:val="22"/>
          <w:lang w:eastAsia="fr-FR"/>
        </w:rPr>
      </w:pPr>
    </w:p>
    <w:p w14:paraId="091BA6DC" w14:textId="77777777" w:rsidR="00784198" w:rsidRPr="00DF1F54" w:rsidRDefault="00784198" w:rsidP="00345DC8">
      <w:pPr>
        <w:pStyle w:val="PrformatHTML"/>
        <w:rPr>
          <w:rFonts w:ascii="Cambria" w:hAnsi="Cambria"/>
          <w:b/>
          <w:bCs/>
          <w:color w:val="B71E42" w:themeColor="accent1"/>
          <w:sz w:val="22"/>
          <w:szCs w:val="22"/>
          <w:u w:val="single"/>
        </w:rPr>
      </w:pPr>
    </w:p>
    <w:p w14:paraId="29FCEAE3" w14:textId="77777777" w:rsidR="00784198" w:rsidRPr="00DF1F54" w:rsidRDefault="00784198" w:rsidP="00345DC8">
      <w:pPr>
        <w:pStyle w:val="PrformatHTML"/>
        <w:rPr>
          <w:rFonts w:ascii="Cambria" w:hAnsi="Cambria"/>
          <w:b/>
          <w:bCs/>
          <w:color w:val="B71E42" w:themeColor="accent1"/>
          <w:sz w:val="22"/>
          <w:szCs w:val="22"/>
          <w:u w:val="single"/>
        </w:rPr>
      </w:pPr>
    </w:p>
    <w:p w14:paraId="60933963" w14:textId="04DCE9AB" w:rsidR="00345DC8" w:rsidRPr="009A2468" w:rsidRDefault="00345DC8" w:rsidP="00345DC8">
      <w:pPr>
        <w:pStyle w:val="PrformatHTML"/>
        <w:rPr>
          <w:rFonts w:ascii="Cambria" w:hAnsi="Cambria"/>
          <w:b/>
          <w:bCs/>
          <w:color w:val="C00000"/>
          <w:sz w:val="22"/>
          <w:szCs w:val="22"/>
        </w:rPr>
      </w:pPr>
      <w:r w:rsidRPr="009A2468">
        <w:rPr>
          <w:rFonts w:ascii="Cambria" w:hAnsi="Cambria"/>
          <w:b/>
          <w:bCs/>
          <w:color w:val="C00000"/>
          <w:sz w:val="22"/>
          <w:szCs w:val="22"/>
          <w:u w:val="single"/>
        </w:rPr>
        <w:t xml:space="preserve">Sujet du cours </w:t>
      </w:r>
      <w:r w:rsidR="007906DE" w:rsidRPr="009A2468">
        <w:rPr>
          <w:rFonts w:ascii="Cambria" w:hAnsi="Cambria"/>
          <w:b/>
          <w:bCs/>
          <w:color w:val="C00000"/>
          <w:sz w:val="22"/>
          <w:szCs w:val="22"/>
          <w:u w:val="single"/>
        </w:rPr>
        <w:t>semestre 2</w:t>
      </w:r>
      <w:r w:rsidRPr="009A2468">
        <w:rPr>
          <w:rFonts w:ascii="Cambria" w:hAnsi="Cambria"/>
          <w:b/>
          <w:bCs/>
          <w:color w:val="C00000"/>
          <w:sz w:val="22"/>
          <w:szCs w:val="22"/>
          <w:u w:val="single"/>
        </w:rPr>
        <w:t xml:space="preserve"> </w:t>
      </w:r>
      <w:r w:rsidRPr="009A2468">
        <w:rPr>
          <w:rFonts w:ascii="Cambria" w:hAnsi="Cambria"/>
          <w:b/>
          <w:bCs/>
          <w:color w:val="C00000"/>
          <w:sz w:val="22"/>
          <w:szCs w:val="22"/>
        </w:rPr>
        <w:t>:  Savoirs et nature au Moyen Âge (XIIe-XVe siècles)</w:t>
      </w:r>
    </w:p>
    <w:p w14:paraId="57CACC19" w14:textId="0D7D083F" w:rsidR="00345DC8" w:rsidRPr="00DF1F54" w:rsidRDefault="00784198" w:rsidP="00784198">
      <w:pPr>
        <w:spacing w:beforeAutospacing="1" w:afterAutospacing="1" w:line="240" w:lineRule="auto"/>
        <w:jc w:val="both"/>
        <w:rPr>
          <w:rFonts w:ascii="Cambria" w:eastAsia="Times New Roman" w:hAnsi="Cambria" w:cs="Times New Roman"/>
          <w:b w:val="0"/>
          <w:kern w:val="0"/>
          <w:sz w:val="22"/>
          <w:lang w:eastAsia="fr-FR"/>
        </w:rPr>
      </w:pPr>
      <w:r w:rsidRPr="00DF1F54">
        <w:rPr>
          <w:rFonts w:ascii="Cambria" w:eastAsia="Times New Roman" w:hAnsi="Cambria" w:cs="Times New Roman"/>
          <w:b w:val="0"/>
          <w:kern w:val="0"/>
          <w:sz w:val="22"/>
          <w:lang w:eastAsia="fr-FR"/>
        </w:rPr>
        <w:t>Cet enseignement se propose de revisiter les savoirs médiévaux dans leur rapport à la « nature », notion que nous interrogerons dans ses spécificités médiévales. Loin des représentations modernes qui opposent nature et culture, le Moyen Âge envisage le monde naturel comme un espace de significations multiples, où se croisent raison, foi et politique. Loin également d’être monolithiques, ces savoirs sont le fruit d’un dialogue fertile entre l’héritage antique et les apports d’autres civilisations médiévales tout en s’articulant à différentes échelles de la société. Cette perspective complexe est pourtant souvent négligée dans l’histoire de la construction des sciences, de la médecine à la musique en passant par l’alchimie, l’astrologie et l’astronomie. On abordera ces connaissances du monde au travers de la documentation qu’elles ont contribué à structurer (les manuscrits d’enseignement, les recueils laïcs témoignant de l’exploration du monde vivant, etc.) mais aussi au travers des terminologies et figurations permettant de dire ces rapports au monde. Redécouvrir ce rapport est susceptible non seulement d’aider notre compréhension du Moyen Âge, mais aussi d’éclairer en profondeur notre rapport contemporain au vivant.</w:t>
      </w:r>
    </w:p>
    <w:p w14:paraId="7A509DC1" w14:textId="77777777" w:rsidR="00CB7B73" w:rsidRPr="009A2468" w:rsidRDefault="00CB7B73" w:rsidP="00CB7B73">
      <w:pPr>
        <w:pStyle w:val="Corpsdetexte"/>
        <w:spacing w:beforeAutospacing="1" w:afterAutospacing="1" w:line="240" w:lineRule="auto"/>
        <w:outlineLvl w:val="1"/>
        <w:rPr>
          <w:rFonts w:ascii="Cambria" w:eastAsia="Times New Roman" w:hAnsi="Cambria" w:cs="Times New Roman"/>
          <w:bCs/>
          <w:kern w:val="0"/>
          <w:sz w:val="22"/>
          <w:szCs w:val="22"/>
          <w:lang w:eastAsia="fr-FR"/>
        </w:rPr>
      </w:pPr>
      <w:r w:rsidRPr="009A2468">
        <w:rPr>
          <w:rFonts w:ascii="Cambria" w:eastAsia="Times New Roman" w:hAnsi="Cambria"/>
          <w:kern w:val="0"/>
          <w:sz w:val="22"/>
          <w:szCs w:val="22"/>
          <w:lang w:eastAsia="fr-FR"/>
        </w:rPr>
        <w:t xml:space="preserve">Bibliographie indicative </w:t>
      </w:r>
    </w:p>
    <w:p w14:paraId="78D493FB" w14:textId="77777777" w:rsidR="00784198" w:rsidRPr="009A2468" w:rsidRDefault="00784198" w:rsidP="00784198">
      <w:pPr>
        <w:numPr>
          <w:ilvl w:val="0"/>
          <w:numId w:val="19"/>
        </w:numPr>
        <w:tabs>
          <w:tab w:val="clear" w:pos="720"/>
          <w:tab w:val="left" w:pos="0"/>
        </w:tabs>
        <w:suppressAutoHyphens/>
        <w:jc w:val="both"/>
        <w:rPr>
          <w:rFonts w:ascii="Cambria" w:hAnsi="Cambria"/>
          <w:b w:val="0"/>
          <w:sz w:val="22"/>
        </w:rPr>
      </w:pPr>
      <w:r w:rsidRPr="009A2468">
        <w:rPr>
          <w:rFonts w:ascii="Cambria" w:eastAsia="Times New Roman" w:hAnsi="Cambria"/>
          <w:b w:val="0"/>
          <w:kern w:val="0"/>
          <w:sz w:val="22"/>
          <w:lang w:eastAsia="fr-FR"/>
        </w:rPr>
        <w:t xml:space="preserve">ANHEIM, Étienne, « Les métamorphoses de la nature dans l’Europe de la fin du Moyen Âge », dans DESCOLA, Philippe (dir.), </w:t>
      </w:r>
      <w:r w:rsidRPr="009A2468">
        <w:rPr>
          <w:rFonts w:ascii="Cambria" w:eastAsia="Times New Roman" w:hAnsi="Cambria"/>
          <w:b w:val="0"/>
          <w:i/>
          <w:kern w:val="0"/>
          <w:sz w:val="22"/>
          <w:lang w:eastAsia="fr-FR"/>
        </w:rPr>
        <w:t>Les Natures en question</w:t>
      </w:r>
      <w:r w:rsidRPr="009A2468">
        <w:rPr>
          <w:rFonts w:ascii="Cambria" w:eastAsia="Times New Roman" w:hAnsi="Cambria"/>
          <w:b w:val="0"/>
          <w:kern w:val="0"/>
          <w:sz w:val="22"/>
          <w:lang w:eastAsia="fr-FR"/>
        </w:rPr>
        <w:t>, Paris, Odile Jacob, 2018, p. 51-70.</w:t>
      </w:r>
    </w:p>
    <w:p w14:paraId="0E3E0AE8" w14:textId="77777777" w:rsidR="00784198" w:rsidRPr="009A2468" w:rsidRDefault="00784198" w:rsidP="00784198">
      <w:pPr>
        <w:numPr>
          <w:ilvl w:val="0"/>
          <w:numId w:val="19"/>
        </w:numPr>
        <w:tabs>
          <w:tab w:val="clear" w:pos="720"/>
          <w:tab w:val="left" w:pos="0"/>
        </w:tabs>
        <w:suppressAutoHyphens/>
        <w:jc w:val="both"/>
        <w:rPr>
          <w:rFonts w:ascii="Cambria" w:hAnsi="Cambria"/>
          <w:b w:val="0"/>
          <w:sz w:val="22"/>
        </w:rPr>
      </w:pPr>
      <w:r w:rsidRPr="009A2468">
        <w:rPr>
          <w:rFonts w:ascii="Cambria" w:hAnsi="Cambria"/>
          <w:b w:val="0"/>
          <w:sz w:val="22"/>
        </w:rPr>
        <w:t xml:space="preserve">BÉPOIX, Sylvie et RICHARD, Hervé (dir.), </w:t>
      </w:r>
      <w:r w:rsidRPr="009A2468">
        <w:rPr>
          <w:rFonts w:ascii="Cambria" w:hAnsi="Cambria"/>
          <w:b w:val="0"/>
          <w:i/>
          <w:sz w:val="22"/>
        </w:rPr>
        <w:t>La Forêt au Moyen Âge</w:t>
      </w:r>
      <w:r w:rsidRPr="009A2468">
        <w:rPr>
          <w:rFonts w:ascii="Cambria" w:hAnsi="Cambria"/>
          <w:b w:val="0"/>
          <w:sz w:val="22"/>
        </w:rPr>
        <w:t>, Paris, Les Belles Lettres, 2019.</w:t>
      </w:r>
    </w:p>
    <w:p w14:paraId="7D353088" w14:textId="77777777" w:rsidR="00784198" w:rsidRPr="009A2468" w:rsidRDefault="00784198" w:rsidP="00784198">
      <w:pPr>
        <w:numPr>
          <w:ilvl w:val="0"/>
          <w:numId w:val="20"/>
        </w:numPr>
        <w:tabs>
          <w:tab w:val="clear" w:pos="720"/>
          <w:tab w:val="left" w:pos="0"/>
        </w:tabs>
        <w:suppressAutoHyphens/>
        <w:jc w:val="both"/>
        <w:rPr>
          <w:rFonts w:ascii="Cambria" w:hAnsi="Cambria"/>
          <w:b w:val="0"/>
          <w:sz w:val="22"/>
        </w:rPr>
      </w:pPr>
      <w:r w:rsidRPr="009A2468">
        <w:rPr>
          <w:rFonts w:ascii="Cambria" w:hAnsi="Cambria"/>
          <w:b w:val="0"/>
          <w:sz w:val="22"/>
        </w:rPr>
        <w:t xml:space="preserve">BOUREAU, Alain, </w:t>
      </w:r>
      <w:r w:rsidRPr="009A2468">
        <w:rPr>
          <w:rFonts w:ascii="Cambria" w:hAnsi="Cambria"/>
          <w:b w:val="0"/>
          <w:i/>
          <w:sz w:val="22"/>
        </w:rPr>
        <w:t>Les seuils du monde : quelques aventures en sciences dans la pensée scolastique (1200-1360)</w:t>
      </w:r>
      <w:r w:rsidRPr="009A2468">
        <w:rPr>
          <w:rFonts w:ascii="Cambria" w:hAnsi="Cambria"/>
          <w:b w:val="0"/>
          <w:sz w:val="22"/>
        </w:rPr>
        <w:t>, Paris, Les Belles Lettres, 2026.</w:t>
      </w:r>
    </w:p>
    <w:p w14:paraId="7C93D1D4" w14:textId="77777777" w:rsidR="00784198" w:rsidRPr="009A2468" w:rsidRDefault="00784198" w:rsidP="00784198">
      <w:pPr>
        <w:numPr>
          <w:ilvl w:val="0"/>
          <w:numId w:val="21"/>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BURNETT, Charles, </w:t>
      </w:r>
      <w:r w:rsidRPr="009A2468">
        <w:rPr>
          <w:rFonts w:ascii="Cambria" w:hAnsi="Cambria"/>
          <w:b w:val="0"/>
          <w:i/>
          <w:sz w:val="22"/>
          <w:lang w:val="en-US"/>
        </w:rPr>
        <w:t>Arabic into Latin in the Middle Ages: The Translators and Their Intellectual and Social Context</w:t>
      </w:r>
      <w:r w:rsidRPr="009A2468">
        <w:rPr>
          <w:rFonts w:ascii="Cambria" w:hAnsi="Cambria"/>
          <w:b w:val="0"/>
          <w:sz w:val="22"/>
          <w:lang w:val="en-US"/>
        </w:rPr>
        <w:t>, Aldershot, Variorum, 2009.</w:t>
      </w:r>
    </w:p>
    <w:p w14:paraId="4DE5BF1B" w14:textId="77777777" w:rsidR="00784198" w:rsidRPr="009A2468" w:rsidRDefault="00784198" w:rsidP="00784198">
      <w:pPr>
        <w:numPr>
          <w:ilvl w:val="0"/>
          <w:numId w:val="22"/>
        </w:numPr>
        <w:tabs>
          <w:tab w:val="clear" w:pos="720"/>
          <w:tab w:val="left" w:pos="0"/>
        </w:tabs>
        <w:suppressAutoHyphens/>
        <w:jc w:val="both"/>
        <w:rPr>
          <w:rFonts w:ascii="Cambria" w:hAnsi="Cambria"/>
          <w:b w:val="0"/>
          <w:sz w:val="22"/>
        </w:rPr>
      </w:pPr>
      <w:r w:rsidRPr="009A2468">
        <w:rPr>
          <w:rFonts w:ascii="Cambria" w:hAnsi="Cambria"/>
          <w:b w:val="0"/>
          <w:sz w:val="22"/>
        </w:rPr>
        <w:t xml:space="preserve">BURNOUF, Joëlle, « Chapitre 5 - Archéologie environnementale : des milieux et des hommes », dans BURNOUF, Joëlle, ARRIBET-DEROIN, Danielle, DESACHY, Bruno, JOURNOT, Florence et NISSEN-JAUBERT, Anne, </w:t>
      </w:r>
      <w:r w:rsidRPr="009A2468">
        <w:rPr>
          <w:rFonts w:ascii="Cambria" w:hAnsi="Cambria"/>
          <w:b w:val="0"/>
          <w:i/>
          <w:sz w:val="22"/>
        </w:rPr>
        <w:t>Manuel d'archéologie médiévale et moderne</w:t>
      </w:r>
      <w:r w:rsidRPr="009A2468">
        <w:rPr>
          <w:rFonts w:ascii="Cambria" w:hAnsi="Cambria"/>
          <w:b w:val="0"/>
          <w:sz w:val="22"/>
        </w:rPr>
        <w:t>, Paris, Armand Colin, 2012, p. 73-128.</w:t>
      </w:r>
    </w:p>
    <w:p w14:paraId="01E149DA" w14:textId="77777777" w:rsidR="00784198" w:rsidRPr="009A2468" w:rsidRDefault="00784198" w:rsidP="00784198">
      <w:pPr>
        <w:numPr>
          <w:ilvl w:val="0"/>
          <w:numId w:val="23"/>
        </w:numPr>
        <w:tabs>
          <w:tab w:val="clear" w:pos="720"/>
          <w:tab w:val="left" w:pos="0"/>
        </w:tabs>
        <w:suppressAutoHyphens/>
        <w:jc w:val="both"/>
        <w:rPr>
          <w:rFonts w:ascii="Cambria" w:hAnsi="Cambria"/>
          <w:b w:val="0"/>
          <w:sz w:val="22"/>
        </w:rPr>
      </w:pPr>
      <w:r w:rsidRPr="009A2468">
        <w:rPr>
          <w:rFonts w:ascii="Cambria" w:hAnsi="Cambria"/>
          <w:b w:val="0"/>
          <w:sz w:val="22"/>
        </w:rPr>
        <w:t xml:space="preserve">CAIAZZO, Irene, « Nature et découverte de la nature au XIIe siècle : nouvelles perspectives », </w:t>
      </w:r>
      <w:r w:rsidRPr="009A2468">
        <w:rPr>
          <w:rFonts w:ascii="Cambria" w:hAnsi="Cambria"/>
          <w:b w:val="0"/>
          <w:i/>
          <w:sz w:val="22"/>
        </w:rPr>
        <w:t>Quaestio</w:t>
      </w:r>
      <w:r w:rsidRPr="009A2468">
        <w:rPr>
          <w:rFonts w:ascii="Cambria" w:hAnsi="Cambria"/>
          <w:b w:val="0"/>
          <w:sz w:val="22"/>
        </w:rPr>
        <w:t>, vol. 15, 2015, p. 47–72.</w:t>
      </w:r>
    </w:p>
    <w:p w14:paraId="3ADAD7E8" w14:textId="77777777" w:rsidR="00784198" w:rsidRPr="009A2468" w:rsidRDefault="00784198" w:rsidP="00784198">
      <w:pPr>
        <w:numPr>
          <w:ilvl w:val="0"/>
          <w:numId w:val="24"/>
        </w:numPr>
        <w:tabs>
          <w:tab w:val="clear" w:pos="720"/>
          <w:tab w:val="left" w:pos="0"/>
        </w:tabs>
        <w:suppressAutoHyphens/>
        <w:jc w:val="both"/>
        <w:rPr>
          <w:rFonts w:ascii="Cambria" w:hAnsi="Cambria"/>
          <w:b w:val="0"/>
          <w:sz w:val="22"/>
        </w:rPr>
      </w:pPr>
      <w:r w:rsidRPr="009A2468">
        <w:rPr>
          <w:rFonts w:ascii="Cambria" w:hAnsi="Cambria"/>
          <w:b w:val="0"/>
          <w:sz w:val="22"/>
        </w:rPr>
        <w:t xml:space="preserve">CHALVET, Martine, </w:t>
      </w:r>
      <w:r w:rsidRPr="009A2468">
        <w:rPr>
          <w:rFonts w:ascii="Cambria" w:hAnsi="Cambria"/>
          <w:b w:val="0"/>
          <w:i/>
          <w:sz w:val="22"/>
        </w:rPr>
        <w:t>Une histoire de la forêt</w:t>
      </w:r>
      <w:r w:rsidRPr="009A2468">
        <w:rPr>
          <w:rFonts w:ascii="Cambria" w:hAnsi="Cambria"/>
          <w:b w:val="0"/>
          <w:sz w:val="22"/>
        </w:rPr>
        <w:t>, Paris, Le Seuil, 2011.</w:t>
      </w:r>
    </w:p>
    <w:p w14:paraId="7899C376" w14:textId="77777777" w:rsidR="00784198" w:rsidRPr="009A2468" w:rsidRDefault="00784198" w:rsidP="00784198">
      <w:pPr>
        <w:numPr>
          <w:ilvl w:val="0"/>
          <w:numId w:val="25"/>
        </w:numPr>
        <w:tabs>
          <w:tab w:val="clear" w:pos="720"/>
          <w:tab w:val="left" w:pos="0"/>
        </w:tabs>
        <w:suppressAutoHyphens/>
        <w:jc w:val="both"/>
        <w:rPr>
          <w:rFonts w:ascii="Cambria" w:hAnsi="Cambria"/>
          <w:b w:val="0"/>
          <w:sz w:val="22"/>
        </w:rPr>
      </w:pPr>
      <w:r w:rsidRPr="009A2468">
        <w:rPr>
          <w:rFonts w:ascii="Cambria" w:hAnsi="Cambria"/>
          <w:b w:val="0"/>
          <w:sz w:val="22"/>
        </w:rPr>
        <w:t xml:space="preserve">CORBIN, Alain et RICHARD, Hervé (dir.), </w:t>
      </w:r>
      <w:r w:rsidRPr="009A2468">
        <w:rPr>
          <w:rFonts w:ascii="Cambria" w:hAnsi="Cambria"/>
          <w:b w:val="0"/>
          <w:i/>
          <w:sz w:val="22"/>
        </w:rPr>
        <w:t>La mer. Terreur et fascination</w:t>
      </w:r>
      <w:r w:rsidRPr="009A2468">
        <w:rPr>
          <w:rFonts w:ascii="Cambria" w:hAnsi="Cambria"/>
          <w:b w:val="0"/>
          <w:sz w:val="22"/>
        </w:rPr>
        <w:t xml:space="preserve">, Paris, Le Seuil, 2011. </w:t>
      </w:r>
    </w:p>
    <w:p w14:paraId="3DEC7117" w14:textId="77777777" w:rsidR="00784198" w:rsidRPr="009A2468" w:rsidRDefault="00784198" w:rsidP="00784198">
      <w:pPr>
        <w:numPr>
          <w:ilvl w:val="0"/>
          <w:numId w:val="26"/>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CROMBIE, Alistair Cameron, </w:t>
      </w:r>
      <w:r w:rsidRPr="009A2468">
        <w:rPr>
          <w:rFonts w:ascii="Cambria" w:hAnsi="Cambria"/>
          <w:b w:val="0"/>
          <w:i/>
          <w:sz w:val="22"/>
          <w:lang w:val="en-US"/>
        </w:rPr>
        <w:t>Science, Art and Nature in Medieval and Modern Thought</w:t>
      </w:r>
      <w:r w:rsidRPr="009A2468">
        <w:rPr>
          <w:rFonts w:ascii="Cambria" w:hAnsi="Cambria"/>
          <w:b w:val="0"/>
          <w:sz w:val="22"/>
          <w:lang w:val="en-US"/>
        </w:rPr>
        <w:t>, London, Hambledon Press, 1996.</w:t>
      </w:r>
    </w:p>
    <w:p w14:paraId="32BB5680" w14:textId="77777777" w:rsidR="00784198" w:rsidRPr="009A2468" w:rsidRDefault="00784198" w:rsidP="00784198">
      <w:pPr>
        <w:numPr>
          <w:ilvl w:val="0"/>
          <w:numId w:val="27"/>
        </w:numPr>
        <w:tabs>
          <w:tab w:val="clear" w:pos="720"/>
          <w:tab w:val="left" w:pos="0"/>
        </w:tabs>
        <w:suppressAutoHyphens/>
        <w:jc w:val="both"/>
        <w:rPr>
          <w:rFonts w:ascii="Cambria" w:hAnsi="Cambria"/>
          <w:b w:val="0"/>
          <w:sz w:val="22"/>
        </w:rPr>
      </w:pPr>
      <w:r w:rsidRPr="009A2468">
        <w:rPr>
          <w:rFonts w:ascii="Cambria" w:hAnsi="Cambria"/>
          <w:b w:val="0"/>
          <w:sz w:val="22"/>
        </w:rPr>
        <w:t xml:space="preserve">DITTMAR, Pierre-Olivier, </w:t>
      </w:r>
      <w:r w:rsidRPr="009A2468">
        <w:rPr>
          <w:rFonts w:ascii="Cambria" w:hAnsi="Cambria"/>
          <w:b w:val="0"/>
          <w:i/>
          <w:sz w:val="22"/>
        </w:rPr>
        <w:t>L’invention de l’animal : essai d’anthropologie médiévale</w:t>
      </w:r>
      <w:r w:rsidRPr="009A2468">
        <w:rPr>
          <w:rFonts w:ascii="Cambria" w:hAnsi="Cambria"/>
          <w:b w:val="0"/>
          <w:sz w:val="22"/>
        </w:rPr>
        <w:t xml:space="preserve">, Paris, L'Harmattan, 2022. </w:t>
      </w:r>
    </w:p>
    <w:p w14:paraId="57F2297E" w14:textId="77777777" w:rsidR="00784198" w:rsidRPr="009A2468" w:rsidRDefault="00784198" w:rsidP="00784198">
      <w:pPr>
        <w:numPr>
          <w:ilvl w:val="0"/>
          <w:numId w:val="28"/>
        </w:numPr>
        <w:tabs>
          <w:tab w:val="clear" w:pos="720"/>
          <w:tab w:val="left" w:pos="0"/>
        </w:tabs>
        <w:suppressAutoHyphens/>
        <w:jc w:val="both"/>
        <w:rPr>
          <w:rFonts w:ascii="Cambria" w:hAnsi="Cambria"/>
          <w:b w:val="0"/>
          <w:sz w:val="22"/>
        </w:rPr>
      </w:pPr>
      <w:r w:rsidRPr="009A2468">
        <w:rPr>
          <w:rFonts w:ascii="Cambria" w:hAnsi="Cambria"/>
          <w:b w:val="0"/>
          <w:sz w:val="22"/>
        </w:rPr>
        <w:t xml:space="preserve">DUHEM, Pierre, </w:t>
      </w:r>
      <w:r w:rsidRPr="009A2468">
        <w:rPr>
          <w:rFonts w:ascii="Cambria" w:hAnsi="Cambria"/>
          <w:b w:val="0"/>
          <w:i/>
          <w:sz w:val="22"/>
        </w:rPr>
        <w:t>Le Système du Monde : Histoire des doctrines cosmologiques de Platon à Copernic</w:t>
      </w:r>
      <w:r w:rsidRPr="009A2468">
        <w:rPr>
          <w:rFonts w:ascii="Cambria" w:hAnsi="Cambria"/>
          <w:b w:val="0"/>
          <w:sz w:val="22"/>
        </w:rPr>
        <w:t>, tome III, Paris, Librairie scientifique A. Hermann et fils, 1915.</w:t>
      </w:r>
    </w:p>
    <w:p w14:paraId="002E9B12" w14:textId="77777777" w:rsidR="00784198" w:rsidRPr="009A2468" w:rsidRDefault="00784198" w:rsidP="00784198">
      <w:pPr>
        <w:numPr>
          <w:ilvl w:val="0"/>
          <w:numId w:val="29"/>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EPSTEIN, Steven A., </w:t>
      </w:r>
      <w:r w:rsidRPr="009A2468">
        <w:rPr>
          <w:rFonts w:ascii="Cambria" w:hAnsi="Cambria"/>
          <w:b w:val="0"/>
          <w:i/>
          <w:sz w:val="22"/>
          <w:lang w:val="en-US"/>
        </w:rPr>
        <w:t>The Medieval Discovery of Nature</w:t>
      </w:r>
      <w:r w:rsidRPr="009A2468">
        <w:rPr>
          <w:rFonts w:ascii="Cambria" w:hAnsi="Cambria"/>
          <w:b w:val="0"/>
          <w:sz w:val="22"/>
          <w:lang w:val="en-US"/>
        </w:rPr>
        <w:t>, Cambridge / New York, Cambridge University Press, 2012.</w:t>
      </w:r>
    </w:p>
    <w:p w14:paraId="16FFC248" w14:textId="77777777" w:rsidR="00784198" w:rsidRPr="009A2468" w:rsidRDefault="00784198" w:rsidP="00784198">
      <w:pPr>
        <w:numPr>
          <w:ilvl w:val="0"/>
          <w:numId w:val="30"/>
        </w:numPr>
        <w:tabs>
          <w:tab w:val="clear" w:pos="720"/>
          <w:tab w:val="left" w:pos="0"/>
        </w:tabs>
        <w:suppressAutoHyphens/>
        <w:jc w:val="both"/>
        <w:rPr>
          <w:rFonts w:ascii="Cambria" w:hAnsi="Cambria"/>
          <w:b w:val="0"/>
          <w:sz w:val="22"/>
        </w:rPr>
      </w:pPr>
      <w:r w:rsidRPr="009A2468">
        <w:rPr>
          <w:rFonts w:ascii="Cambria" w:hAnsi="Cambria"/>
          <w:b w:val="0"/>
          <w:sz w:val="22"/>
        </w:rPr>
        <w:t xml:space="preserve">GREGORY, Tullio, « Nature », dans LE GOFF, Jacques et SCHMITT, Jean-Claude (dir.), </w:t>
      </w:r>
      <w:r w:rsidRPr="009A2468">
        <w:rPr>
          <w:rFonts w:ascii="Cambria" w:hAnsi="Cambria"/>
          <w:b w:val="0"/>
          <w:i/>
          <w:sz w:val="22"/>
        </w:rPr>
        <w:t>Dictionnaire raisonné de l'Occident médiéval</w:t>
      </w:r>
      <w:r w:rsidRPr="009A2468">
        <w:rPr>
          <w:rFonts w:ascii="Cambria" w:hAnsi="Cambria"/>
          <w:b w:val="0"/>
          <w:sz w:val="22"/>
        </w:rPr>
        <w:t>, Paris, Fayard, 1999, p. 806–820.</w:t>
      </w:r>
    </w:p>
    <w:p w14:paraId="6CCCF53C" w14:textId="77777777" w:rsidR="00784198" w:rsidRPr="009A2468" w:rsidRDefault="00784198" w:rsidP="00784198">
      <w:pPr>
        <w:numPr>
          <w:ilvl w:val="0"/>
          <w:numId w:val="31"/>
        </w:numPr>
        <w:tabs>
          <w:tab w:val="clear" w:pos="720"/>
          <w:tab w:val="left" w:pos="0"/>
        </w:tabs>
        <w:suppressAutoHyphens/>
        <w:jc w:val="both"/>
        <w:rPr>
          <w:rFonts w:ascii="Cambria" w:hAnsi="Cambria"/>
          <w:b w:val="0"/>
          <w:sz w:val="22"/>
        </w:rPr>
      </w:pPr>
      <w:r w:rsidRPr="009A2468">
        <w:rPr>
          <w:rFonts w:ascii="Cambria" w:hAnsi="Cambria"/>
          <w:b w:val="0"/>
          <w:sz w:val="22"/>
        </w:rPr>
        <w:t xml:space="preserve">HALLEUX, Robert, </w:t>
      </w:r>
      <w:r w:rsidRPr="009A2468">
        <w:rPr>
          <w:rFonts w:ascii="Cambria" w:hAnsi="Cambria"/>
          <w:b w:val="0"/>
          <w:i/>
          <w:sz w:val="22"/>
        </w:rPr>
        <w:t>Le savoir de la main : savants et artisans dans l’Europe pré-industrielle</w:t>
      </w:r>
      <w:r w:rsidRPr="009A2468">
        <w:rPr>
          <w:rFonts w:ascii="Cambria" w:hAnsi="Cambria"/>
          <w:b w:val="0"/>
          <w:sz w:val="22"/>
        </w:rPr>
        <w:t>, Paris, Armand Colin, 2009.</w:t>
      </w:r>
    </w:p>
    <w:p w14:paraId="0DE8E608" w14:textId="77777777" w:rsidR="00784198" w:rsidRPr="009A2468" w:rsidRDefault="00784198" w:rsidP="00784198">
      <w:pPr>
        <w:numPr>
          <w:ilvl w:val="0"/>
          <w:numId w:val="32"/>
        </w:numPr>
        <w:tabs>
          <w:tab w:val="clear" w:pos="720"/>
          <w:tab w:val="left" w:pos="0"/>
        </w:tabs>
        <w:suppressAutoHyphens/>
        <w:jc w:val="both"/>
        <w:rPr>
          <w:rFonts w:ascii="Cambria" w:hAnsi="Cambria"/>
          <w:b w:val="0"/>
          <w:sz w:val="22"/>
        </w:rPr>
      </w:pPr>
      <w:r w:rsidRPr="009A2468">
        <w:rPr>
          <w:rFonts w:ascii="Cambria" w:hAnsi="Cambria"/>
          <w:b w:val="0"/>
          <w:sz w:val="22"/>
        </w:rPr>
        <w:t xml:space="preserve">LABBÉ, Thomas, </w:t>
      </w:r>
      <w:r w:rsidRPr="009A2468">
        <w:rPr>
          <w:rFonts w:ascii="Cambria" w:hAnsi="Cambria"/>
          <w:b w:val="0"/>
          <w:i/>
          <w:sz w:val="22"/>
        </w:rPr>
        <w:t>Les Catastrophes naturelles au Moyen Âge</w:t>
      </w:r>
      <w:r w:rsidRPr="009A2468">
        <w:rPr>
          <w:rFonts w:ascii="Cambria" w:hAnsi="Cambria"/>
          <w:b w:val="0"/>
          <w:sz w:val="22"/>
        </w:rPr>
        <w:t xml:space="preserve">, Paris, CNRS Éditions, 2017. </w:t>
      </w:r>
    </w:p>
    <w:p w14:paraId="3ACD87DD" w14:textId="77777777" w:rsidR="00784198" w:rsidRPr="009A2468" w:rsidRDefault="00784198" w:rsidP="00784198">
      <w:pPr>
        <w:numPr>
          <w:ilvl w:val="0"/>
          <w:numId w:val="33"/>
        </w:numPr>
        <w:tabs>
          <w:tab w:val="clear" w:pos="720"/>
          <w:tab w:val="left" w:pos="0"/>
        </w:tabs>
        <w:suppressAutoHyphens/>
        <w:jc w:val="both"/>
        <w:rPr>
          <w:rFonts w:ascii="Cambria" w:hAnsi="Cambria"/>
          <w:b w:val="0"/>
          <w:sz w:val="22"/>
        </w:rPr>
      </w:pPr>
      <w:r w:rsidRPr="009A2468">
        <w:rPr>
          <w:rFonts w:ascii="Cambria" w:hAnsi="Cambria"/>
          <w:b w:val="0"/>
          <w:sz w:val="22"/>
        </w:rPr>
        <w:t xml:space="preserve">LEGUAY, Jean-Pierre, </w:t>
      </w:r>
      <w:r w:rsidRPr="009A2468">
        <w:rPr>
          <w:rFonts w:ascii="Cambria" w:hAnsi="Cambria"/>
          <w:b w:val="0"/>
          <w:i/>
          <w:sz w:val="22"/>
        </w:rPr>
        <w:t>La pollution au Moyen Âge</w:t>
      </w:r>
      <w:r w:rsidRPr="009A2468">
        <w:rPr>
          <w:rFonts w:ascii="Cambria" w:hAnsi="Cambria"/>
          <w:b w:val="0"/>
          <w:sz w:val="22"/>
        </w:rPr>
        <w:t xml:space="preserve">, Paris, Gisserot, 1999. </w:t>
      </w:r>
    </w:p>
    <w:p w14:paraId="79E203A5" w14:textId="77777777" w:rsidR="00784198" w:rsidRPr="009A2468" w:rsidRDefault="00784198" w:rsidP="00784198">
      <w:pPr>
        <w:numPr>
          <w:ilvl w:val="0"/>
          <w:numId w:val="34"/>
        </w:numPr>
        <w:tabs>
          <w:tab w:val="clear" w:pos="720"/>
          <w:tab w:val="left" w:pos="0"/>
        </w:tabs>
        <w:suppressAutoHyphens/>
        <w:jc w:val="both"/>
        <w:rPr>
          <w:rFonts w:ascii="Cambria" w:hAnsi="Cambria"/>
          <w:b w:val="0"/>
          <w:sz w:val="22"/>
        </w:rPr>
      </w:pPr>
      <w:r w:rsidRPr="009A2468">
        <w:rPr>
          <w:rFonts w:ascii="Cambria" w:hAnsi="Cambria"/>
          <w:b w:val="0"/>
          <w:sz w:val="22"/>
        </w:rPr>
        <w:t xml:space="preserve">MOLLAT DU JOURDIN, Michel, </w:t>
      </w:r>
      <w:r w:rsidRPr="009A2468">
        <w:rPr>
          <w:rFonts w:ascii="Cambria" w:hAnsi="Cambria"/>
          <w:b w:val="0"/>
          <w:i/>
          <w:sz w:val="22"/>
        </w:rPr>
        <w:t>La Vie quotidienne des gens de mer en Atlantique (IXe-XVIe siècle)</w:t>
      </w:r>
      <w:r w:rsidRPr="009A2468">
        <w:rPr>
          <w:rFonts w:ascii="Cambria" w:hAnsi="Cambria"/>
          <w:b w:val="0"/>
          <w:sz w:val="22"/>
        </w:rPr>
        <w:t xml:space="preserve">, Paris, Hachette, 1983. DOI : 10.3917/hache.molla.1983.01. </w:t>
      </w:r>
    </w:p>
    <w:p w14:paraId="6EB2D364" w14:textId="77777777" w:rsidR="00784198" w:rsidRPr="009A2468" w:rsidRDefault="00784198" w:rsidP="00784198">
      <w:pPr>
        <w:numPr>
          <w:ilvl w:val="0"/>
          <w:numId w:val="35"/>
        </w:numPr>
        <w:tabs>
          <w:tab w:val="clear" w:pos="720"/>
          <w:tab w:val="left" w:pos="0"/>
        </w:tabs>
        <w:suppressAutoHyphens/>
        <w:jc w:val="both"/>
        <w:rPr>
          <w:rFonts w:ascii="Cambria" w:hAnsi="Cambria"/>
          <w:b w:val="0"/>
          <w:sz w:val="22"/>
        </w:rPr>
      </w:pPr>
      <w:r w:rsidRPr="009A2468">
        <w:rPr>
          <w:rFonts w:ascii="Cambria" w:hAnsi="Cambria"/>
          <w:b w:val="0"/>
          <w:sz w:val="22"/>
        </w:rPr>
        <w:t xml:space="preserve">MOUTHON, Fabrice, </w:t>
      </w:r>
      <w:r w:rsidRPr="009A2468">
        <w:rPr>
          <w:rFonts w:ascii="Cambria" w:hAnsi="Cambria"/>
          <w:b w:val="0"/>
          <w:i/>
          <w:sz w:val="22"/>
        </w:rPr>
        <w:t>Le sourire de Prométhée : L’homme et la nature au Moyen Âge</w:t>
      </w:r>
      <w:r w:rsidRPr="009A2468">
        <w:rPr>
          <w:rFonts w:ascii="Cambria" w:hAnsi="Cambria"/>
          <w:b w:val="0"/>
          <w:sz w:val="22"/>
        </w:rPr>
        <w:t>, Paris, La Découverte, 2017.</w:t>
      </w:r>
    </w:p>
    <w:p w14:paraId="5D64864F" w14:textId="77777777" w:rsidR="00784198" w:rsidRPr="009A2468" w:rsidRDefault="00784198" w:rsidP="00784198">
      <w:pPr>
        <w:numPr>
          <w:ilvl w:val="0"/>
          <w:numId w:val="36"/>
        </w:numPr>
        <w:tabs>
          <w:tab w:val="clear" w:pos="720"/>
          <w:tab w:val="left" w:pos="0"/>
        </w:tabs>
        <w:suppressAutoHyphens/>
        <w:jc w:val="both"/>
        <w:rPr>
          <w:rFonts w:ascii="Cambria" w:hAnsi="Cambria"/>
          <w:b w:val="0"/>
          <w:sz w:val="22"/>
        </w:rPr>
      </w:pPr>
      <w:r w:rsidRPr="009A2468">
        <w:rPr>
          <w:rFonts w:ascii="Cambria" w:hAnsi="Cambria"/>
          <w:b w:val="0"/>
          <w:sz w:val="22"/>
        </w:rPr>
        <w:t xml:space="preserve">SHMESP (Société des historiens médiévistes de l’Enseignement supérieur public), </w:t>
      </w:r>
      <w:r w:rsidRPr="009A2468">
        <w:rPr>
          <w:rFonts w:ascii="Cambria" w:hAnsi="Cambria"/>
          <w:b w:val="0"/>
          <w:i/>
          <w:sz w:val="22"/>
        </w:rPr>
        <w:t>Montagnes médiévales</w:t>
      </w:r>
      <w:r w:rsidRPr="009A2468">
        <w:rPr>
          <w:rFonts w:ascii="Cambria" w:hAnsi="Cambria"/>
          <w:b w:val="0"/>
          <w:sz w:val="22"/>
        </w:rPr>
        <w:t>, Paris, Éditions de la Sorbonne, 2004.</w:t>
      </w:r>
    </w:p>
    <w:p w14:paraId="74815C96" w14:textId="77777777" w:rsidR="00784198" w:rsidRPr="009A2468" w:rsidRDefault="00784198" w:rsidP="00784198">
      <w:pPr>
        <w:numPr>
          <w:ilvl w:val="0"/>
          <w:numId w:val="37"/>
        </w:numPr>
        <w:tabs>
          <w:tab w:val="clear" w:pos="720"/>
          <w:tab w:val="left" w:pos="0"/>
        </w:tabs>
        <w:suppressAutoHyphens/>
        <w:jc w:val="both"/>
        <w:rPr>
          <w:rFonts w:ascii="Cambria" w:hAnsi="Cambria"/>
          <w:b w:val="0"/>
          <w:sz w:val="22"/>
        </w:rPr>
      </w:pPr>
      <w:r w:rsidRPr="009A2468">
        <w:rPr>
          <w:rFonts w:ascii="Cambria" w:hAnsi="Cambria"/>
          <w:b w:val="0"/>
          <w:i/>
          <w:sz w:val="22"/>
        </w:rPr>
        <w:t>TEATRO DELLA NATURA (IL). Micrologus</w:t>
      </w:r>
      <w:r w:rsidRPr="009A2468">
        <w:rPr>
          <w:rFonts w:ascii="Cambria" w:hAnsi="Cambria"/>
          <w:b w:val="0"/>
          <w:sz w:val="22"/>
        </w:rPr>
        <w:t xml:space="preserve">, Turnhout / Paris, Brepols, 1996. </w:t>
      </w:r>
    </w:p>
    <w:p w14:paraId="21C9E92B" w14:textId="77777777" w:rsidR="00784198" w:rsidRPr="009A2468" w:rsidRDefault="00784198" w:rsidP="00784198">
      <w:pPr>
        <w:numPr>
          <w:ilvl w:val="0"/>
          <w:numId w:val="38"/>
        </w:numPr>
        <w:tabs>
          <w:tab w:val="clear" w:pos="720"/>
          <w:tab w:val="left" w:pos="0"/>
        </w:tabs>
        <w:suppressAutoHyphens/>
        <w:jc w:val="both"/>
        <w:rPr>
          <w:rFonts w:ascii="Cambria" w:hAnsi="Cambria"/>
          <w:b w:val="0"/>
          <w:sz w:val="22"/>
        </w:rPr>
      </w:pPr>
      <w:r w:rsidRPr="009A2468">
        <w:rPr>
          <w:rFonts w:ascii="Cambria" w:hAnsi="Cambria"/>
          <w:b w:val="0"/>
          <w:sz w:val="22"/>
        </w:rPr>
        <w:t xml:space="preserve">VERDON, Laure, « La nature était préservée », dans </w:t>
      </w:r>
      <w:r w:rsidRPr="009A2468">
        <w:rPr>
          <w:rFonts w:ascii="Cambria" w:hAnsi="Cambria"/>
          <w:b w:val="0"/>
          <w:i/>
          <w:sz w:val="22"/>
        </w:rPr>
        <w:t>Le Moyen Âge. 10 siècles d'idées reçues</w:t>
      </w:r>
      <w:r w:rsidRPr="009A2468">
        <w:rPr>
          <w:rFonts w:ascii="Cambria" w:hAnsi="Cambria"/>
          <w:b w:val="0"/>
          <w:sz w:val="22"/>
        </w:rPr>
        <w:t>, Paris, Le Cavalier Bleu, 2019, p. 159-166.</w:t>
      </w:r>
    </w:p>
    <w:p w14:paraId="5A02E811" w14:textId="77777777" w:rsidR="00784198" w:rsidRPr="009A2468" w:rsidRDefault="00784198" w:rsidP="00784198">
      <w:pPr>
        <w:numPr>
          <w:ilvl w:val="0"/>
          <w:numId w:val="39"/>
        </w:numPr>
        <w:tabs>
          <w:tab w:val="clear" w:pos="720"/>
          <w:tab w:val="left" w:pos="0"/>
        </w:tabs>
        <w:suppressAutoHyphens/>
        <w:jc w:val="both"/>
        <w:rPr>
          <w:rFonts w:ascii="Cambria" w:hAnsi="Cambria"/>
          <w:b w:val="0"/>
          <w:sz w:val="22"/>
        </w:rPr>
      </w:pPr>
      <w:r w:rsidRPr="009A2468">
        <w:rPr>
          <w:rFonts w:ascii="Cambria" w:hAnsi="Cambria"/>
          <w:b w:val="0"/>
          <w:sz w:val="22"/>
        </w:rPr>
        <w:t xml:space="preserve">VICTOR, Sandrine, « Une mutation environnementale ? XIIe-XVe siècle », dans MAZEL, Florian (dir.), </w:t>
      </w:r>
      <w:r w:rsidRPr="009A2468">
        <w:rPr>
          <w:rFonts w:ascii="Cambria" w:hAnsi="Cambria"/>
          <w:b w:val="0"/>
          <w:i/>
          <w:sz w:val="22"/>
        </w:rPr>
        <w:t>Nouvelle Histoire du Moyen Âge</w:t>
      </w:r>
      <w:r w:rsidRPr="009A2468">
        <w:rPr>
          <w:rFonts w:ascii="Cambria" w:hAnsi="Cambria"/>
          <w:b w:val="0"/>
          <w:sz w:val="22"/>
        </w:rPr>
        <w:t>, Paris, Seuil, 2021, p. 423-437. DOI : 10.3917/ls.mazel.2021.01.0423.</w:t>
      </w:r>
    </w:p>
    <w:p w14:paraId="3C8DBF06" w14:textId="77777777" w:rsidR="00784198" w:rsidRPr="009A2468" w:rsidRDefault="00784198" w:rsidP="00784198">
      <w:pPr>
        <w:numPr>
          <w:ilvl w:val="0"/>
          <w:numId w:val="40"/>
        </w:numPr>
        <w:tabs>
          <w:tab w:val="clear" w:pos="720"/>
          <w:tab w:val="left" w:pos="0"/>
        </w:tabs>
        <w:suppressAutoHyphens/>
        <w:jc w:val="both"/>
        <w:rPr>
          <w:rFonts w:ascii="Cambria" w:hAnsi="Cambria"/>
          <w:b w:val="0"/>
          <w:sz w:val="22"/>
        </w:rPr>
      </w:pPr>
      <w:r w:rsidRPr="009A2468">
        <w:rPr>
          <w:rFonts w:ascii="Cambria" w:hAnsi="Cambria"/>
          <w:b w:val="0"/>
          <w:sz w:val="22"/>
        </w:rPr>
        <w:t xml:space="preserve">WEILL-PAROT, Nicolas, </w:t>
      </w:r>
      <w:r w:rsidRPr="009A2468">
        <w:rPr>
          <w:rFonts w:ascii="Cambria" w:hAnsi="Cambria"/>
          <w:b w:val="0"/>
          <w:i/>
          <w:sz w:val="22"/>
        </w:rPr>
        <w:t>Le vol dans les airs au Moyen Âge : essai historique sur une utopie scientifique</w:t>
      </w:r>
      <w:r w:rsidRPr="009A2468">
        <w:rPr>
          <w:rFonts w:ascii="Cambria" w:hAnsi="Cambria"/>
          <w:b w:val="0"/>
          <w:sz w:val="22"/>
        </w:rPr>
        <w:t xml:space="preserve">, Paris, Les Belles Lettres, 2020. </w:t>
      </w:r>
    </w:p>
    <w:p w14:paraId="2BDBC3C1" w14:textId="77777777" w:rsidR="002455A3" w:rsidRDefault="002455A3" w:rsidP="005C1F49">
      <w:pPr>
        <w:pStyle w:val="PrformatHTML"/>
        <w:spacing w:after="0" w:line="276" w:lineRule="auto"/>
        <w:contextualSpacing/>
        <w:rPr>
          <w:rFonts w:ascii="Cambria" w:hAnsi="Cambria"/>
          <w:b/>
          <w:i/>
          <w:color w:val="C00000"/>
          <w:sz w:val="28"/>
          <w:szCs w:val="24"/>
        </w:rPr>
      </w:pPr>
    </w:p>
    <w:p w14:paraId="374219F5" w14:textId="77777777" w:rsidR="009A2468" w:rsidRDefault="009A2468" w:rsidP="005C1F49">
      <w:pPr>
        <w:pStyle w:val="PrformatHTML"/>
        <w:spacing w:after="0" w:line="276" w:lineRule="auto"/>
        <w:contextualSpacing/>
        <w:rPr>
          <w:rFonts w:ascii="Cambria" w:hAnsi="Cambria"/>
          <w:b/>
          <w:i/>
          <w:color w:val="C00000"/>
          <w:sz w:val="28"/>
          <w:szCs w:val="24"/>
        </w:rPr>
      </w:pPr>
    </w:p>
    <w:p w14:paraId="2EF1953E" w14:textId="77777777" w:rsidR="009A2468" w:rsidRDefault="009A2468" w:rsidP="005C1F49">
      <w:pPr>
        <w:pStyle w:val="PrformatHTML"/>
        <w:spacing w:after="0" w:line="276" w:lineRule="auto"/>
        <w:contextualSpacing/>
        <w:rPr>
          <w:rFonts w:ascii="Cambria" w:hAnsi="Cambria"/>
          <w:b/>
          <w:i/>
          <w:color w:val="C00000"/>
          <w:sz w:val="28"/>
          <w:szCs w:val="24"/>
        </w:rPr>
      </w:pPr>
    </w:p>
    <w:p w14:paraId="1DCDCB38" w14:textId="77777777" w:rsidR="009A2468" w:rsidRDefault="009A2468" w:rsidP="005C1F49">
      <w:pPr>
        <w:pStyle w:val="PrformatHTML"/>
        <w:spacing w:after="0" w:line="276" w:lineRule="auto"/>
        <w:contextualSpacing/>
        <w:rPr>
          <w:rFonts w:ascii="Cambria" w:hAnsi="Cambria"/>
          <w:b/>
          <w:i/>
          <w:color w:val="C00000"/>
          <w:sz w:val="28"/>
          <w:szCs w:val="24"/>
        </w:rPr>
      </w:pPr>
    </w:p>
    <w:p w14:paraId="5D8AC9C5" w14:textId="77777777" w:rsidR="009A2468" w:rsidRDefault="009A2468" w:rsidP="005C1F49">
      <w:pPr>
        <w:pStyle w:val="PrformatHTML"/>
        <w:spacing w:after="0" w:line="276" w:lineRule="auto"/>
        <w:contextualSpacing/>
        <w:rPr>
          <w:rFonts w:ascii="Cambria" w:hAnsi="Cambria"/>
          <w:b/>
          <w:i/>
          <w:color w:val="C00000"/>
          <w:sz w:val="28"/>
          <w:szCs w:val="24"/>
        </w:rPr>
      </w:pPr>
    </w:p>
    <w:p w14:paraId="25CC1ADD" w14:textId="77777777" w:rsidR="009A2468" w:rsidRDefault="009A2468" w:rsidP="005C1F49">
      <w:pPr>
        <w:pStyle w:val="PrformatHTML"/>
        <w:spacing w:after="0" w:line="276" w:lineRule="auto"/>
        <w:contextualSpacing/>
        <w:rPr>
          <w:rFonts w:ascii="Cambria" w:hAnsi="Cambria"/>
          <w:b/>
          <w:i/>
          <w:color w:val="C00000"/>
          <w:sz w:val="28"/>
          <w:szCs w:val="24"/>
        </w:rPr>
      </w:pPr>
    </w:p>
    <w:p w14:paraId="0F8E64BB" w14:textId="77777777" w:rsidR="009A2468" w:rsidRDefault="009A2468" w:rsidP="005C1F49">
      <w:pPr>
        <w:pStyle w:val="PrformatHTML"/>
        <w:spacing w:after="0" w:line="276" w:lineRule="auto"/>
        <w:contextualSpacing/>
        <w:rPr>
          <w:rFonts w:ascii="Cambria" w:hAnsi="Cambria"/>
          <w:b/>
          <w:i/>
          <w:color w:val="C00000"/>
          <w:sz w:val="28"/>
          <w:szCs w:val="24"/>
        </w:rPr>
      </w:pPr>
    </w:p>
    <w:p w14:paraId="79DE25B5" w14:textId="77777777" w:rsidR="009A2468" w:rsidRDefault="009A2468" w:rsidP="005C1F49">
      <w:pPr>
        <w:pStyle w:val="PrformatHTML"/>
        <w:spacing w:after="0" w:line="276" w:lineRule="auto"/>
        <w:contextualSpacing/>
        <w:rPr>
          <w:rFonts w:ascii="Cambria" w:hAnsi="Cambria"/>
          <w:b/>
          <w:i/>
          <w:color w:val="C00000"/>
          <w:sz w:val="28"/>
          <w:szCs w:val="24"/>
        </w:rPr>
      </w:pPr>
    </w:p>
    <w:p w14:paraId="3629BAA3" w14:textId="77777777" w:rsidR="009A2468" w:rsidRDefault="009A2468" w:rsidP="005C1F49">
      <w:pPr>
        <w:pStyle w:val="PrformatHTML"/>
        <w:spacing w:after="0" w:line="276" w:lineRule="auto"/>
        <w:contextualSpacing/>
        <w:rPr>
          <w:rFonts w:ascii="Cambria" w:hAnsi="Cambria"/>
          <w:b/>
          <w:i/>
          <w:color w:val="C00000"/>
          <w:sz w:val="28"/>
          <w:szCs w:val="24"/>
        </w:rPr>
      </w:pPr>
    </w:p>
    <w:p w14:paraId="1747CD27" w14:textId="77777777" w:rsidR="009A2468" w:rsidRDefault="009A2468" w:rsidP="005C1F49">
      <w:pPr>
        <w:pStyle w:val="PrformatHTML"/>
        <w:spacing w:after="0" w:line="276" w:lineRule="auto"/>
        <w:contextualSpacing/>
        <w:rPr>
          <w:rFonts w:ascii="Cambria" w:hAnsi="Cambria"/>
          <w:b/>
          <w:i/>
          <w:color w:val="C00000"/>
          <w:sz w:val="28"/>
          <w:szCs w:val="24"/>
        </w:rPr>
      </w:pPr>
    </w:p>
    <w:p w14:paraId="723C5192" w14:textId="77777777" w:rsidR="009A2468" w:rsidRPr="00DF1F54" w:rsidRDefault="009A2468" w:rsidP="005C1F49">
      <w:pPr>
        <w:pStyle w:val="PrformatHTML"/>
        <w:spacing w:after="0" w:line="276" w:lineRule="auto"/>
        <w:contextualSpacing/>
        <w:rPr>
          <w:rFonts w:ascii="Cambria" w:hAnsi="Cambria"/>
          <w:b/>
          <w:i/>
          <w:color w:val="C00000"/>
          <w:sz w:val="28"/>
          <w:szCs w:val="24"/>
        </w:rPr>
      </w:pPr>
    </w:p>
    <w:p w14:paraId="1A26FB07" w14:textId="77777777" w:rsidR="00CD26B7" w:rsidRPr="00DF1F54" w:rsidRDefault="00CD26B7" w:rsidP="005C1F49">
      <w:pPr>
        <w:pStyle w:val="PrformatHTML"/>
        <w:spacing w:after="0" w:line="276" w:lineRule="auto"/>
        <w:contextualSpacing/>
        <w:rPr>
          <w:rFonts w:ascii="Cambria" w:hAnsi="Cambria"/>
          <w:b/>
          <w:i/>
          <w:color w:val="C00000"/>
          <w:sz w:val="28"/>
          <w:szCs w:val="24"/>
        </w:rPr>
      </w:pPr>
    </w:p>
    <w:p w14:paraId="5B40D038" w14:textId="6B695420" w:rsidR="00E94CB3" w:rsidRPr="00DF1F54" w:rsidRDefault="00651C30" w:rsidP="00952932">
      <w:pPr>
        <w:pStyle w:val="PrformatHTML"/>
        <w:spacing w:after="0" w:line="276" w:lineRule="auto"/>
        <w:contextualSpacing/>
        <w:jc w:val="center"/>
        <w:rPr>
          <w:rFonts w:ascii="Cambria" w:hAnsi="Cambria"/>
          <w:b/>
          <w:i/>
          <w:color w:val="C00000"/>
          <w:sz w:val="28"/>
          <w:szCs w:val="24"/>
        </w:rPr>
      </w:pPr>
      <w:r w:rsidRPr="00DF1F54">
        <w:rPr>
          <w:rFonts w:ascii="Cambria" w:hAnsi="Cambria"/>
          <w:b/>
          <w:i/>
          <w:color w:val="C00000"/>
          <w:sz w:val="28"/>
          <w:szCs w:val="24"/>
        </w:rPr>
        <w:t>J30</w:t>
      </w:r>
      <w:r w:rsidR="009D1739" w:rsidRPr="00DF1F54">
        <w:rPr>
          <w:rFonts w:ascii="Cambria" w:hAnsi="Cambria"/>
          <w:b/>
          <w:i/>
          <w:color w:val="C00000"/>
          <w:sz w:val="28"/>
          <w:szCs w:val="24"/>
        </w:rPr>
        <w:t>14525</w:t>
      </w:r>
      <w:r w:rsidRPr="00DF1F54">
        <w:rPr>
          <w:rFonts w:ascii="Cambria" w:hAnsi="Cambria"/>
          <w:b/>
          <w:i/>
          <w:color w:val="C00000"/>
          <w:sz w:val="28"/>
          <w:szCs w:val="24"/>
        </w:rPr>
        <w:t>/J30</w:t>
      </w:r>
      <w:r w:rsidR="009D1739" w:rsidRPr="00DF1F54">
        <w:rPr>
          <w:rFonts w:ascii="Cambria" w:hAnsi="Cambria"/>
          <w:b/>
          <w:i/>
          <w:color w:val="C00000"/>
          <w:sz w:val="28"/>
          <w:szCs w:val="24"/>
        </w:rPr>
        <w:t>14625</w:t>
      </w:r>
      <w:r w:rsidR="00E94CB3" w:rsidRPr="00DF1F54">
        <w:rPr>
          <w:rFonts w:ascii="Cambria" w:hAnsi="Cambria"/>
          <w:b/>
          <w:i/>
          <w:color w:val="C00000"/>
          <w:sz w:val="28"/>
          <w:szCs w:val="24"/>
        </w:rPr>
        <w:t xml:space="preserve"> : Histoire </w:t>
      </w:r>
      <w:r w:rsidR="001A22F8" w:rsidRPr="00DF1F54">
        <w:rPr>
          <w:rFonts w:ascii="Cambria" w:hAnsi="Cambria"/>
          <w:b/>
          <w:i/>
          <w:color w:val="C00000"/>
          <w:sz w:val="28"/>
          <w:szCs w:val="24"/>
        </w:rPr>
        <w:t>sociale et culturelle de l’Occident latin</w:t>
      </w:r>
      <w:r w:rsidR="00382548" w:rsidRPr="00DF1F54">
        <w:rPr>
          <w:rFonts w:ascii="Cambria" w:hAnsi="Cambria"/>
          <w:b/>
          <w:i/>
          <w:color w:val="C00000"/>
          <w:sz w:val="28"/>
          <w:szCs w:val="24"/>
        </w:rPr>
        <w:t xml:space="preserve"> </w:t>
      </w:r>
      <w:r w:rsidR="001A22F8" w:rsidRPr="00DF1F54">
        <w:rPr>
          <w:rFonts w:ascii="Cambria" w:hAnsi="Cambria"/>
          <w:b/>
          <w:i/>
          <w:color w:val="C00000"/>
          <w:sz w:val="28"/>
          <w:szCs w:val="24"/>
        </w:rPr>
        <w:t>(XIIe-XVe siècles)</w:t>
      </w:r>
    </w:p>
    <w:p w14:paraId="3FD5D940" w14:textId="77777777" w:rsidR="00364AF9" w:rsidRPr="00DF1F54" w:rsidRDefault="00364AF9" w:rsidP="00952932">
      <w:pPr>
        <w:pStyle w:val="PrformatHTML"/>
        <w:spacing w:after="0" w:line="276" w:lineRule="auto"/>
        <w:contextualSpacing/>
        <w:jc w:val="center"/>
        <w:rPr>
          <w:rFonts w:ascii="Cambria" w:hAnsi="Cambria"/>
          <w:b/>
          <w:i/>
          <w:color w:val="C00000"/>
          <w:sz w:val="28"/>
          <w:szCs w:val="24"/>
        </w:rPr>
      </w:pPr>
    </w:p>
    <w:p w14:paraId="6080EB41" w14:textId="7D5F30DA" w:rsidR="00E94CB3" w:rsidRPr="00DF1F54" w:rsidRDefault="002111FD" w:rsidP="00952932">
      <w:pPr>
        <w:spacing w:after="0" w:line="276" w:lineRule="auto"/>
        <w:contextualSpacing/>
        <w:jc w:val="center"/>
        <w:rPr>
          <w:rFonts w:ascii="Cambria" w:hAnsi="Cambria"/>
          <w:sz w:val="22"/>
        </w:rPr>
      </w:pPr>
      <w:r w:rsidRPr="00DF1F54">
        <w:rPr>
          <w:rFonts w:ascii="Cambria" w:hAnsi="Cambria"/>
          <w:sz w:val="22"/>
        </w:rPr>
        <w:t>François Foronda (CM), Patrice Delivré (TD)</w:t>
      </w:r>
    </w:p>
    <w:p w14:paraId="1BF1AE17" w14:textId="77777777" w:rsidR="0086174F" w:rsidRPr="00DF1F54" w:rsidRDefault="0086174F"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21B05B3C" w14:textId="77777777" w:rsidR="0058582D" w:rsidRPr="00DF1F54" w:rsidRDefault="0058582D"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324252C2" w14:textId="6198241D" w:rsidR="004564CE" w:rsidRPr="002D408A" w:rsidRDefault="002111FD" w:rsidP="002111FD">
      <w:pPr>
        <w:spacing w:after="0" w:line="240" w:lineRule="auto"/>
        <w:rPr>
          <w:rFonts w:ascii="Cambria" w:eastAsia="Calibri" w:hAnsi="Cambria" w:cs="Times New Roman"/>
          <w:bCs/>
          <w:color w:val="C00000"/>
          <w:sz w:val="22"/>
          <w:lang w:eastAsia="en-US"/>
          <w14:ligatures w14:val="standardContextual"/>
        </w:rPr>
      </w:pPr>
      <w:r w:rsidRPr="002D408A">
        <w:rPr>
          <w:rFonts w:ascii="Cambria" w:eastAsia="Calibri" w:hAnsi="Cambria" w:cs="Times New Roman"/>
          <w:bCs/>
          <w:color w:val="C00000"/>
          <w:sz w:val="22"/>
          <w:u w:val="single"/>
          <w:lang w:eastAsia="en-US"/>
          <w14:ligatures w14:val="standardContextual"/>
        </w:rPr>
        <w:t>Sujet du cours</w:t>
      </w:r>
      <w:r w:rsidRPr="002D408A">
        <w:rPr>
          <w:rFonts w:ascii="Cambria" w:eastAsia="Calibri" w:hAnsi="Cambria" w:cs="Times New Roman"/>
          <w:bCs/>
          <w:color w:val="C00000"/>
          <w:sz w:val="22"/>
          <w:lang w:eastAsia="en-US"/>
          <w14:ligatures w14:val="standardContextual"/>
        </w:rPr>
        <w:t xml:space="preserve"> : </w:t>
      </w:r>
      <w:r w:rsidR="004564CE" w:rsidRPr="002D408A">
        <w:rPr>
          <w:rFonts w:ascii="Cambria" w:eastAsia="Calibri" w:hAnsi="Cambria" w:cs="Times New Roman"/>
          <w:bCs/>
          <w:color w:val="C00000"/>
          <w:sz w:val="22"/>
          <w:lang w:eastAsia="en-US"/>
          <w14:ligatures w14:val="standardContextual"/>
        </w:rPr>
        <w:t>Les sociétés rêvées en Occident (XII</w:t>
      </w:r>
      <w:r w:rsidR="004564CE" w:rsidRPr="002D408A">
        <w:rPr>
          <w:rFonts w:ascii="Cambria" w:eastAsia="Calibri" w:hAnsi="Cambria" w:cs="Times New Roman"/>
          <w:bCs/>
          <w:color w:val="C00000"/>
          <w:sz w:val="22"/>
          <w:vertAlign w:val="superscript"/>
          <w:lang w:eastAsia="en-US"/>
          <w14:ligatures w14:val="standardContextual"/>
        </w:rPr>
        <w:t>e</w:t>
      </w:r>
      <w:r w:rsidR="004564CE" w:rsidRPr="002D408A">
        <w:rPr>
          <w:rFonts w:ascii="Cambria" w:eastAsia="Calibri" w:hAnsi="Cambria" w:cs="Times New Roman"/>
          <w:bCs/>
          <w:color w:val="C00000"/>
          <w:sz w:val="22"/>
          <w:lang w:eastAsia="en-US"/>
          <w14:ligatures w14:val="standardContextual"/>
        </w:rPr>
        <w:t>-XV</w:t>
      </w:r>
      <w:r w:rsidR="004564CE" w:rsidRPr="002D408A">
        <w:rPr>
          <w:rFonts w:ascii="Cambria" w:eastAsia="Calibri" w:hAnsi="Cambria" w:cs="Times New Roman"/>
          <w:bCs/>
          <w:color w:val="C00000"/>
          <w:sz w:val="22"/>
          <w:vertAlign w:val="superscript"/>
          <w:lang w:eastAsia="en-US"/>
          <w14:ligatures w14:val="standardContextual"/>
        </w:rPr>
        <w:t>e</w:t>
      </w:r>
      <w:r w:rsidR="004564CE" w:rsidRPr="002D408A">
        <w:rPr>
          <w:rFonts w:ascii="Cambria" w:eastAsia="Calibri" w:hAnsi="Cambria" w:cs="Times New Roman"/>
          <w:bCs/>
          <w:color w:val="C00000"/>
          <w:sz w:val="22"/>
          <w:lang w:eastAsia="en-US"/>
          <w14:ligatures w14:val="standardContextual"/>
        </w:rPr>
        <w:t> siècle)</w:t>
      </w:r>
    </w:p>
    <w:p w14:paraId="5FFEAE8C" w14:textId="77777777" w:rsidR="00417511" w:rsidRPr="00DF1F54" w:rsidRDefault="00417511" w:rsidP="00417511">
      <w:pPr>
        <w:spacing w:before="120"/>
        <w:ind w:firstLine="284"/>
        <w:jc w:val="both"/>
        <w:rPr>
          <w:rFonts w:ascii="Cambria" w:hAnsi="Cambria" w:cs="Times New Roman"/>
          <w:b w:val="0"/>
          <w:bCs/>
          <w:sz w:val="22"/>
        </w:rPr>
      </w:pPr>
      <w:r w:rsidRPr="00DF1F54">
        <w:rPr>
          <w:rFonts w:ascii="Cambria" w:hAnsi="Cambria" w:cs="Times New Roman"/>
          <w:b w:val="0"/>
          <w:bCs/>
          <w:sz w:val="22"/>
        </w:rPr>
        <w:t xml:space="preserve">Les médiévaux n'ont pas attendu l'invention de l'île d'Utopie par Thomas More en 1516 pour commencer à rêver de la meilleure forme de communauté politique. En inventant ce non-lieu d'autres possibles sociaux et politiques, Thomas More subvertit le genre de la littérature de voyage, profondément travaillé depuis ses plus populaires jalons médiévaux par la tension entre réalité et imaginaire, et le transport, ailleurs, d'autres devenirs possibles. Inventer l'ailleurs pour rêver d'ici ! Cette invention ne se joue cependant pas seulement dans une littérature du voyage. Bien d'autres genres se prêtent à l'exploration, en particulier tous ceux qui trouvent dans une vision ou encore un songe le principe de leur construction métaphorique et allégorique, puis de leur développement narratif. Si la mise en relation avec l'au-delà par le songe rend prédominante la vision d'une cité céleste pendant une bonne part du Moyen Âge, les peurs et les aspirations engendrées ici-bas, dans une communauté désormais politisée et ouverte à la spéculation idéologique comme pratique à propos de la meilleure forme de gouvernement, font émerger des rêves d'autres sociétés civiles et parfois même des projets de cités idéales. En définitive, les sociétés rêvées viennent confirmer la conscience qu'une communauté a d'elle-même et de son identité politique. Cet enseignement mènera une exploration des sociétés rêvées en Occident en croisant, par l'anthropologie notamment, deux fils directeurs : d'une part une histoire de l'Europe politique et, d'autre part, une histoire des productions culturelles. Le premier semestre sera dédié à explorer le laboratoire utopique médiéval et le second semestre, autour du </w:t>
      </w:r>
      <w:r w:rsidRPr="00DF1F54">
        <w:rPr>
          <w:rFonts w:ascii="Cambria" w:hAnsi="Cambria" w:cs="Times New Roman"/>
          <w:b w:val="0"/>
          <w:bCs/>
          <w:i/>
          <w:iCs/>
          <w:sz w:val="22"/>
        </w:rPr>
        <w:t>Songe du vieux pèlerin</w:t>
      </w:r>
      <w:r w:rsidRPr="00DF1F54">
        <w:rPr>
          <w:rFonts w:ascii="Cambria" w:hAnsi="Cambria" w:cs="Times New Roman"/>
          <w:b w:val="0"/>
          <w:bCs/>
          <w:sz w:val="22"/>
        </w:rPr>
        <w:t xml:space="preserve"> de Philippe de Mézières, à réaliser un tour d’Europe du rêve d’une société réformée. </w:t>
      </w:r>
    </w:p>
    <w:p w14:paraId="356D99D8" w14:textId="64C47663" w:rsidR="004564CE" w:rsidRPr="00DF1F54" w:rsidRDefault="004564CE" w:rsidP="004564CE">
      <w:pPr>
        <w:spacing w:before="120" w:after="0" w:line="240" w:lineRule="auto"/>
        <w:jc w:val="both"/>
        <w:rPr>
          <w:rFonts w:ascii="Cambria" w:eastAsia="Calibri" w:hAnsi="Cambria" w:cs="Times New Roman"/>
          <w:b w:val="0"/>
          <w:bCs/>
          <w:sz w:val="22"/>
          <w:lang w:eastAsia="en-US"/>
          <w14:ligatures w14:val="standardContextual"/>
        </w:rPr>
      </w:pPr>
    </w:p>
    <w:p w14:paraId="48B3C43E" w14:textId="77777777" w:rsidR="004564CE" w:rsidRPr="00DF1F54" w:rsidRDefault="004564CE" w:rsidP="004564CE">
      <w:pPr>
        <w:spacing w:after="0" w:line="240" w:lineRule="auto"/>
        <w:jc w:val="both"/>
        <w:rPr>
          <w:rFonts w:ascii="Cambria" w:eastAsia="Calibri" w:hAnsi="Cambria" w:cs="Times New Roman"/>
          <w:b w:val="0"/>
          <w:bCs/>
          <w:sz w:val="22"/>
          <w:lang w:eastAsia="en-US"/>
          <w14:ligatures w14:val="standardContextual"/>
        </w:rPr>
      </w:pPr>
    </w:p>
    <w:p w14:paraId="6A13E98B" w14:textId="77777777" w:rsidR="004564CE" w:rsidRPr="00DF1F54" w:rsidRDefault="004564CE" w:rsidP="004564CE">
      <w:pPr>
        <w:spacing w:after="0" w:line="240" w:lineRule="auto"/>
        <w:jc w:val="both"/>
        <w:rPr>
          <w:rFonts w:ascii="Cambria" w:eastAsia="Calibri" w:hAnsi="Cambria" w:cs="Times New Roman"/>
          <w:b w:val="0"/>
          <w:bCs/>
          <w:sz w:val="22"/>
          <w:lang w:eastAsia="en-US"/>
          <w14:ligatures w14:val="standardContextual"/>
        </w:rPr>
      </w:pPr>
    </w:p>
    <w:p w14:paraId="4982EC49" w14:textId="77777777" w:rsidR="007906DE" w:rsidRPr="00DF1F54" w:rsidRDefault="007906DE" w:rsidP="004564CE">
      <w:pPr>
        <w:spacing w:after="0" w:line="240" w:lineRule="auto"/>
        <w:jc w:val="both"/>
        <w:rPr>
          <w:rFonts w:ascii="Cambria" w:eastAsia="Calibri" w:hAnsi="Cambria" w:cs="Times New Roman"/>
          <w:b w:val="0"/>
          <w:bCs/>
          <w:sz w:val="22"/>
          <w:lang w:eastAsia="en-US"/>
          <w14:ligatures w14:val="standardContextual"/>
        </w:rPr>
      </w:pPr>
    </w:p>
    <w:p w14:paraId="714ECBBC" w14:textId="77777777" w:rsidR="007906DE" w:rsidRPr="00DF1F54" w:rsidRDefault="007906DE" w:rsidP="004564CE">
      <w:pPr>
        <w:spacing w:after="0" w:line="240" w:lineRule="auto"/>
        <w:jc w:val="both"/>
        <w:rPr>
          <w:rFonts w:ascii="Cambria" w:eastAsia="Calibri" w:hAnsi="Cambria" w:cs="Times New Roman"/>
          <w:b w:val="0"/>
          <w:bCs/>
          <w:sz w:val="22"/>
          <w:lang w:eastAsia="en-US"/>
          <w14:ligatures w14:val="standardContextual"/>
        </w:rPr>
      </w:pPr>
    </w:p>
    <w:p w14:paraId="3D22D128" w14:textId="77777777" w:rsidR="008504DF" w:rsidRPr="00DF1F54" w:rsidRDefault="008504DF" w:rsidP="004564CE">
      <w:pPr>
        <w:spacing w:after="0" w:line="240" w:lineRule="auto"/>
        <w:jc w:val="both"/>
        <w:rPr>
          <w:rFonts w:ascii="Cambria" w:eastAsia="Calibri" w:hAnsi="Cambria" w:cs="Times New Roman"/>
          <w:b w:val="0"/>
          <w:sz w:val="22"/>
          <w:lang w:eastAsia="en-US"/>
          <w14:ligatures w14:val="standardContextual"/>
        </w:rPr>
      </w:pPr>
    </w:p>
    <w:p w14:paraId="6AAD011F"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Jalons bibliographiques</w:t>
      </w:r>
    </w:p>
    <w:p w14:paraId="0A11040B"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Semestre 1 – Le Laboratoire utopique médiéval</w:t>
      </w:r>
    </w:p>
    <w:p w14:paraId="49D4BE30"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 xml:space="preserve">Christiane. Marchello-Nizia, « Entre l’histoire et la poétique : le “songe politique” », </w:t>
      </w:r>
      <w:r w:rsidRPr="00B47C02">
        <w:rPr>
          <w:rStyle w:val="Accentuation"/>
          <w:rFonts w:ascii="Cambria" w:hAnsi="Cambria"/>
          <w:b w:val="0"/>
          <w:sz w:val="22"/>
        </w:rPr>
        <w:t>Revue des sciences humaines</w:t>
      </w:r>
      <w:r w:rsidRPr="00B47C02">
        <w:rPr>
          <w:rFonts w:ascii="Cambria" w:hAnsi="Cambria" w:cs="Times New Roman"/>
          <w:b w:val="0"/>
          <w:sz w:val="22"/>
        </w:rPr>
        <w:t xml:space="preserve">, 183/3, </w:t>
      </w:r>
      <w:r w:rsidRPr="00B47C02">
        <w:rPr>
          <w:rStyle w:val="Accentuation"/>
          <w:rFonts w:ascii="Cambria" w:hAnsi="Cambria"/>
          <w:b w:val="0"/>
          <w:sz w:val="22"/>
        </w:rPr>
        <w:t xml:space="preserve">Moyen Âge flambant : </w:t>
      </w:r>
      <w:r w:rsidRPr="00B47C02">
        <w:rPr>
          <w:rStyle w:val="Accentuation"/>
          <w:rFonts w:ascii="Cambria" w:hAnsi="Cambria"/>
          <w:b w:val="0"/>
          <w:smallCaps/>
          <w:sz w:val="22"/>
        </w:rPr>
        <w:t>xiv</w:t>
      </w:r>
      <w:r w:rsidRPr="00B47C02">
        <w:rPr>
          <w:rStyle w:val="Accentuation"/>
          <w:rFonts w:ascii="Cambria" w:hAnsi="Cambria"/>
          <w:b w:val="0"/>
          <w:sz w:val="22"/>
          <w:vertAlign w:val="superscript"/>
        </w:rPr>
        <w:t>e</w:t>
      </w:r>
      <w:r w:rsidRPr="00B47C02">
        <w:rPr>
          <w:rFonts w:ascii="Cambria" w:hAnsi="Cambria" w:cs="Times New Roman"/>
          <w:b w:val="0"/>
          <w:sz w:val="22"/>
        </w:rPr>
        <w:t>–</w:t>
      </w:r>
      <w:r w:rsidRPr="00B47C02">
        <w:rPr>
          <w:rStyle w:val="Accentuation"/>
          <w:rFonts w:ascii="Cambria" w:hAnsi="Cambria"/>
          <w:b w:val="0"/>
          <w:smallCaps/>
          <w:sz w:val="22"/>
        </w:rPr>
        <w:t>xv</w:t>
      </w:r>
      <w:r w:rsidRPr="00B47C02">
        <w:rPr>
          <w:rStyle w:val="Accentuation"/>
          <w:rFonts w:ascii="Cambria" w:hAnsi="Cambria"/>
          <w:b w:val="0"/>
          <w:sz w:val="22"/>
          <w:vertAlign w:val="superscript"/>
        </w:rPr>
        <w:t>e</w:t>
      </w:r>
      <w:r w:rsidRPr="00B47C02">
        <w:rPr>
          <w:rStyle w:val="Accentuation"/>
          <w:rFonts w:ascii="Cambria" w:hAnsi="Cambria"/>
          <w:b w:val="0"/>
          <w:sz w:val="22"/>
        </w:rPr>
        <w:t> siècles</w:t>
      </w:r>
      <w:r w:rsidRPr="00B47C02">
        <w:rPr>
          <w:rFonts w:ascii="Cambria" w:hAnsi="Cambria" w:cs="Times New Roman"/>
          <w:b w:val="0"/>
          <w:sz w:val="22"/>
        </w:rPr>
        <w:t>, 1981, pp. 39-53.</w:t>
      </w:r>
    </w:p>
    <w:p w14:paraId="01910704"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 xml:space="preserve">Jacques Le Goff, « L’utopie médiévale : le pays de Cocagne », </w:t>
      </w:r>
      <w:r w:rsidRPr="00B47C02">
        <w:rPr>
          <w:rFonts w:ascii="Cambria" w:hAnsi="Cambria" w:cs="Times New Roman"/>
          <w:b w:val="0"/>
          <w:i/>
          <w:iCs/>
          <w:sz w:val="22"/>
        </w:rPr>
        <w:t>Revue européenne des sciences sociales</w:t>
      </w:r>
      <w:r w:rsidRPr="00B47C02">
        <w:rPr>
          <w:rFonts w:ascii="Cambria" w:hAnsi="Cambria" w:cs="Times New Roman"/>
          <w:b w:val="0"/>
          <w:sz w:val="22"/>
        </w:rPr>
        <w:t>, 27/85, 1989, pp. 277-286.</w:t>
      </w:r>
    </w:p>
    <w:p w14:paraId="33C6D42F"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Hilário Franco, « La construction d'une utopie : l'Empire de Prêtre Jean », 23, 1997, pp. 211-225.</w:t>
      </w:r>
    </w:p>
    <w:p w14:paraId="6DC6DD99"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i/>
          <w:iCs/>
          <w:sz w:val="22"/>
        </w:rPr>
        <w:t>Utopie. La quête de la société idéale en Occident</w:t>
      </w:r>
      <w:r w:rsidRPr="00B47C02">
        <w:rPr>
          <w:rFonts w:ascii="Cambria" w:hAnsi="Cambria" w:cs="Times New Roman"/>
          <w:b w:val="0"/>
          <w:sz w:val="22"/>
        </w:rPr>
        <w:t>, dir. Roland Schaer et Lyman Tower Sargent, Paris, Éditions de la BNF, 2000 [</w:t>
      </w:r>
      <w:hyperlink r:id="rId19" w:history="1">
        <w:r w:rsidRPr="00B47C02">
          <w:rPr>
            <w:rStyle w:val="Lienhypertexte"/>
            <w:rFonts w:ascii="Cambria" w:hAnsi="Cambria" w:cs="Times New Roman"/>
            <w:b w:val="0"/>
            <w:sz w:val="22"/>
          </w:rPr>
          <w:t>dossier web BnF</w:t>
        </w:r>
      </w:hyperlink>
      <w:r w:rsidRPr="00B47C02">
        <w:rPr>
          <w:rFonts w:ascii="Cambria" w:hAnsi="Cambria" w:cs="Times New Roman"/>
          <w:b w:val="0"/>
          <w:sz w:val="22"/>
        </w:rPr>
        <w:t>]</w:t>
      </w:r>
    </w:p>
    <w:p w14:paraId="013029B7"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i/>
          <w:iCs/>
          <w:sz w:val="22"/>
        </w:rPr>
        <w:t>En quête d'utopies</w:t>
      </w:r>
      <w:r w:rsidRPr="00B47C02">
        <w:rPr>
          <w:rFonts w:ascii="Cambria" w:hAnsi="Cambria" w:cs="Times New Roman"/>
          <w:b w:val="0"/>
          <w:sz w:val="22"/>
        </w:rPr>
        <w:t>, éd. D. James-Raoul et Cl. Thomasset, Paris, 2004.</w:t>
      </w:r>
    </w:p>
    <w:p w14:paraId="2FBCF55F"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Semestre 2 – Autour de Philippe de Mézières, le rêve d’une autre société</w:t>
      </w:r>
    </w:p>
    <w:p w14:paraId="7F1E1793" w14:textId="77777777" w:rsidR="00417511" w:rsidRPr="00B47C02" w:rsidRDefault="00417511" w:rsidP="00417511">
      <w:pPr>
        <w:jc w:val="both"/>
        <w:rPr>
          <w:rFonts w:ascii="Cambria" w:hAnsi="Cambria" w:cs="Times New Roman"/>
          <w:b w:val="0"/>
          <w:color w:val="000000" w:themeColor="text1"/>
          <w:sz w:val="22"/>
        </w:rPr>
      </w:pPr>
      <w:r w:rsidRPr="00B47C02">
        <w:rPr>
          <w:rFonts w:ascii="Cambria" w:hAnsi="Cambria" w:cs="Times New Roman"/>
          <w:b w:val="0"/>
          <w:color w:val="000000" w:themeColor="text1"/>
          <w:sz w:val="22"/>
        </w:rPr>
        <w:t xml:space="preserve">Philippe de Mézières, </w:t>
      </w:r>
      <w:r w:rsidRPr="00B47C02">
        <w:rPr>
          <w:rStyle w:val="Accentuation"/>
          <w:rFonts w:ascii="Cambria" w:hAnsi="Cambria"/>
          <w:b w:val="0"/>
          <w:color w:val="000000" w:themeColor="text1"/>
          <w:sz w:val="22"/>
        </w:rPr>
        <w:t>Songe du vieux pèlerin</w:t>
      </w:r>
      <w:r w:rsidRPr="00B47C02">
        <w:rPr>
          <w:rFonts w:ascii="Cambria" w:hAnsi="Cambria" w:cs="Times New Roman"/>
          <w:b w:val="0"/>
          <w:sz w:val="22"/>
        </w:rPr>
        <w:t xml:space="preserve">, </w:t>
      </w:r>
      <w:r w:rsidRPr="00B47C02">
        <w:rPr>
          <w:rFonts w:ascii="Cambria" w:hAnsi="Cambria" w:cs="Times New Roman"/>
          <w:b w:val="0"/>
          <w:color w:val="000000" w:themeColor="text1"/>
          <w:sz w:val="22"/>
        </w:rPr>
        <w:t>traduction de Joël Blanchard, Paris, Pocket, 2008.</w:t>
      </w:r>
    </w:p>
    <w:p w14:paraId="407B547B" w14:textId="77777777" w:rsidR="00417511" w:rsidRPr="00B47C02" w:rsidRDefault="00417511" w:rsidP="00417511">
      <w:pPr>
        <w:jc w:val="both"/>
        <w:rPr>
          <w:rFonts w:ascii="Cambria" w:hAnsi="Cambria" w:cs="Times New Roman"/>
          <w:b w:val="0"/>
          <w:color w:val="000000" w:themeColor="text1"/>
          <w:sz w:val="22"/>
        </w:rPr>
      </w:pPr>
      <w:r w:rsidRPr="00B47C02">
        <w:rPr>
          <w:rFonts w:ascii="Cambria" w:hAnsi="Cambria" w:cs="Times New Roman"/>
          <w:b w:val="0"/>
          <w:color w:val="000000" w:themeColor="text1"/>
          <w:sz w:val="22"/>
        </w:rPr>
        <w:t xml:space="preserve">Joël Blanchard, </w:t>
      </w:r>
      <w:r w:rsidRPr="00B47C02">
        <w:rPr>
          <w:rStyle w:val="Accentuation"/>
          <w:rFonts w:ascii="Cambria" w:hAnsi="Cambria"/>
          <w:b w:val="0"/>
          <w:color w:val="000000" w:themeColor="text1"/>
          <w:sz w:val="22"/>
        </w:rPr>
        <w:t>Philippe de Mézières. Un monde rêvé entre Orient et Occident</w:t>
      </w:r>
      <w:r w:rsidRPr="00B47C02">
        <w:rPr>
          <w:rFonts w:ascii="Cambria" w:hAnsi="Cambria" w:cs="Times New Roman"/>
          <w:b w:val="0"/>
          <w:color w:val="000000" w:themeColor="text1"/>
          <w:sz w:val="22"/>
        </w:rPr>
        <w:t>, Paris, Passés composés, 2024.</w:t>
      </w:r>
    </w:p>
    <w:p w14:paraId="5664CE78"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lang w:val="en-US"/>
        </w:rPr>
      </w:pPr>
      <w:r w:rsidRPr="00B47C02">
        <w:rPr>
          <w:rFonts w:ascii="Cambria" w:hAnsi="Cambria" w:cs="Times New Roman"/>
          <w:b w:val="0"/>
          <w:color w:val="000000" w:themeColor="text1"/>
          <w:sz w:val="22"/>
          <w:lang w:val="en-US"/>
        </w:rPr>
        <w:t>Renate Blumenfeld-Kosinski et Kiril Petkov (éd.), </w:t>
      </w:r>
      <w:r w:rsidRPr="00B47C02">
        <w:rPr>
          <w:rStyle w:val="Accentuation"/>
          <w:rFonts w:ascii="Cambria" w:hAnsi="Cambria"/>
          <w:b w:val="0"/>
          <w:color w:val="000000" w:themeColor="text1"/>
          <w:sz w:val="22"/>
          <w:lang w:val="en-US"/>
        </w:rPr>
        <w:t>Philippe de Mézières and His Age : Piety and Politics in the Fourteenth Century</w:t>
      </w:r>
      <w:r w:rsidRPr="00B47C02">
        <w:rPr>
          <w:rFonts w:ascii="Cambria" w:hAnsi="Cambria" w:cs="Times New Roman"/>
          <w:b w:val="0"/>
          <w:color w:val="000000" w:themeColor="text1"/>
          <w:sz w:val="22"/>
          <w:lang w:val="en-US"/>
        </w:rPr>
        <w:t>, Leiden, Brill, 2011.</w:t>
      </w:r>
    </w:p>
    <w:p w14:paraId="7451BEFC"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rPr>
      </w:pPr>
      <w:r w:rsidRPr="00B47C02">
        <w:rPr>
          <w:rFonts w:ascii="Cambria" w:hAnsi="Cambria" w:cs="Times New Roman"/>
          <w:b w:val="0"/>
          <w:color w:val="000000" w:themeColor="text1"/>
          <w:sz w:val="22"/>
        </w:rPr>
        <w:t xml:space="preserve">Joël Blanchard et Renate Blumenfeld-Kosinski (éd.), </w:t>
      </w:r>
      <w:r w:rsidRPr="00B47C02">
        <w:rPr>
          <w:rStyle w:val="Accentuation"/>
          <w:rFonts w:ascii="Cambria" w:hAnsi="Cambria"/>
          <w:b w:val="0"/>
          <w:color w:val="000000" w:themeColor="text1"/>
          <w:sz w:val="22"/>
        </w:rPr>
        <w:t>Philippe de Mézières et l'Europe : nouvelle histoire, nouveaux espaces, nouveaux langages</w:t>
      </w:r>
      <w:r w:rsidRPr="00B47C02">
        <w:rPr>
          <w:rFonts w:ascii="Cambria" w:hAnsi="Cambria" w:cs="Times New Roman"/>
          <w:b w:val="0"/>
          <w:color w:val="000000" w:themeColor="text1"/>
          <w:sz w:val="22"/>
        </w:rPr>
        <w:t>, Genève, Droz, 2017.</w:t>
      </w:r>
    </w:p>
    <w:p w14:paraId="7F18D13D"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rPr>
      </w:pPr>
      <w:r w:rsidRPr="00B47C02">
        <w:rPr>
          <w:rFonts w:ascii="Cambria" w:hAnsi="Cambria" w:cs="Times New Roman"/>
          <w:b w:val="0"/>
          <w:color w:val="000000" w:themeColor="text1"/>
          <w:sz w:val="22"/>
        </w:rPr>
        <w:t xml:space="preserve">Joël Blanchard, Renate Blumenfeld-Kosinski et Antoine Calvet (éd.), </w:t>
      </w:r>
      <w:r w:rsidRPr="00B47C02">
        <w:rPr>
          <w:rStyle w:val="Accentuation"/>
          <w:rFonts w:ascii="Cambria" w:hAnsi="Cambria"/>
          <w:b w:val="0"/>
          <w:color w:val="000000" w:themeColor="text1"/>
          <w:sz w:val="22"/>
        </w:rPr>
        <w:t>Philippe de Mézières, rhétorique et poétique</w:t>
      </w:r>
      <w:r w:rsidRPr="00B47C02">
        <w:rPr>
          <w:rFonts w:ascii="Cambria" w:hAnsi="Cambria" w:cs="Times New Roman"/>
          <w:b w:val="0"/>
          <w:sz w:val="22"/>
        </w:rPr>
        <w:t>,</w:t>
      </w:r>
      <w:r w:rsidRPr="00B47C02">
        <w:rPr>
          <w:rFonts w:ascii="Cambria" w:hAnsi="Cambria" w:cs="Times New Roman"/>
          <w:b w:val="0"/>
          <w:color w:val="000000" w:themeColor="text1"/>
          <w:sz w:val="22"/>
        </w:rPr>
        <w:t xml:space="preserve"> Genève, Droz, 2019.</w:t>
      </w:r>
    </w:p>
    <w:p w14:paraId="05A8CD17" w14:textId="77777777" w:rsidR="0058582D" w:rsidRPr="00B47C02" w:rsidRDefault="0058582D"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37D098FD" w14:textId="77777777" w:rsidR="0058582D" w:rsidRPr="00DF1F54" w:rsidRDefault="0058582D" w:rsidP="00F90673">
      <w:pPr>
        <w:suppressAutoHyphens/>
        <w:spacing w:after="0" w:line="240" w:lineRule="auto"/>
        <w:jc w:val="center"/>
        <w:textAlignment w:val="baseline"/>
        <w:rPr>
          <w:rFonts w:ascii="Cambria" w:eastAsia="Times New Roman" w:hAnsi="Cambria" w:cs="Times New Roman"/>
          <w:i/>
          <w:color w:val="C00000"/>
          <w:kern w:val="0"/>
          <w:sz w:val="22"/>
          <w:lang w:eastAsia="fr-FR"/>
        </w:rPr>
      </w:pPr>
    </w:p>
    <w:p w14:paraId="5889ED23" w14:textId="77777777" w:rsidR="0058582D" w:rsidRPr="00DF1F54" w:rsidRDefault="0058582D" w:rsidP="00F90673">
      <w:pPr>
        <w:suppressAutoHyphens/>
        <w:spacing w:after="0" w:line="240" w:lineRule="auto"/>
        <w:jc w:val="center"/>
        <w:textAlignment w:val="baseline"/>
        <w:rPr>
          <w:rFonts w:ascii="Cambria" w:eastAsia="Times New Roman" w:hAnsi="Cambria" w:cs="Times New Roman"/>
          <w:i/>
          <w:color w:val="C00000"/>
          <w:kern w:val="0"/>
          <w:sz w:val="22"/>
          <w:lang w:eastAsia="fr-FR"/>
        </w:rPr>
      </w:pPr>
    </w:p>
    <w:p w14:paraId="294FF35D" w14:textId="77777777" w:rsidR="00DF1F54" w:rsidRPr="00DF1F54" w:rsidRDefault="00DF1F54" w:rsidP="0063533C">
      <w:pPr>
        <w:suppressAutoHyphens/>
        <w:spacing w:after="0" w:line="240" w:lineRule="auto"/>
        <w:textAlignment w:val="baseline"/>
        <w:rPr>
          <w:rFonts w:ascii="Cambria" w:eastAsia="Times New Roman" w:hAnsi="Cambria" w:cs="Times New Roman"/>
          <w:i/>
          <w:color w:val="C00000"/>
          <w:kern w:val="0"/>
          <w:sz w:val="28"/>
          <w:szCs w:val="28"/>
          <w:lang w:eastAsia="fr-FR"/>
        </w:rPr>
      </w:pPr>
    </w:p>
    <w:p w14:paraId="4772A411" w14:textId="77777777" w:rsidR="008504DF" w:rsidRPr="00DF1F54" w:rsidRDefault="008504DF" w:rsidP="0063533C">
      <w:pPr>
        <w:suppressAutoHyphens/>
        <w:spacing w:after="0" w:line="240" w:lineRule="auto"/>
        <w:textAlignment w:val="baseline"/>
        <w:rPr>
          <w:rFonts w:ascii="Cambria" w:eastAsia="Times New Roman" w:hAnsi="Cambria" w:cs="Times New Roman"/>
          <w:i/>
          <w:color w:val="C00000"/>
          <w:kern w:val="0"/>
          <w:sz w:val="28"/>
          <w:szCs w:val="28"/>
          <w:lang w:eastAsia="fr-FR"/>
        </w:rPr>
      </w:pPr>
    </w:p>
    <w:p w14:paraId="2F319578" w14:textId="77777777" w:rsidR="00F90673" w:rsidRPr="00DF1F54" w:rsidRDefault="00651C30" w:rsidP="00F90673">
      <w:pPr>
        <w:suppressAutoHyphens/>
        <w:spacing w:after="0" w:line="240" w:lineRule="auto"/>
        <w:jc w:val="center"/>
        <w:textAlignment w:val="baseline"/>
        <w:rPr>
          <w:rFonts w:ascii="Cambria" w:eastAsia="Times New Roman" w:hAnsi="Cambria" w:cs="Times New Roman"/>
          <w:i/>
          <w:color w:val="FF0000"/>
          <w:kern w:val="0"/>
          <w:sz w:val="28"/>
          <w:szCs w:val="28"/>
          <w:lang w:eastAsia="fr-FR"/>
        </w:rPr>
      </w:pPr>
      <w:r w:rsidRPr="00DF1F54">
        <w:rPr>
          <w:rFonts w:ascii="Cambria" w:eastAsia="Times New Roman" w:hAnsi="Cambria" w:cs="Times New Roman"/>
          <w:i/>
          <w:color w:val="FF0000"/>
          <w:kern w:val="0"/>
          <w:sz w:val="28"/>
          <w:szCs w:val="28"/>
          <w:lang w:eastAsia="fr-FR"/>
        </w:rPr>
        <w:t>J3021719/J3021819</w:t>
      </w:r>
      <w:r w:rsidR="00F90673" w:rsidRPr="00DF1F54">
        <w:rPr>
          <w:rFonts w:ascii="Cambria" w:eastAsia="Times New Roman" w:hAnsi="Cambria" w:cs="Times New Roman"/>
          <w:i/>
          <w:color w:val="FF0000"/>
          <w:kern w:val="0"/>
          <w:sz w:val="28"/>
          <w:szCs w:val="28"/>
          <w:lang w:eastAsia="fr-FR"/>
        </w:rPr>
        <w:t xml:space="preserve"> : </w:t>
      </w:r>
      <w:r w:rsidR="002949EA" w:rsidRPr="00DF1F54">
        <w:rPr>
          <w:rFonts w:ascii="Cambria" w:eastAsia="Times New Roman" w:hAnsi="Cambria" w:cs="Times New Roman"/>
          <w:i/>
          <w:color w:val="FF0000"/>
          <w:kern w:val="0"/>
          <w:sz w:val="28"/>
          <w:szCs w:val="28"/>
          <w:lang w:eastAsia="fr-FR"/>
        </w:rPr>
        <w:t xml:space="preserve">Cultures </w:t>
      </w:r>
      <w:r w:rsidR="00F90673" w:rsidRPr="00DF1F54">
        <w:rPr>
          <w:rFonts w:ascii="Cambria" w:eastAsia="Times New Roman" w:hAnsi="Cambria" w:cs="Times New Roman"/>
          <w:i/>
          <w:color w:val="FF0000"/>
          <w:kern w:val="0"/>
          <w:sz w:val="28"/>
          <w:szCs w:val="28"/>
          <w:lang w:eastAsia="fr-FR"/>
        </w:rPr>
        <w:t>mat</w:t>
      </w:r>
      <w:r w:rsidR="006A0814" w:rsidRPr="00DF1F54">
        <w:rPr>
          <w:rFonts w:ascii="Cambria" w:eastAsia="Times New Roman" w:hAnsi="Cambria" w:cs="Times New Roman"/>
          <w:i/>
          <w:color w:val="FF0000"/>
          <w:kern w:val="0"/>
          <w:sz w:val="28"/>
          <w:szCs w:val="28"/>
          <w:lang w:eastAsia="fr-FR"/>
        </w:rPr>
        <w:t xml:space="preserve">érielles </w:t>
      </w:r>
      <w:r w:rsidR="002949EA" w:rsidRPr="00DF1F54">
        <w:rPr>
          <w:rFonts w:ascii="Cambria" w:eastAsia="Times New Roman" w:hAnsi="Cambria" w:cs="Times New Roman"/>
          <w:i/>
          <w:color w:val="FF0000"/>
          <w:kern w:val="0"/>
          <w:sz w:val="28"/>
          <w:szCs w:val="28"/>
          <w:lang w:eastAsia="fr-FR"/>
        </w:rPr>
        <w:t>de l'Occident médiéval </w:t>
      </w:r>
      <w:r w:rsidR="00F90673" w:rsidRPr="00DF1F54">
        <w:rPr>
          <w:rFonts w:ascii="Cambria" w:eastAsia="Times New Roman" w:hAnsi="Cambria" w:cs="Times New Roman"/>
          <w:i/>
          <w:color w:val="FF0000"/>
          <w:kern w:val="0"/>
          <w:sz w:val="28"/>
          <w:szCs w:val="28"/>
          <w:lang w:eastAsia="fr-FR"/>
        </w:rPr>
        <w:t xml:space="preserve"> </w:t>
      </w:r>
    </w:p>
    <w:p w14:paraId="1C3FEDBE" w14:textId="060C5B0E" w:rsidR="00F90673" w:rsidRPr="00CB5007" w:rsidRDefault="00793C3F" w:rsidP="00F90673">
      <w:pPr>
        <w:suppressAutoHyphens/>
        <w:spacing w:after="0" w:line="240" w:lineRule="auto"/>
        <w:jc w:val="center"/>
        <w:textAlignment w:val="baseline"/>
        <w:rPr>
          <w:rFonts w:ascii="Cambria" w:eastAsia="Times New Roman" w:hAnsi="Cambria" w:cs="Times New Roman"/>
          <w:i/>
          <w:color w:val="FF0000"/>
          <w:kern w:val="0"/>
          <w:sz w:val="28"/>
          <w:szCs w:val="28"/>
          <w:u w:val="single"/>
          <w:lang w:eastAsia="fr-FR"/>
        </w:rPr>
      </w:pPr>
      <w:r w:rsidRPr="00DF1F54">
        <w:rPr>
          <w:rFonts w:ascii="Cambria" w:eastAsia="Times New Roman" w:hAnsi="Cambria" w:cs="Times New Roman"/>
          <w:i/>
          <w:color w:val="FF0000"/>
          <w:kern w:val="0"/>
          <w:sz w:val="28"/>
          <w:szCs w:val="28"/>
          <w:u w:val="single"/>
          <w:lang w:eastAsia="fr-FR"/>
        </w:rPr>
        <w:t xml:space="preserve">Cet enseignement est suspendu </w:t>
      </w:r>
      <w:r w:rsidR="00635F5F" w:rsidRPr="00DF1F54">
        <w:rPr>
          <w:rFonts w:ascii="Cambria" w:eastAsia="Times New Roman" w:hAnsi="Cambria" w:cs="Times New Roman"/>
          <w:i/>
          <w:color w:val="FF0000"/>
          <w:kern w:val="0"/>
          <w:sz w:val="28"/>
          <w:szCs w:val="28"/>
          <w:u w:val="single"/>
          <w:lang w:eastAsia="fr-FR"/>
        </w:rPr>
        <w:t>cette année</w:t>
      </w:r>
      <w:r w:rsidRPr="00CB5007">
        <w:rPr>
          <w:rFonts w:ascii="Cambria" w:eastAsia="Times New Roman" w:hAnsi="Cambria" w:cs="Times New Roman"/>
          <w:i/>
          <w:color w:val="FF0000"/>
          <w:kern w:val="0"/>
          <w:sz w:val="28"/>
          <w:szCs w:val="28"/>
          <w:u w:val="single"/>
          <w:lang w:eastAsia="fr-FR"/>
        </w:rPr>
        <w:t xml:space="preserve"> </w:t>
      </w:r>
    </w:p>
    <w:p w14:paraId="4700F47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u w:val="single"/>
          <w:lang w:eastAsia="fr-FR"/>
        </w:rPr>
      </w:pPr>
    </w:p>
    <w:p w14:paraId="088D6C1B"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1DCECDE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D89F04"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5D62E5B"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B505C7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AC0DC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686FB7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3F136B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E3752A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16ABC86F"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2A85CA4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EA858A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05E0E39"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E74B60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1D5C9E5"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7C7209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FFE48E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41DDDF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67BC146A"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512834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F7EBF0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41C46B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1B391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FE63F81"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9F64A0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518BC4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68AC935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BFA5C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E3132D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7739351"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F3881D3"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3EFCC9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C4EE088" w14:textId="77777777" w:rsidR="00C36694" w:rsidRPr="00CB5007" w:rsidRDefault="00C36694" w:rsidP="00C979D6">
      <w:pPr>
        <w:rPr>
          <w:rFonts w:ascii="Cambria" w:hAnsi="Cambria"/>
        </w:rPr>
      </w:pPr>
    </w:p>
    <w:p w14:paraId="2B22AF91" w14:textId="77777777" w:rsidR="00793C3F" w:rsidRPr="00CB5007" w:rsidRDefault="00793C3F" w:rsidP="00C979D6">
      <w:pPr>
        <w:rPr>
          <w:rFonts w:ascii="Cambria" w:hAnsi="Cambria"/>
        </w:rPr>
      </w:pPr>
    </w:p>
    <w:p w14:paraId="1FF1E8D7" w14:textId="77777777" w:rsidR="00793C3F" w:rsidRPr="00CB5007" w:rsidRDefault="00793C3F" w:rsidP="00C979D6">
      <w:pPr>
        <w:rPr>
          <w:rFonts w:ascii="Cambria" w:hAnsi="Cambria"/>
        </w:rPr>
      </w:pPr>
    </w:p>
    <w:p w14:paraId="6AF52825" w14:textId="77777777" w:rsidR="00793C3F" w:rsidRPr="00CB5007" w:rsidRDefault="00793C3F" w:rsidP="00C979D6">
      <w:pPr>
        <w:rPr>
          <w:rFonts w:ascii="Cambria" w:hAnsi="Cambria"/>
        </w:rPr>
      </w:pPr>
    </w:p>
    <w:p w14:paraId="7D7AECE2" w14:textId="77777777" w:rsidR="00793C3F" w:rsidRPr="00CB5007" w:rsidRDefault="00793C3F" w:rsidP="00C979D6">
      <w:pPr>
        <w:rPr>
          <w:rFonts w:ascii="Cambria" w:hAnsi="Cambria"/>
        </w:rPr>
      </w:pPr>
    </w:p>
    <w:p w14:paraId="65A98610" w14:textId="77777777" w:rsidR="00C36694" w:rsidRPr="00CB5007" w:rsidRDefault="00C36694" w:rsidP="00C979D6">
      <w:pPr>
        <w:rPr>
          <w:rFonts w:ascii="Cambria" w:hAnsi="Cambria"/>
        </w:rPr>
      </w:pPr>
    </w:p>
    <w:p w14:paraId="2A874982" w14:textId="77777777" w:rsidR="00C36694" w:rsidRPr="00CB5007" w:rsidRDefault="00C36694" w:rsidP="00C979D6">
      <w:pPr>
        <w:rPr>
          <w:rFonts w:ascii="Cambria" w:hAnsi="Cambria"/>
        </w:rPr>
      </w:pPr>
    </w:p>
    <w:p w14:paraId="7DF9D64F" w14:textId="77777777" w:rsidR="00C36694" w:rsidRPr="00CB5007" w:rsidRDefault="00C36694" w:rsidP="00C979D6">
      <w:pPr>
        <w:rPr>
          <w:rFonts w:ascii="Cambria" w:hAnsi="Cambria"/>
        </w:rPr>
      </w:pPr>
    </w:p>
    <w:p w14:paraId="2B311BDF" w14:textId="77777777" w:rsidR="00C36694" w:rsidRPr="00CB5007" w:rsidRDefault="00C36694" w:rsidP="00C979D6">
      <w:pPr>
        <w:rPr>
          <w:rFonts w:ascii="Cambria" w:hAnsi="Cambria"/>
        </w:rPr>
      </w:pPr>
    </w:p>
    <w:p w14:paraId="25278B2F" w14:textId="77777777" w:rsidR="00C36694" w:rsidRPr="00CB5007" w:rsidRDefault="00C36694" w:rsidP="00C979D6">
      <w:pPr>
        <w:rPr>
          <w:rFonts w:ascii="Cambria" w:hAnsi="Cambria"/>
        </w:rPr>
      </w:pPr>
    </w:p>
    <w:p w14:paraId="75E1B137" w14:textId="77777777" w:rsidR="00C36694" w:rsidRPr="00CB5007" w:rsidRDefault="00C36694" w:rsidP="00C979D6">
      <w:pPr>
        <w:rPr>
          <w:rFonts w:ascii="Cambria" w:hAnsi="Cambria"/>
        </w:rPr>
      </w:pPr>
    </w:p>
    <w:p w14:paraId="5339FA57" w14:textId="77777777" w:rsidR="00C36694" w:rsidRPr="00CB5007" w:rsidRDefault="00C36694" w:rsidP="00C979D6">
      <w:pPr>
        <w:rPr>
          <w:rFonts w:ascii="Cambria" w:hAnsi="Cambria"/>
        </w:rPr>
      </w:pPr>
    </w:p>
    <w:p w14:paraId="7A51056C" w14:textId="77777777" w:rsidR="00C36694" w:rsidRPr="00CB5007" w:rsidRDefault="00C36694" w:rsidP="00C979D6">
      <w:pPr>
        <w:rPr>
          <w:rFonts w:ascii="Cambria" w:hAnsi="Cambria"/>
        </w:rPr>
      </w:pPr>
    </w:p>
    <w:p w14:paraId="602A8CFC" w14:textId="77777777" w:rsidR="00C36694" w:rsidRDefault="00C36694" w:rsidP="00C979D6">
      <w:pPr>
        <w:rPr>
          <w:rFonts w:ascii="Cambria" w:hAnsi="Cambria"/>
        </w:rPr>
      </w:pPr>
    </w:p>
    <w:p w14:paraId="6166C1D4" w14:textId="77777777" w:rsidR="00F7454D" w:rsidRDefault="00F7454D" w:rsidP="00C979D6">
      <w:pPr>
        <w:rPr>
          <w:rFonts w:ascii="Cambria" w:hAnsi="Cambria"/>
        </w:rPr>
      </w:pPr>
    </w:p>
    <w:p w14:paraId="6FF5E73C" w14:textId="77777777" w:rsidR="00F7454D" w:rsidRDefault="00F7454D" w:rsidP="00C979D6">
      <w:pPr>
        <w:rPr>
          <w:rFonts w:ascii="Cambria" w:hAnsi="Cambria"/>
        </w:rPr>
      </w:pPr>
    </w:p>
    <w:p w14:paraId="0189A044" w14:textId="77777777" w:rsidR="00F7454D" w:rsidRDefault="00F7454D" w:rsidP="00C979D6">
      <w:pPr>
        <w:rPr>
          <w:rFonts w:ascii="Cambria" w:hAnsi="Cambria"/>
        </w:rPr>
      </w:pPr>
    </w:p>
    <w:p w14:paraId="0987BD96" w14:textId="77777777" w:rsidR="00F7454D" w:rsidRDefault="00F7454D" w:rsidP="00C979D6">
      <w:pPr>
        <w:rPr>
          <w:rFonts w:ascii="Cambria" w:hAnsi="Cambria"/>
        </w:rPr>
      </w:pPr>
    </w:p>
    <w:p w14:paraId="62C580B8" w14:textId="77777777" w:rsidR="00F7454D" w:rsidRDefault="00F7454D" w:rsidP="00C979D6">
      <w:pPr>
        <w:rPr>
          <w:rFonts w:ascii="Cambria" w:hAnsi="Cambria"/>
        </w:rPr>
      </w:pPr>
    </w:p>
    <w:p w14:paraId="58A30263" w14:textId="77777777" w:rsidR="00F7454D" w:rsidRDefault="00F7454D" w:rsidP="00C979D6">
      <w:pPr>
        <w:rPr>
          <w:rFonts w:ascii="Cambria" w:hAnsi="Cambria"/>
        </w:rPr>
      </w:pPr>
    </w:p>
    <w:p w14:paraId="00CFDCD0" w14:textId="77777777" w:rsidR="00F7454D" w:rsidRDefault="00F7454D" w:rsidP="00C979D6">
      <w:pPr>
        <w:rPr>
          <w:rFonts w:ascii="Cambria" w:hAnsi="Cambria"/>
        </w:rPr>
      </w:pPr>
    </w:p>
    <w:p w14:paraId="36AD1EDA" w14:textId="77777777" w:rsidR="00F7454D" w:rsidRDefault="00F7454D" w:rsidP="00C979D6">
      <w:pPr>
        <w:rPr>
          <w:rFonts w:ascii="Cambria" w:hAnsi="Cambria"/>
        </w:rPr>
      </w:pPr>
    </w:p>
    <w:p w14:paraId="5ABB91B3" w14:textId="77777777" w:rsidR="00F7454D" w:rsidRDefault="00F7454D" w:rsidP="00C979D6">
      <w:pPr>
        <w:rPr>
          <w:rFonts w:ascii="Cambria" w:hAnsi="Cambria"/>
        </w:rPr>
      </w:pPr>
    </w:p>
    <w:p w14:paraId="44EF8E9C" w14:textId="77777777" w:rsidR="00F7454D" w:rsidRDefault="00F7454D" w:rsidP="00C979D6">
      <w:pPr>
        <w:rPr>
          <w:rFonts w:ascii="Cambria" w:hAnsi="Cambria"/>
        </w:rPr>
      </w:pPr>
    </w:p>
    <w:p w14:paraId="46A0F9F3" w14:textId="77777777" w:rsidR="00F7454D" w:rsidRDefault="00F7454D" w:rsidP="00C979D6">
      <w:pPr>
        <w:rPr>
          <w:rFonts w:ascii="Cambria" w:hAnsi="Cambria"/>
        </w:rPr>
      </w:pPr>
    </w:p>
    <w:p w14:paraId="60BD34C2" w14:textId="77777777" w:rsidR="00F7454D" w:rsidRDefault="00F7454D" w:rsidP="00C979D6">
      <w:pPr>
        <w:rPr>
          <w:rFonts w:ascii="Cambria" w:hAnsi="Cambria"/>
        </w:rPr>
      </w:pPr>
    </w:p>
    <w:p w14:paraId="2270038C" w14:textId="77777777" w:rsidR="00F7454D" w:rsidRDefault="00F7454D" w:rsidP="00C979D6">
      <w:pPr>
        <w:rPr>
          <w:rFonts w:ascii="Cambria" w:hAnsi="Cambria"/>
        </w:rPr>
      </w:pPr>
    </w:p>
    <w:p w14:paraId="7358579D" w14:textId="77777777" w:rsidR="00F7454D" w:rsidRDefault="00F7454D" w:rsidP="00F7454D">
      <w:pPr>
        <w:jc w:val="both"/>
        <w:rPr>
          <w:rFonts w:ascii="Cambria" w:hAnsi="Cambria"/>
        </w:rPr>
      </w:pPr>
    </w:p>
    <w:p w14:paraId="65F910A4" w14:textId="77777777" w:rsidR="00F7454D" w:rsidRPr="00CB5007" w:rsidRDefault="00F7454D" w:rsidP="00F7454D">
      <w:pPr>
        <w:pStyle w:val="Titre22"/>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 xml:space="preserve">HISTOIRE </w:t>
      </w:r>
    </w:p>
    <w:p w14:paraId="1F005A7E" w14:textId="77777777" w:rsidR="00F7454D" w:rsidRPr="00CB5007" w:rsidRDefault="00F7454D" w:rsidP="00F7454D">
      <w:pPr>
        <w:pStyle w:val="Titre22"/>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MODERNE</w:t>
      </w:r>
    </w:p>
    <w:p w14:paraId="124A6EF3" w14:textId="77777777" w:rsidR="00F7454D" w:rsidRDefault="00F7454D" w:rsidP="00C979D6">
      <w:pPr>
        <w:rPr>
          <w:rFonts w:ascii="Cambria" w:hAnsi="Cambria"/>
        </w:rPr>
      </w:pPr>
    </w:p>
    <w:p w14:paraId="27ADC805" w14:textId="77777777" w:rsidR="00F7454D" w:rsidRDefault="00F7454D" w:rsidP="00C979D6">
      <w:pPr>
        <w:rPr>
          <w:rFonts w:ascii="Cambria" w:hAnsi="Cambria"/>
        </w:rPr>
      </w:pPr>
    </w:p>
    <w:p w14:paraId="1E06914E" w14:textId="77777777" w:rsidR="00F7454D" w:rsidRDefault="00F7454D" w:rsidP="00C979D6">
      <w:pPr>
        <w:rPr>
          <w:rFonts w:ascii="Cambria" w:hAnsi="Cambria"/>
        </w:rPr>
      </w:pPr>
    </w:p>
    <w:p w14:paraId="2C847205" w14:textId="77777777" w:rsidR="00F7454D" w:rsidRDefault="00F7454D" w:rsidP="00C979D6">
      <w:pPr>
        <w:rPr>
          <w:rFonts w:ascii="Cambria" w:hAnsi="Cambria"/>
        </w:rPr>
      </w:pPr>
    </w:p>
    <w:p w14:paraId="3DC05808" w14:textId="77777777" w:rsidR="00F7454D" w:rsidRPr="00CB5007" w:rsidRDefault="00F7454D" w:rsidP="00C979D6">
      <w:pPr>
        <w:rPr>
          <w:rFonts w:ascii="Cambria" w:hAnsi="Cambria"/>
        </w:rPr>
      </w:pPr>
    </w:p>
    <w:p w14:paraId="1A140B1E" w14:textId="77777777" w:rsidR="00DF17B7" w:rsidRPr="00CB5007" w:rsidRDefault="00DF17B7" w:rsidP="00DF17B7">
      <w:pPr>
        <w:rPr>
          <w:lang w:eastAsia="fr-FR"/>
        </w:rPr>
      </w:pPr>
    </w:p>
    <w:p w14:paraId="7C5696DE" w14:textId="77777777" w:rsidR="00DF17B7" w:rsidRPr="00CB5007" w:rsidRDefault="00DF17B7" w:rsidP="00DF17B7">
      <w:pPr>
        <w:rPr>
          <w:lang w:eastAsia="fr-FR"/>
        </w:rPr>
      </w:pPr>
    </w:p>
    <w:p w14:paraId="4D279576" w14:textId="77777777" w:rsidR="00DF17B7" w:rsidRPr="00CB5007" w:rsidRDefault="00DF17B7" w:rsidP="00DF17B7">
      <w:pPr>
        <w:rPr>
          <w:lang w:eastAsia="fr-FR"/>
        </w:rPr>
      </w:pPr>
    </w:p>
    <w:p w14:paraId="7883D3E5" w14:textId="77777777" w:rsidR="00DF17B7" w:rsidRPr="00CB5007" w:rsidRDefault="00DF17B7" w:rsidP="00DF17B7">
      <w:pPr>
        <w:rPr>
          <w:lang w:eastAsia="fr-FR"/>
        </w:rPr>
      </w:pPr>
    </w:p>
    <w:p w14:paraId="5C9DB15A" w14:textId="77777777" w:rsidR="00DF17B7" w:rsidRPr="00CB5007" w:rsidRDefault="00DF17B7" w:rsidP="00DF17B7">
      <w:pPr>
        <w:rPr>
          <w:lang w:eastAsia="fr-FR"/>
        </w:rPr>
      </w:pPr>
    </w:p>
    <w:p w14:paraId="4EC394A1" w14:textId="77777777" w:rsidR="00DF17B7" w:rsidRPr="00CB5007" w:rsidRDefault="00DF17B7" w:rsidP="00DF17B7">
      <w:pPr>
        <w:rPr>
          <w:lang w:eastAsia="fr-FR"/>
        </w:rPr>
      </w:pPr>
    </w:p>
    <w:p w14:paraId="1F7CAB67" w14:textId="77777777" w:rsidR="00DF17B7" w:rsidRPr="00CB5007" w:rsidRDefault="00DF17B7" w:rsidP="00DF17B7">
      <w:pPr>
        <w:rPr>
          <w:lang w:eastAsia="fr-FR"/>
        </w:rPr>
      </w:pPr>
    </w:p>
    <w:p w14:paraId="7A1BD9C8" w14:textId="77777777" w:rsidR="00DF17B7" w:rsidRPr="00CB5007" w:rsidRDefault="00DF17B7" w:rsidP="00DF17B7">
      <w:pPr>
        <w:rPr>
          <w:lang w:eastAsia="fr-FR"/>
        </w:rPr>
      </w:pPr>
    </w:p>
    <w:p w14:paraId="3053269B" w14:textId="77777777" w:rsidR="00DF17B7" w:rsidRDefault="00DF17B7" w:rsidP="00DF17B7">
      <w:pPr>
        <w:rPr>
          <w:lang w:eastAsia="fr-FR"/>
        </w:rPr>
      </w:pPr>
    </w:p>
    <w:p w14:paraId="407A3CC2" w14:textId="77777777" w:rsidR="009056AD" w:rsidRDefault="009056AD" w:rsidP="00DF17B7">
      <w:pPr>
        <w:rPr>
          <w:lang w:eastAsia="fr-FR"/>
        </w:rPr>
      </w:pPr>
    </w:p>
    <w:p w14:paraId="548C240F" w14:textId="77777777" w:rsidR="009056AD" w:rsidRDefault="009056AD" w:rsidP="00DF17B7">
      <w:pPr>
        <w:rPr>
          <w:lang w:eastAsia="fr-FR"/>
        </w:rPr>
      </w:pPr>
    </w:p>
    <w:p w14:paraId="33668100" w14:textId="77777777" w:rsidR="0085243F" w:rsidRDefault="0085243F" w:rsidP="00DF17B7">
      <w:pPr>
        <w:rPr>
          <w:lang w:eastAsia="fr-FR"/>
        </w:rPr>
      </w:pPr>
    </w:p>
    <w:p w14:paraId="1D8CD5E0" w14:textId="77777777" w:rsidR="0085243F" w:rsidRDefault="0085243F" w:rsidP="00DF17B7">
      <w:pPr>
        <w:rPr>
          <w:lang w:eastAsia="fr-FR"/>
        </w:rPr>
      </w:pPr>
    </w:p>
    <w:p w14:paraId="63DA6B0D" w14:textId="77777777" w:rsidR="009056AD" w:rsidRDefault="009056AD" w:rsidP="00DF17B7">
      <w:pPr>
        <w:rPr>
          <w:lang w:eastAsia="fr-FR"/>
        </w:rPr>
      </w:pPr>
    </w:p>
    <w:p w14:paraId="1FFC7154" w14:textId="77777777" w:rsidR="009056AD" w:rsidRPr="00CB5007" w:rsidRDefault="009056AD" w:rsidP="00DF17B7">
      <w:pPr>
        <w:rPr>
          <w:lang w:eastAsia="fr-FR"/>
        </w:rPr>
      </w:pPr>
    </w:p>
    <w:p w14:paraId="7C916A9C" w14:textId="77777777" w:rsidR="00DF17B7" w:rsidRPr="00CB5007" w:rsidRDefault="00DF17B7" w:rsidP="00DF17B7">
      <w:pPr>
        <w:rPr>
          <w:lang w:eastAsia="fr-FR"/>
        </w:rPr>
      </w:pPr>
    </w:p>
    <w:p w14:paraId="74AAD872" w14:textId="77777777" w:rsidR="00C36694" w:rsidRPr="00CB5007" w:rsidRDefault="00C36694" w:rsidP="00C979D6">
      <w:pPr>
        <w:rPr>
          <w:rFonts w:ascii="Cambria" w:hAnsi="Cambria"/>
        </w:rPr>
      </w:pPr>
    </w:p>
    <w:p w14:paraId="6611641A" w14:textId="66EA4276" w:rsidR="009147B4" w:rsidRDefault="009147B4" w:rsidP="00F7454D">
      <w:pPr>
        <w:rPr>
          <w:rFonts w:ascii="Cambria" w:hAnsi="Cambria" w:cs="Times New Roman"/>
          <w:b w:val="0"/>
          <w:i/>
          <w:sz w:val="22"/>
        </w:rPr>
      </w:pPr>
    </w:p>
    <w:p w14:paraId="2D10B3B0" w14:textId="77777777" w:rsidR="00425CCF" w:rsidRDefault="00425CCF" w:rsidP="00F7454D">
      <w:pPr>
        <w:rPr>
          <w:rFonts w:ascii="Cambria" w:hAnsi="Cambria" w:cs="Times New Roman"/>
          <w:b w:val="0"/>
          <w:i/>
          <w:sz w:val="22"/>
        </w:rPr>
      </w:pPr>
    </w:p>
    <w:p w14:paraId="0B58242C" w14:textId="77777777" w:rsidR="00425CCF" w:rsidRPr="00F7454D" w:rsidRDefault="00425CCF" w:rsidP="00F7454D">
      <w:pPr>
        <w:rPr>
          <w:rFonts w:ascii="Cambria" w:hAnsi="Cambria" w:cs="Times New Roman"/>
          <w:b w:val="0"/>
          <w:i/>
          <w:sz w:val="22"/>
        </w:rPr>
      </w:pPr>
    </w:p>
    <w:p w14:paraId="443A2AD0" w14:textId="77777777" w:rsidR="009147B4" w:rsidRPr="00CB5007" w:rsidRDefault="009147B4" w:rsidP="00C62270">
      <w:pPr>
        <w:spacing w:after="0" w:line="276" w:lineRule="auto"/>
        <w:contextualSpacing/>
        <w:rPr>
          <w:rFonts w:ascii="Cambria" w:hAnsi="Cambria"/>
        </w:rPr>
      </w:pPr>
    </w:p>
    <w:p w14:paraId="442959DA" w14:textId="77777777" w:rsidR="009147B4" w:rsidRPr="00CB5007" w:rsidRDefault="009147B4" w:rsidP="00C62270">
      <w:pPr>
        <w:spacing w:after="0" w:line="276" w:lineRule="auto"/>
        <w:contextualSpacing/>
        <w:rPr>
          <w:rFonts w:ascii="Cambria" w:hAnsi="Cambria"/>
        </w:rPr>
      </w:pPr>
    </w:p>
    <w:p w14:paraId="7705A928" w14:textId="77777777" w:rsidR="006D2443" w:rsidRPr="00CB5007" w:rsidRDefault="006D2443" w:rsidP="00C62270">
      <w:pPr>
        <w:spacing w:after="0" w:line="276" w:lineRule="auto"/>
        <w:contextualSpacing/>
        <w:rPr>
          <w:rFonts w:ascii="Cambria" w:hAnsi="Cambria"/>
        </w:rPr>
      </w:pPr>
    </w:p>
    <w:p w14:paraId="7224BA1A" w14:textId="7FB60386" w:rsidR="008423BC" w:rsidRPr="00672B42" w:rsidRDefault="007C179E" w:rsidP="00794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en-US"/>
        </w:rPr>
      </w:pPr>
      <w:r w:rsidRPr="00672B42">
        <w:rPr>
          <w:rFonts w:ascii="Cambria" w:hAnsi="Cambria"/>
          <w:i/>
          <w:color w:val="C00000"/>
          <w:sz w:val="28"/>
          <w:szCs w:val="28"/>
          <w:lang w:eastAsia="en-US"/>
        </w:rPr>
        <w:t>J3030119/J3030219</w:t>
      </w:r>
      <w:r w:rsidR="002949EA" w:rsidRPr="00672B42">
        <w:rPr>
          <w:rFonts w:ascii="Cambria" w:hAnsi="Cambria"/>
          <w:i/>
          <w:color w:val="C00000"/>
          <w:sz w:val="28"/>
          <w:szCs w:val="28"/>
          <w:lang w:eastAsia="en-US"/>
        </w:rPr>
        <w:t xml:space="preserve"> : Guerre et société à l’époque moderne</w:t>
      </w:r>
    </w:p>
    <w:p w14:paraId="77FA6834" w14:textId="01429A3F" w:rsidR="008423BC" w:rsidRPr="00794B04" w:rsidRDefault="008423BC" w:rsidP="002949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Cs w:val="24"/>
          <w:u w:val="single"/>
          <w:lang w:eastAsia="en-US"/>
        </w:rPr>
      </w:pPr>
      <w:r w:rsidRPr="00794B04">
        <w:rPr>
          <w:rFonts w:ascii="Cambria" w:hAnsi="Cambria"/>
          <w:i/>
          <w:color w:val="C00000"/>
          <w:szCs w:val="24"/>
          <w:u w:val="single"/>
          <w:lang w:eastAsia="en-US"/>
        </w:rPr>
        <w:t>Cet enseignement se déroulera uniquement au semestre 2</w:t>
      </w:r>
    </w:p>
    <w:p w14:paraId="50F86E20" w14:textId="77777777" w:rsidR="00794B04" w:rsidRPr="00672B42" w:rsidRDefault="00794B04" w:rsidP="002949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6"/>
          <w:szCs w:val="26"/>
          <w:u w:val="single"/>
          <w:lang w:eastAsia="en-US"/>
        </w:rPr>
      </w:pPr>
    </w:p>
    <w:p w14:paraId="0C7F72AD" w14:textId="79695D03" w:rsidR="00CC2D20" w:rsidRPr="00672B42" w:rsidRDefault="00CC2D20" w:rsidP="007968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672B42">
        <w:rPr>
          <w:rFonts w:ascii="Cambria" w:hAnsi="Cambria" w:cs="Times New Roman"/>
          <w:sz w:val="22"/>
        </w:rPr>
        <w:t xml:space="preserve">Paul Vo-Ha </w:t>
      </w:r>
      <w:r w:rsidR="00461900" w:rsidRPr="00672B42">
        <w:rPr>
          <w:rFonts w:ascii="Cambria" w:hAnsi="Cambria" w:cs="Times New Roman"/>
          <w:sz w:val="22"/>
        </w:rPr>
        <w:t>(</w:t>
      </w:r>
      <w:r w:rsidR="0085243F" w:rsidRPr="00672B42">
        <w:rPr>
          <w:rFonts w:ascii="Cambria" w:hAnsi="Cambria" w:cs="Times New Roman"/>
          <w:sz w:val="22"/>
        </w:rPr>
        <w:t>CM/TD</w:t>
      </w:r>
      <w:r w:rsidR="00F7454D" w:rsidRPr="00672B42">
        <w:rPr>
          <w:rFonts w:ascii="Cambria" w:hAnsi="Cambria" w:cs="Times New Roman"/>
          <w:sz w:val="22"/>
        </w:rPr>
        <w:t>)</w:t>
      </w:r>
    </w:p>
    <w:p w14:paraId="105F1D5C" w14:textId="49637617" w:rsidR="00CC2D20" w:rsidRPr="00794B04" w:rsidRDefault="00CC2D20" w:rsidP="002B45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rPr>
          <w:rFonts w:ascii="Cambria" w:eastAsia="Times New Roman" w:hAnsi="Cambria" w:cs="Times New Roman"/>
          <w:b w:val="0"/>
          <w:bCs/>
          <w:color w:val="C00000"/>
          <w:sz w:val="22"/>
          <w:lang w:eastAsia="fr-FR"/>
        </w:rPr>
      </w:pPr>
      <w:r w:rsidRPr="00794B04">
        <w:rPr>
          <w:rFonts w:ascii="Cambria" w:eastAsia="Times New Roman" w:hAnsi="Cambria" w:cs="Times New Roman"/>
          <w:bCs/>
          <w:color w:val="C00000"/>
          <w:sz w:val="22"/>
          <w:u w:val="single"/>
          <w:lang w:eastAsia="fr-FR"/>
        </w:rPr>
        <w:t>Sujet du cours</w:t>
      </w:r>
      <w:r w:rsidRPr="00794B04">
        <w:rPr>
          <w:rFonts w:ascii="Cambria" w:eastAsia="Times New Roman" w:hAnsi="Cambria" w:cs="Times New Roman"/>
          <w:bCs/>
          <w:color w:val="C00000"/>
          <w:sz w:val="22"/>
          <w:lang w:eastAsia="fr-FR"/>
        </w:rPr>
        <w:t> : Guerre, État et société</w:t>
      </w:r>
      <w:r w:rsidR="002B451A" w:rsidRPr="00794B04">
        <w:rPr>
          <w:rFonts w:ascii="Cambria" w:eastAsia="Times New Roman" w:hAnsi="Cambria" w:cs="Times New Roman"/>
          <w:bCs/>
          <w:color w:val="C00000"/>
          <w:sz w:val="22"/>
          <w:lang w:eastAsia="fr-FR"/>
        </w:rPr>
        <w:t xml:space="preserve"> (France- </w:t>
      </w:r>
      <w:r w:rsidRPr="00794B04">
        <w:rPr>
          <w:rFonts w:ascii="Cambria" w:eastAsia="Times New Roman" w:hAnsi="Cambria" w:cs="Times New Roman"/>
          <w:bCs/>
          <w:color w:val="C00000"/>
          <w:sz w:val="22"/>
          <w:lang w:eastAsia="fr-FR"/>
        </w:rPr>
        <w:t xml:space="preserve">Europe </w:t>
      </w:r>
      <w:r w:rsidR="002B451A" w:rsidRPr="00794B04">
        <w:rPr>
          <w:rFonts w:ascii="Cambria" w:eastAsia="Times New Roman" w:hAnsi="Cambria" w:cs="Times New Roman"/>
          <w:bCs/>
          <w:color w:val="C00000"/>
          <w:sz w:val="22"/>
          <w:lang w:eastAsia="fr-FR"/>
        </w:rPr>
        <w:t>-colonies et empires, 1667-1789</w:t>
      </w:r>
      <w:r w:rsidRPr="00794B04">
        <w:rPr>
          <w:rFonts w:ascii="Cambria" w:eastAsia="Times New Roman" w:hAnsi="Cambria" w:cs="Times New Roman"/>
          <w:bCs/>
          <w:color w:val="C00000"/>
          <w:sz w:val="22"/>
          <w:lang w:eastAsia="fr-FR"/>
        </w:rPr>
        <w:t>)</w:t>
      </w:r>
    </w:p>
    <w:p w14:paraId="72D751A1" w14:textId="4F70556B" w:rsidR="002B451A" w:rsidRPr="00794B04" w:rsidRDefault="002B451A" w:rsidP="002B451A">
      <w:pPr>
        <w:jc w:val="both"/>
        <w:rPr>
          <w:rFonts w:ascii="Cambria" w:hAnsi="Cambria"/>
          <w:sz w:val="22"/>
        </w:rPr>
      </w:pPr>
      <w:r w:rsidRPr="00794B04">
        <w:rPr>
          <w:rFonts w:ascii="Cambria" w:hAnsi="Cambria"/>
          <w:b w:val="0"/>
          <w:bCs/>
          <w:sz w:val="22"/>
        </w:rPr>
        <w:t>De la guerre de Dévolution (1667-1668) à la guerre d’indépendance américaine (1775-1783), l’omniprésence des conflits armés en Europe et dans le monde percute les sociétés et les États belligérants. La guerre, relation entre adversaires, occasionne la circulation de pratiques, de modèles, d’hommes, d’idées, à l’échelle de l’Europe et du monde, donnant naissance sur la période à des phénomènes d’hybridation, notamment en contexte impérial. La prise en compte des échelles européenne et impériale permet de tenir compte de cette dimension interactive des conflits armés et d’envisager les dynamiques communes aux États européens. Les échanges et les circulations des pratiques militaires entre États européens concernent en effet tous les aspects de la conduite des conflits armés sur la période, depuis les mécanismes de financement des guerres jusqu’aux modalités de mobilisation des hommes, en passant par la tactique sur le champ de bataille. Les nécessités de la guerre obligent les États à multiplier les expédients pour mobiliser toujours plus de moyens humains et matériels. La période voit ainsi l’essor, dans la plupart des États européens, de l’obligation militaire tandis que la fiscalité se développe, en lien avec le crédit, pour financer des opérations toujours plus onéreuses. Il s’agira donc d’étudier, dans une perspective comparatiste, les liens entre guerre, État et société en Europe et dans les colonies, au cours d’une période marquée par une importante présence de la guerre, par l’essor des rivalités impériales qui opposent notamment au XVIIIe siècle la France et la Grande-Bretagne et de profonds bouleversements politiques. L’enjeu sera de montrer comment la guerre, ses nécessités et la manière dont elle est pensée et conduite jouent un rôle central dans les ruptures politiques de la fin du XVIII</w:t>
      </w:r>
      <w:r w:rsidRPr="00794B04">
        <w:rPr>
          <w:rFonts w:ascii="Cambria" w:hAnsi="Cambria"/>
          <w:b w:val="0"/>
          <w:bCs/>
          <w:sz w:val="22"/>
          <w:vertAlign w:val="superscript"/>
        </w:rPr>
        <w:t>e</w:t>
      </w:r>
      <w:r w:rsidRPr="00794B04">
        <w:rPr>
          <w:rFonts w:ascii="Cambria" w:hAnsi="Cambria"/>
          <w:b w:val="0"/>
          <w:bCs/>
          <w:sz w:val="22"/>
        </w:rPr>
        <w:t xml:space="preserve"> siècle. Les dernières décennies du XVIII</w:t>
      </w:r>
      <w:r w:rsidRPr="00794B04">
        <w:rPr>
          <w:rFonts w:ascii="Cambria" w:hAnsi="Cambria"/>
          <w:b w:val="0"/>
          <w:bCs/>
          <w:sz w:val="22"/>
          <w:vertAlign w:val="superscript"/>
        </w:rPr>
        <w:t>e</w:t>
      </w:r>
      <w:r w:rsidRPr="00794B04">
        <w:rPr>
          <w:rFonts w:ascii="Cambria" w:hAnsi="Cambria"/>
          <w:b w:val="0"/>
          <w:bCs/>
          <w:sz w:val="22"/>
        </w:rPr>
        <w:t xml:space="preserve"> siècle voient en effet le passage d’une société d’ordres organisée par et pour la guerre, d’une communauté politique de sujets obéissant à un « roi de guerre », soumise aux exigences d’un État royal fisco-militaire affectant l’essentiel de ses ressources au financement de la guerre à une nouvelle communauté politique de citoyens, au sein de laquelle émergent les figures centrales du citoyen-soldat et du soldat-citoyen. La crise politique de la monarchie, dans la seconde moitié du XVIII</w:t>
      </w:r>
      <w:r w:rsidRPr="00794B04">
        <w:rPr>
          <w:rFonts w:ascii="Cambria" w:hAnsi="Cambria"/>
          <w:b w:val="0"/>
          <w:bCs/>
          <w:sz w:val="22"/>
          <w:vertAlign w:val="superscript"/>
        </w:rPr>
        <w:t>e</w:t>
      </w:r>
      <w:r w:rsidRPr="00794B04">
        <w:rPr>
          <w:rFonts w:ascii="Cambria" w:hAnsi="Cambria"/>
          <w:b w:val="0"/>
          <w:bCs/>
          <w:sz w:val="22"/>
        </w:rPr>
        <w:t xml:space="preserve"> siècle est en effet la conséquence des conflits toujours plus coûteux qu’ont connus l’Europe et les espaces coloniaux. En France, la guerre et les modalités de son financement entraînent une crise d’abord financière et fiscale, puis sociale et politique qui emporte l’Ancien Régime. Mais cette crise doit être resituée dans la moyenne durée. L’impôt du vingtième, instauré au lendemain de la guerre de Succession d’Autriche pour tenter d’apurer les dettes accumulées pendant le conflit, farouchement contesté par les privilégiés, comme les réformes mises en place après la défaite française à l’issue de la guerre de Sept Ans (1756-1763) introduisent de nouvelles pratiques qui contribuent à l’émergence de principes mis en œuvre pendant la Révolution française. Ainsi, dans les années 1770, la notion de « constitution militaire », née de la prise en compte des pratiques de la guerre de Sept Ans, contribua à la critique de l’absolutisme en invoquant la nécessité de soumettre la monarchie aux lois de la guerre et plus généralement, à un régime constitutionnel. La guerre qui, sous le règne de Louis XIV, avait participé à l’affirmation d’une souveraineté royale qui se voulait absolue exerça donc une influence complexe sur l’histoire de la monarchie française comme sur celle de l’ensemble des États européens.</w:t>
      </w:r>
    </w:p>
    <w:p w14:paraId="7309FCBC" w14:textId="1F12E1FB" w:rsidR="00425CCF" w:rsidRPr="004718C0" w:rsidRDefault="002B451A" w:rsidP="004718C0">
      <w:pPr>
        <w:jc w:val="both"/>
        <w:rPr>
          <w:rFonts w:ascii="Cambria" w:hAnsi="Cambria"/>
          <w:b w:val="0"/>
          <w:bCs/>
          <w:sz w:val="22"/>
        </w:rPr>
      </w:pPr>
      <w:r w:rsidRPr="00794B04">
        <w:rPr>
          <w:rFonts w:ascii="Cambria" w:hAnsi="Cambria"/>
          <w:sz w:val="22"/>
        </w:rPr>
        <w:t>Bibliographie :</w:t>
      </w:r>
      <w:r w:rsidRPr="00794B04">
        <w:rPr>
          <w:rFonts w:ascii="Cambria" w:hAnsi="Cambria"/>
          <w:sz w:val="22"/>
        </w:rPr>
        <w:br/>
      </w:r>
      <w:r w:rsidRPr="00794B04">
        <w:rPr>
          <w:rStyle w:val="Accentuation"/>
          <w:rFonts w:ascii="Cambria" w:hAnsi="Cambria"/>
          <w:sz w:val="22"/>
        </w:rPr>
        <w:t>•</w:t>
      </w:r>
      <w:r w:rsidRPr="00794B04">
        <w:rPr>
          <w:rFonts w:ascii="Cambria" w:hAnsi="Cambria"/>
          <w:sz w:val="22"/>
        </w:rPr>
        <w:t xml:space="preserve"> </w:t>
      </w:r>
      <w:r w:rsidRPr="00794B04">
        <w:rPr>
          <w:rFonts w:ascii="Cambria" w:hAnsi="Cambria"/>
          <w:b w:val="0"/>
          <w:bCs/>
          <w:sz w:val="22"/>
        </w:rPr>
        <w:t>Jeremy Black</w:t>
      </w:r>
      <w:r w:rsidRPr="00794B04">
        <w:rPr>
          <w:rStyle w:val="Accentuation"/>
          <w:rFonts w:ascii="Cambria" w:hAnsi="Cambria"/>
          <w:b w:val="0"/>
          <w:bCs/>
          <w:sz w:val="22"/>
        </w:rPr>
        <w:t>, La guerre au XVIII</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xml:space="preserve"> Paris, Autrement, « Atlas », 1999.</w:t>
      </w:r>
      <w:r w:rsidRPr="00794B04">
        <w:rPr>
          <w:rFonts w:ascii="Cambria" w:hAnsi="Cambria"/>
          <w:b w:val="0"/>
          <w:bCs/>
          <w:sz w:val="22"/>
        </w:rPr>
        <w:br/>
        <w:t> </w:t>
      </w:r>
      <w:r w:rsidRPr="00794B04">
        <w:rPr>
          <w:rStyle w:val="Accentuation"/>
          <w:rFonts w:ascii="Cambria" w:hAnsi="Cambria"/>
          <w:b w:val="0"/>
          <w:bCs/>
          <w:sz w:val="22"/>
        </w:rPr>
        <w:t>•</w:t>
      </w:r>
      <w:r w:rsidRPr="00794B04">
        <w:rPr>
          <w:rFonts w:ascii="Cambria" w:hAnsi="Cambria"/>
          <w:b w:val="0"/>
          <w:bCs/>
          <w:sz w:val="22"/>
        </w:rPr>
        <w:t xml:space="preserve">Olivier Chaline, </w:t>
      </w:r>
      <w:r w:rsidRPr="00794B04">
        <w:rPr>
          <w:rStyle w:val="Accentuation"/>
          <w:rFonts w:ascii="Cambria" w:hAnsi="Cambria"/>
          <w:b w:val="0"/>
          <w:bCs/>
          <w:sz w:val="22"/>
        </w:rPr>
        <w:t>Les armées du roi. Le grand chantier, XVII</w:t>
      </w:r>
      <w:r w:rsidRPr="00794B04">
        <w:rPr>
          <w:rStyle w:val="Accentuation"/>
          <w:rFonts w:ascii="Cambria" w:hAnsi="Cambria"/>
          <w:b w:val="0"/>
          <w:bCs/>
          <w:sz w:val="22"/>
          <w:vertAlign w:val="superscript"/>
        </w:rPr>
        <w:t>e</w:t>
      </w:r>
      <w:r w:rsidRPr="00794B04">
        <w:rPr>
          <w:rStyle w:val="Accentuation"/>
          <w:rFonts w:ascii="Cambria" w:hAnsi="Cambria"/>
          <w:b w:val="0"/>
          <w:bCs/>
          <w:sz w:val="22"/>
        </w:rPr>
        <w:t>-XVIII</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Paris, Armand Colin, 2016.</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Edmond Dziembowsky, </w:t>
      </w:r>
      <w:r w:rsidRPr="00794B04">
        <w:rPr>
          <w:rStyle w:val="Accentuation"/>
          <w:rFonts w:ascii="Cambria" w:hAnsi="Cambria"/>
          <w:b w:val="0"/>
          <w:bCs/>
          <w:sz w:val="22"/>
        </w:rPr>
        <w:t>La guerre de Sept ans (1756 – 1763),</w:t>
      </w:r>
      <w:r w:rsidRPr="00794B04">
        <w:rPr>
          <w:rFonts w:ascii="Cambria" w:hAnsi="Cambria"/>
          <w:b w:val="0"/>
          <w:bCs/>
          <w:sz w:val="22"/>
        </w:rPr>
        <w:t xml:space="preserve"> Paris, Perrin – Ministère de la Défense, 2015.</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Hervé Drévillon (dir.), </w:t>
      </w:r>
      <w:r w:rsidRPr="00794B04">
        <w:rPr>
          <w:rStyle w:val="Accentuation"/>
          <w:rFonts w:ascii="Cambria" w:hAnsi="Cambria"/>
          <w:b w:val="0"/>
          <w:bCs/>
          <w:sz w:val="22"/>
        </w:rPr>
        <w:t>L’âge classique, XV</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 XIX</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xml:space="preserve"> vol. II de </w:t>
      </w:r>
      <w:r w:rsidRPr="00794B04">
        <w:rPr>
          <w:rStyle w:val="Accentuation"/>
          <w:rFonts w:ascii="Cambria" w:hAnsi="Cambria"/>
          <w:b w:val="0"/>
          <w:bCs/>
          <w:sz w:val="22"/>
        </w:rPr>
        <w:t>Mondes en Guerre</w:t>
      </w:r>
      <w:r w:rsidRPr="00794B04">
        <w:rPr>
          <w:rFonts w:ascii="Cambria" w:hAnsi="Cambria"/>
          <w:b w:val="0"/>
          <w:bCs/>
          <w:sz w:val="22"/>
        </w:rPr>
        <w:t>, Paris, Passés Composés – Ministère des Armées, 2019.</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Hervé Drévillon et Olivier Wieviorka (dir.), </w:t>
      </w:r>
      <w:r w:rsidRPr="00794B04">
        <w:rPr>
          <w:rStyle w:val="Accentuation"/>
          <w:rFonts w:ascii="Cambria" w:hAnsi="Cambria"/>
          <w:b w:val="0"/>
          <w:bCs/>
          <w:sz w:val="22"/>
        </w:rPr>
        <w:t>Des Mérovingiens au Second Empire,</w:t>
      </w:r>
      <w:r w:rsidRPr="00794B04">
        <w:rPr>
          <w:rFonts w:ascii="Cambria" w:hAnsi="Cambria"/>
          <w:b w:val="0"/>
          <w:bCs/>
          <w:sz w:val="22"/>
        </w:rPr>
        <w:t xml:space="preserve"> volume I de </w:t>
      </w:r>
      <w:r w:rsidRPr="00794B04">
        <w:rPr>
          <w:rStyle w:val="Accentuation"/>
          <w:rFonts w:ascii="Cambria" w:hAnsi="Cambria"/>
          <w:b w:val="0"/>
          <w:bCs/>
          <w:sz w:val="22"/>
        </w:rPr>
        <w:t>Histoire militaire de la France,</w:t>
      </w:r>
      <w:r w:rsidRPr="00794B04">
        <w:rPr>
          <w:rFonts w:ascii="Cambria" w:hAnsi="Cambria"/>
          <w:b w:val="0"/>
          <w:bCs/>
          <w:sz w:val="22"/>
        </w:rPr>
        <w:t xml:space="preserve"> Paris, Perrin – Ministère des Armées, 2018.</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Geoffrey Parker, </w:t>
      </w:r>
      <w:r w:rsidRPr="00794B04">
        <w:rPr>
          <w:rStyle w:val="Accentuation"/>
          <w:rFonts w:ascii="Cambria" w:hAnsi="Cambria"/>
          <w:b w:val="0"/>
          <w:bCs/>
          <w:sz w:val="22"/>
        </w:rPr>
        <w:t>La révolution militaire. La guerre et l’essor de l’Occident, 1500 – 1800,</w:t>
      </w:r>
      <w:r w:rsidRPr="00794B04">
        <w:rPr>
          <w:rFonts w:ascii="Cambria" w:hAnsi="Cambria"/>
          <w:b w:val="0"/>
          <w:bCs/>
          <w:sz w:val="22"/>
        </w:rPr>
        <w:t xml:space="preserve"> Paris, Gallimard, 1988</w:t>
      </w:r>
    </w:p>
    <w:p w14:paraId="21981DF2" w14:textId="77777777" w:rsidR="00850787" w:rsidRPr="00672B42" w:rsidRDefault="00850787" w:rsidP="0016528C">
      <w:pPr>
        <w:spacing w:after="0" w:line="240" w:lineRule="auto"/>
        <w:jc w:val="center"/>
        <w:rPr>
          <w:rFonts w:ascii="Cambria" w:eastAsia="Times New Roman" w:hAnsi="Cambria" w:cs="Times New Roman"/>
          <w:i/>
          <w:color w:val="C00000"/>
          <w:kern w:val="0"/>
          <w:sz w:val="28"/>
          <w:szCs w:val="28"/>
          <w:lang w:eastAsia="fr-FR"/>
        </w:rPr>
      </w:pPr>
    </w:p>
    <w:p w14:paraId="163FAC2A" w14:textId="4166D8CE" w:rsidR="0016528C" w:rsidRPr="00672B42" w:rsidRDefault="00C5096C" w:rsidP="0016528C">
      <w:pPr>
        <w:spacing w:after="0" w:line="240" w:lineRule="auto"/>
        <w:jc w:val="center"/>
        <w:rPr>
          <w:rFonts w:ascii="Cambria" w:eastAsia="Times New Roman" w:hAnsi="Cambria" w:cs="Times New Roman"/>
          <w:i/>
          <w:color w:val="C00000"/>
          <w:kern w:val="0"/>
          <w:sz w:val="28"/>
          <w:szCs w:val="28"/>
          <w:lang w:eastAsia="fr-FR"/>
        </w:rPr>
      </w:pPr>
      <w:r w:rsidRPr="00672B42">
        <w:rPr>
          <w:rFonts w:ascii="Cambria" w:eastAsia="Times New Roman" w:hAnsi="Cambria" w:cs="Times New Roman"/>
          <w:i/>
          <w:color w:val="C00000"/>
          <w:kern w:val="0"/>
          <w:sz w:val="28"/>
          <w:szCs w:val="28"/>
          <w:lang w:eastAsia="fr-FR"/>
        </w:rPr>
        <w:t>J3030519/J3030619</w:t>
      </w:r>
      <w:r w:rsidR="0016528C" w:rsidRPr="00672B42">
        <w:rPr>
          <w:rFonts w:ascii="Cambria" w:eastAsia="Times New Roman" w:hAnsi="Cambria" w:cs="Times New Roman"/>
          <w:i/>
          <w:color w:val="C00000"/>
          <w:kern w:val="0"/>
          <w:sz w:val="28"/>
          <w:szCs w:val="28"/>
          <w:lang w:eastAsia="fr-FR"/>
        </w:rPr>
        <w:t xml:space="preserve"> : </w:t>
      </w:r>
      <w:r w:rsidR="0016528C" w:rsidRPr="00672B42">
        <w:rPr>
          <w:rFonts w:ascii="Cambria" w:hAnsi="Cambria" w:cs="Times New Roman"/>
          <w:i/>
          <w:color w:val="C00000"/>
          <w:sz w:val="28"/>
          <w:szCs w:val="28"/>
          <w:lang w:eastAsia="fr-FR"/>
        </w:rPr>
        <w:t>Histoire des</w:t>
      </w:r>
      <w:r w:rsidR="008523D1" w:rsidRPr="00672B42">
        <w:rPr>
          <w:rFonts w:ascii="Cambria" w:hAnsi="Cambria" w:cs="Times New Roman"/>
          <w:i/>
          <w:color w:val="C00000"/>
          <w:sz w:val="28"/>
          <w:szCs w:val="28"/>
          <w:lang w:eastAsia="fr-FR"/>
        </w:rPr>
        <w:t xml:space="preserve"> sociétés et des économies européennes </w:t>
      </w:r>
      <w:r w:rsidR="006945F8" w:rsidRPr="00672B42">
        <w:rPr>
          <w:rFonts w:ascii="Cambria" w:hAnsi="Cambria" w:cs="Times New Roman"/>
          <w:i/>
          <w:color w:val="C00000"/>
          <w:sz w:val="28"/>
          <w:szCs w:val="28"/>
          <w:lang w:eastAsia="fr-FR"/>
        </w:rPr>
        <w:t>(</w:t>
      </w:r>
      <w:r w:rsidR="0016528C" w:rsidRPr="00672B42">
        <w:rPr>
          <w:rFonts w:ascii="Cambria" w:hAnsi="Cambria" w:cs="Times New Roman"/>
          <w:i/>
          <w:color w:val="C00000"/>
          <w:sz w:val="28"/>
          <w:szCs w:val="28"/>
          <w:lang w:eastAsia="fr-FR"/>
        </w:rPr>
        <w:t>XVII</w:t>
      </w:r>
      <w:r w:rsidR="0016528C" w:rsidRPr="00672B42">
        <w:rPr>
          <w:rFonts w:ascii="Cambria" w:hAnsi="Cambria" w:cs="Times New Roman"/>
          <w:i/>
          <w:color w:val="C00000"/>
          <w:sz w:val="28"/>
          <w:szCs w:val="28"/>
          <w:vertAlign w:val="superscript"/>
          <w:lang w:eastAsia="fr-FR"/>
        </w:rPr>
        <w:t>e</w:t>
      </w:r>
      <w:r w:rsidR="0016528C" w:rsidRPr="00672B42">
        <w:rPr>
          <w:rFonts w:ascii="Cambria" w:hAnsi="Cambria" w:cs="Times New Roman"/>
          <w:i/>
          <w:color w:val="C00000"/>
          <w:sz w:val="28"/>
          <w:szCs w:val="28"/>
          <w:lang w:eastAsia="fr-FR"/>
        </w:rPr>
        <w:t xml:space="preserve"> et XVIII</w:t>
      </w:r>
      <w:r w:rsidR="0016528C" w:rsidRPr="00672B42">
        <w:rPr>
          <w:rFonts w:ascii="Cambria" w:hAnsi="Cambria" w:cs="Times New Roman"/>
          <w:i/>
          <w:color w:val="C00000"/>
          <w:sz w:val="28"/>
          <w:szCs w:val="28"/>
          <w:vertAlign w:val="superscript"/>
          <w:lang w:eastAsia="fr-FR"/>
        </w:rPr>
        <w:t>e</w:t>
      </w:r>
      <w:r w:rsidR="0016528C" w:rsidRPr="00672B42">
        <w:rPr>
          <w:rFonts w:ascii="Cambria" w:hAnsi="Cambria" w:cs="Times New Roman"/>
          <w:i/>
          <w:color w:val="C00000"/>
          <w:sz w:val="28"/>
          <w:szCs w:val="28"/>
          <w:lang w:eastAsia="fr-FR"/>
        </w:rPr>
        <w:t xml:space="preserve"> siècles</w:t>
      </w:r>
      <w:r w:rsidR="006945F8" w:rsidRPr="00672B42">
        <w:rPr>
          <w:rFonts w:ascii="Cambria" w:hAnsi="Cambria" w:cs="Times New Roman"/>
          <w:i/>
          <w:color w:val="C00000"/>
          <w:sz w:val="28"/>
          <w:szCs w:val="28"/>
          <w:lang w:eastAsia="fr-FR"/>
        </w:rPr>
        <w:t>)</w:t>
      </w:r>
    </w:p>
    <w:p w14:paraId="71C09FCE" w14:textId="77777777" w:rsidR="004718C0" w:rsidRDefault="004718C0" w:rsidP="004718C0">
      <w:pPr>
        <w:spacing w:after="0" w:line="240" w:lineRule="auto"/>
        <w:rPr>
          <w:rFonts w:ascii="Cambria" w:eastAsiaTheme="minorHAnsi" w:hAnsi="Cambria" w:cs="Times New Roman"/>
          <w:bCs/>
          <w:kern w:val="0"/>
          <w:sz w:val="22"/>
          <w:lang w:eastAsia="en-US"/>
        </w:rPr>
      </w:pPr>
    </w:p>
    <w:p w14:paraId="125B3D59" w14:textId="26A06147" w:rsidR="00B16B8D" w:rsidRPr="004718C0" w:rsidRDefault="00B16B8D" w:rsidP="00FA6589">
      <w:pPr>
        <w:spacing w:after="0" w:line="240" w:lineRule="auto"/>
        <w:jc w:val="center"/>
        <w:rPr>
          <w:rFonts w:ascii="Cambria" w:eastAsiaTheme="minorHAnsi" w:hAnsi="Cambria" w:cs="Times New Roman"/>
          <w:bCs/>
          <w:kern w:val="0"/>
          <w:sz w:val="22"/>
          <w:lang w:eastAsia="en-US"/>
        </w:rPr>
      </w:pPr>
      <w:r w:rsidRPr="004718C0">
        <w:rPr>
          <w:rFonts w:ascii="Cambria" w:eastAsiaTheme="minorHAnsi" w:hAnsi="Cambria" w:cs="Times New Roman"/>
          <w:bCs/>
          <w:kern w:val="0"/>
          <w:sz w:val="22"/>
          <w:lang w:eastAsia="en-US"/>
        </w:rPr>
        <w:t>Anne Conchon</w:t>
      </w:r>
      <w:r w:rsidR="00FA6589" w:rsidRPr="004718C0">
        <w:rPr>
          <w:rFonts w:ascii="Cambria" w:eastAsiaTheme="minorHAnsi" w:hAnsi="Cambria" w:cs="Times New Roman"/>
          <w:bCs/>
          <w:kern w:val="0"/>
          <w:sz w:val="22"/>
          <w:lang w:eastAsia="en-US"/>
        </w:rPr>
        <w:t xml:space="preserve"> </w:t>
      </w:r>
      <w:r w:rsidR="003800CA" w:rsidRPr="004718C0">
        <w:rPr>
          <w:rFonts w:ascii="Cambria" w:eastAsiaTheme="minorHAnsi" w:hAnsi="Cambria" w:cs="Times New Roman"/>
          <w:bCs/>
          <w:kern w:val="0"/>
          <w:sz w:val="22"/>
          <w:lang w:eastAsia="en-US"/>
        </w:rPr>
        <w:t>(CM/TD)</w:t>
      </w:r>
    </w:p>
    <w:p w14:paraId="747A8815" w14:textId="77777777" w:rsidR="006F36FA" w:rsidRPr="004718C0" w:rsidRDefault="006F36FA" w:rsidP="006F36FA">
      <w:pPr>
        <w:pStyle w:val="para"/>
        <w:spacing w:before="0" w:beforeAutospacing="0" w:after="0" w:afterAutospacing="0"/>
        <w:jc w:val="both"/>
        <w:rPr>
          <w:rFonts w:ascii="Cambria" w:hAnsi="Cambria"/>
          <w:b/>
          <w:bCs/>
          <w:color w:val="881631" w:themeColor="accent1" w:themeShade="BF"/>
          <w:sz w:val="22"/>
          <w:szCs w:val="22"/>
        </w:rPr>
      </w:pPr>
    </w:p>
    <w:p w14:paraId="37E5B8F9" w14:textId="17BDDCB6" w:rsidR="006F36FA" w:rsidRPr="004718C0" w:rsidRDefault="006F36FA" w:rsidP="006F36FA">
      <w:pPr>
        <w:ind w:firstLine="284"/>
        <w:jc w:val="both"/>
        <w:rPr>
          <w:rFonts w:ascii="Cambria" w:hAnsi="Cambria"/>
          <w:b w:val="0"/>
          <w:bCs/>
          <w:sz w:val="22"/>
        </w:rPr>
      </w:pPr>
      <w:r w:rsidRPr="004718C0">
        <w:rPr>
          <w:rFonts w:ascii="Cambria" w:hAnsi="Cambria"/>
          <w:b w:val="0"/>
          <w:bCs/>
          <w:iCs/>
          <w:sz w:val="22"/>
        </w:rPr>
        <w:t>Dans le sillage des travaux menés dans les sciences sociales sur les mobilités contemporaines (</w:t>
      </w:r>
      <w:r w:rsidRPr="004718C0">
        <w:rPr>
          <w:rFonts w:ascii="Cambria" w:hAnsi="Cambria"/>
          <w:b w:val="0"/>
          <w:bCs/>
          <w:i/>
          <w:sz w:val="22"/>
        </w:rPr>
        <w:t>mobility turn</w:t>
      </w:r>
      <w:r w:rsidRPr="004718C0">
        <w:rPr>
          <w:rFonts w:ascii="Cambria" w:hAnsi="Cambria"/>
          <w:b w:val="0"/>
          <w:bCs/>
          <w:iCs/>
          <w:sz w:val="22"/>
        </w:rPr>
        <w:t>)</w:t>
      </w:r>
      <w:r w:rsidRPr="004718C0">
        <w:rPr>
          <w:rFonts w:ascii="Cambria" w:hAnsi="Cambria"/>
          <w:b w:val="0"/>
          <w:bCs/>
          <w:sz w:val="22"/>
        </w:rPr>
        <w:t>, l</w:t>
      </w:r>
      <w:r w:rsidRPr="004718C0">
        <w:rPr>
          <w:rFonts w:ascii="Cambria" w:hAnsi="Cambria"/>
          <w:b w:val="0"/>
          <w:bCs/>
          <w:sz w:val="22"/>
          <w:shd w:val="clear" w:color="auto" w:fill="FFFFFF"/>
        </w:rPr>
        <w:t>es circulations ont fait l’objet d’importants renouvellements historiographiques en histoire moderne au cours de ces trois dernières décennies.</w:t>
      </w:r>
      <w:r w:rsidRPr="004718C0">
        <w:rPr>
          <w:rFonts w:ascii="Cambria" w:hAnsi="Cambria"/>
          <w:b w:val="0"/>
          <w:bCs/>
          <w:sz w:val="22"/>
        </w:rPr>
        <w:t xml:space="preserve"> En s’appuyant sur ces travaux, ce cours a pour objectif de montrer comment l’essor, l’amplification et l’accélération des déplacements </w:t>
      </w:r>
      <w:r w:rsidRPr="004718C0">
        <w:rPr>
          <w:rStyle w:val="Accentuation"/>
          <w:rFonts w:ascii="Cambria" w:hAnsi="Cambria"/>
          <w:b w:val="0"/>
          <w:bCs/>
          <w:i w:val="0"/>
          <w:sz w:val="22"/>
        </w:rPr>
        <w:t xml:space="preserve">participent aux transformations politiques, économiques et culturelles des sociétés. L’étude des mobilités invite à considérer </w:t>
      </w:r>
      <w:r w:rsidRPr="004718C0">
        <w:rPr>
          <w:rFonts w:ascii="Cambria" w:hAnsi="Cambria"/>
          <w:b w:val="0"/>
          <w:bCs/>
          <w:sz w:val="22"/>
        </w:rPr>
        <w:t xml:space="preserve">non seulement les infrastructures de transport, les types de flux, les vitesses différenciées, aussi de saisir les valeurs ambivalentes qu’elle véhicule. En envisageant les déplacements des personnes, la circulation du courrier comme des informations et les trafics marchands, il s’agit d’interroger à la fois les </w:t>
      </w:r>
      <w:r w:rsidRPr="004718C0">
        <w:rPr>
          <w:rFonts w:ascii="Cambria" w:hAnsi="Cambria"/>
          <w:b w:val="0"/>
          <w:bCs/>
          <w:color w:val="000000"/>
          <w:sz w:val="22"/>
          <w:shd w:val="clear" w:color="auto" w:fill="FFFFFF"/>
        </w:rPr>
        <w:t xml:space="preserve">déterminants et les effets des mobilités sur la </w:t>
      </w:r>
      <w:r w:rsidRPr="004718C0">
        <w:rPr>
          <w:rFonts w:ascii="Cambria" w:hAnsi="Cambria"/>
          <w:b w:val="0"/>
          <w:bCs/>
          <w:sz w:val="22"/>
        </w:rPr>
        <w:t>structuration des territoires, la construction des pouvoirs, les dynamiques d’enrichissement et les expériences sociales. Civiles et militaires, libres et contraintes, contrôlées ou illicites, les mobilités seront appréhendées à différentes échelles et selon différents modes de transports pour saisir le rôle central des circulations dans les processus d’intégration, de domination et de mise en relation des espaces entre le XVIIᵉ siècle et le début du XIXᵉ siècle.</w:t>
      </w:r>
    </w:p>
    <w:p w14:paraId="02F5F064" w14:textId="77777777" w:rsidR="006F36FA" w:rsidRPr="004718C0" w:rsidRDefault="006F36FA" w:rsidP="006F36FA">
      <w:pPr>
        <w:jc w:val="both"/>
        <w:rPr>
          <w:rFonts w:ascii="Cambria" w:eastAsia="Times New Roman" w:hAnsi="Cambria"/>
          <w:b w:val="0"/>
          <w:bCs/>
          <w:sz w:val="22"/>
          <w:lang w:eastAsia="fr-FR"/>
        </w:rPr>
      </w:pPr>
      <w:r w:rsidRPr="004718C0">
        <w:rPr>
          <w:rFonts w:ascii="Cambria" w:eastAsia="Times New Roman" w:hAnsi="Cambria"/>
          <w:b w:val="0"/>
          <w:bCs/>
          <w:sz w:val="22"/>
          <w:lang w:eastAsia="fr-FR"/>
        </w:rPr>
        <w:t>Le premier semestre traitera des mobilités à différentes échelles en France et le second semestre s’intéressera aux circulations au long cours, en Europe et à travers le monde.</w:t>
      </w:r>
    </w:p>
    <w:p w14:paraId="5566F2B1" w14:textId="05BF98D3" w:rsidR="0050484C" w:rsidRPr="004718C0" w:rsidRDefault="006F36FA" w:rsidP="006F36FA">
      <w:pPr>
        <w:jc w:val="both"/>
        <w:rPr>
          <w:rFonts w:ascii="Cambria" w:eastAsia="Times New Roman" w:hAnsi="Cambria"/>
          <w:b w:val="0"/>
          <w:bCs/>
          <w:sz w:val="22"/>
          <w:lang w:eastAsia="fr-FR"/>
        </w:rPr>
      </w:pPr>
      <w:r w:rsidRPr="004718C0">
        <w:rPr>
          <w:rFonts w:ascii="Cambria" w:eastAsia="Times New Roman" w:hAnsi="Cambria"/>
          <w:b w:val="0"/>
          <w:bCs/>
          <w:sz w:val="22"/>
          <w:lang w:eastAsia="fr-FR"/>
        </w:rPr>
        <w:t>Il est recommandé de suivre le cours à l’année</w:t>
      </w:r>
    </w:p>
    <w:p w14:paraId="68E229D9" w14:textId="22569B37" w:rsidR="006F36FA" w:rsidRPr="004718C0" w:rsidRDefault="006F36FA" w:rsidP="004718C0">
      <w:pPr>
        <w:jc w:val="center"/>
        <w:rPr>
          <w:rFonts w:ascii="Cambria" w:eastAsia="Times New Roman" w:hAnsi="Cambria"/>
          <w:b w:val="0"/>
          <w:bCs/>
          <w:sz w:val="22"/>
          <w:lang w:eastAsia="fr-FR"/>
        </w:rPr>
      </w:pPr>
      <w:r w:rsidRPr="004718C0">
        <w:rPr>
          <w:rFonts w:ascii="Cambria" w:eastAsia="Times New Roman" w:hAnsi="Cambria"/>
          <w:bCs/>
          <w:sz w:val="22"/>
          <w:lang w:eastAsia="fr-FR"/>
        </w:rPr>
        <w:t>Références bibliographiques</w:t>
      </w:r>
    </w:p>
    <w:p w14:paraId="476C6B3C" w14:textId="77777777" w:rsidR="006F36FA" w:rsidRPr="004718C0" w:rsidRDefault="006F36FA" w:rsidP="006F36FA">
      <w:pPr>
        <w:rPr>
          <w:rFonts w:ascii="Cambria" w:eastAsia="Times New Roman" w:hAnsi="Cambria"/>
          <w:b w:val="0"/>
          <w:sz w:val="22"/>
          <w:lang w:eastAsia="fr-FR"/>
        </w:rPr>
      </w:pPr>
      <w:r w:rsidRPr="004718C0">
        <w:rPr>
          <w:rFonts w:ascii="Cambria" w:eastAsia="Times New Roman" w:hAnsi="Cambria"/>
          <w:b w:val="0"/>
          <w:sz w:val="22"/>
          <w:lang w:eastAsia="fr-FR"/>
        </w:rPr>
        <w:t>- Pour le premier semestre</w:t>
      </w:r>
    </w:p>
    <w:p w14:paraId="255AAAE0" w14:textId="77777777" w:rsidR="006F36FA" w:rsidRPr="004718C0" w:rsidRDefault="006F36FA" w:rsidP="006F36FA">
      <w:pPr>
        <w:jc w:val="both"/>
        <w:rPr>
          <w:rFonts w:ascii="Cambria" w:hAnsi="Cambria"/>
          <w:b w:val="0"/>
          <w:i/>
          <w:iCs/>
          <w:sz w:val="22"/>
        </w:rPr>
      </w:pPr>
      <w:r w:rsidRPr="004718C0">
        <w:rPr>
          <w:rFonts w:ascii="Cambria" w:hAnsi="Cambria"/>
          <w:b w:val="0"/>
          <w:i/>
          <w:iCs/>
          <w:sz w:val="22"/>
        </w:rPr>
        <w:t xml:space="preserve">La circulation </w:t>
      </w:r>
      <w:r w:rsidRPr="004718C0">
        <w:rPr>
          <w:rFonts w:ascii="Cambria" w:hAnsi="Cambria"/>
          <w:b w:val="0"/>
          <w:i/>
          <w:sz w:val="22"/>
        </w:rPr>
        <w:t>des marchandises sous l'Ancien Régime</w:t>
      </w:r>
      <w:r w:rsidRPr="004718C0">
        <w:rPr>
          <w:rFonts w:ascii="Cambria" w:hAnsi="Cambria"/>
          <w:b w:val="0"/>
          <w:sz w:val="22"/>
        </w:rPr>
        <w:t>, Paris, éd. CHEFF, Paris, 1998.</w:t>
      </w:r>
    </w:p>
    <w:p w14:paraId="14C28E9A" w14:textId="77777777" w:rsidR="004718C0" w:rsidRDefault="004718C0" w:rsidP="006F36FA">
      <w:pPr>
        <w:jc w:val="both"/>
        <w:rPr>
          <w:rFonts w:ascii="Cambria" w:hAnsi="Cambria"/>
          <w:b w:val="0"/>
          <w:sz w:val="22"/>
        </w:rPr>
      </w:pPr>
    </w:p>
    <w:p w14:paraId="2BE12002" w14:textId="77777777" w:rsidR="004718C0" w:rsidRDefault="004718C0" w:rsidP="006F36FA">
      <w:pPr>
        <w:jc w:val="both"/>
        <w:rPr>
          <w:rFonts w:ascii="Cambria" w:hAnsi="Cambria"/>
          <w:b w:val="0"/>
          <w:sz w:val="22"/>
        </w:rPr>
      </w:pPr>
    </w:p>
    <w:p w14:paraId="225A1131" w14:textId="06E575B4" w:rsidR="006F36FA" w:rsidRPr="004718C0" w:rsidRDefault="006F36FA" w:rsidP="006F36FA">
      <w:pPr>
        <w:jc w:val="both"/>
        <w:rPr>
          <w:rFonts w:ascii="Cambria" w:hAnsi="Cambria"/>
          <w:b w:val="0"/>
          <w:sz w:val="22"/>
        </w:rPr>
      </w:pPr>
      <w:r w:rsidRPr="004718C0">
        <w:rPr>
          <w:rFonts w:ascii="Cambria" w:hAnsi="Cambria"/>
          <w:b w:val="0"/>
          <w:sz w:val="22"/>
        </w:rPr>
        <w:t xml:space="preserve">Guy </w:t>
      </w:r>
      <w:r w:rsidRPr="004718C0">
        <w:rPr>
          <w:rFonts w:ascii="Cambria" w:hAnsi="Cambria"/>
          <w:b w:val="0"/>
          <w:smallCaps/>
          <w:sz w:val="22"/>
        </w:rPr>
        <w:t>Arbellot</w:t>
      </w:r>
      <w:r w:rsidRPr="004718C0">
        <w:rPr>
          <w:rFonts w:ascii="Cambria" w:hAnsi="Cambria"/>
          <w:b w:val="0"/>
          <w:sz w:val="22"/>
        </w:rPr>
        <w:t>, « La grande mutation des routes en France au milieu du XVIII</w:t>
      </w:r>
      <w:r w:rsidRPr="004718C0">
        <w:rPr>
          <w:rFonts w:ascii="Cambria" w:hAnsi="Cambria"/>
          <w:b w:val="0"/>
          <w:sz w:val="22"/>
          <w:vertAlign w:val="superscript"/>
        </w:rPr>
        <w:t>e</w:t>
      </w:r>
      <w:r w:rsidRPr="004718C0">
        <w:rPr>
          <w:rFonts w:ascii="Cambria" w:hAnsi="Cambria"/>
          <w:b w:val="0"/>
          <w:sz w:val="22"/>
        </w:rPr>
        <w:t xml:space="preserve"> siècle », </w:t>
      </w:r>
      <w:r w:rsidRPr="004718C0">
        <w:rPr>
          <w:rFonts w:ascii="Cambria" w:hAnsi="Cambria"/>
          <w:b w:val="0"/>
          <w:i/>
          <w:iCs/>
          <w:sz w:val="22"/>
        </w:rPr>
        <w:t>Annales ESC</w:t>
      </w:r>
      <w:r w:rsidRPr="004718C0">
        <w:rPr>
          <w:rFonts w:ascii="Cambria" w:hAnsi="Cambria"/>
          <w:b w:val="0"/>
          <w:sz w:val="22"/>
        </w:rPr>
        <w:t>, mai-juin 1973, 3, pp. 765-791.</w:t>
      </w:r>
    </w:p>
    <w:p w14:paraId="74525904" w14:textId="77777777" w:rsidR="006F36FA" w:rsidRPr="004718C0" w:rsidRDefault="006F36FA" w:rsidP="006F36FA">
      <w:pPr>
        <w:jc w:val="both"/>
        <w:rPr>
          <w:rFonts w:ascii="Cambria" w:hAnsi="Cambria"/>
          <w:b w:val="0"/>
          <w:sz w:val="32"/>
          <w:szCs w:val="32"/>
        </w:rPr>
      </w:pPr>
      <w:r w:rsidRPr="004718C0">
        <w:rPr>
          <w:rFonts w:ascii="Cambria" w:hAnsi="Cambria"/>
          <w:b w:val="0"/>
          <w:sz w:val="22"/>
          <w:lang w:val="en-US"/>
        </w:rPr>
        <w:t xml:space="preserve">Catherine </w:t>
      </w:r>
      <w:r w:rsidRPr="004718C0">
        <w:rPr>
          <w:rFonts w:ascii="Cambria" w:hAnsi="Cambria"/>
          <w:b w:val="0"/>
          <w:smallCaps/>
          <w:sz w:val="22"/>
          <w:lang w:val="en-US"/>
        </w:rPr>
        <w:t>Herr-Laporte</w:t>
      </w:r>
      <w:r w:rsidRPr="004718C0">
        <w:rPr>
          <w:rFonts w:ascii="Cambria" w:hAnsi="Cambria"/>
          <w:b w:val="0"/>
          <w:sz w:val="32"/>
          <w:szCs w:val="32"/>
          <w:lang w:val="en-US"/>
        </w:rPr>
        <w:t xml:space="preserve">, </w:t>
      </w:r>
      <w:r w:rsidRPr="004718C0">
        <w:rPr>
          <w:rStyle w:val="Appelnotedebasdep"/>
          <w:rFonts w:ascii="Cambria" w:hAnsi="Cambria"/>
          <w:b w:val="0"/>
          <w:i/>
          <w:iCs/>
          <w:sz w:val="32"/>
          <w:szCs w:val="32"/>
        </w:rPr>
        <w:t>Être à l'heure : coordonner les mobilités en France au XVIIIe siècle</w:t>
      </w:r>
      <w:r w:rsidRPr="004718C0">
        <w:rPr>
          <w:rStyle w:val="Appelnotedebasdep"/>
          <w:rFonts w:ascii="Cambria" w:hAnsi="Cambria"/>
          <w:b w:val="0"/>
          <w:sz w:val="32"/>
          <w:szCs w:val="32"/>
        </w:rPr>
        <w:t>, Paris, éd. Ecole des Mines, 2025</w:t>
      </w:r>
    </w:p>
    <w:p w14:paraId="162DF4F4"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Bernard </w:t>
      </w:r>
      <w:r w:rsidRPr="004718C0">
        <w:rPr>
          <w:rFonts w:ascii="Cambria" w:hAnsi="Cambria"/>
          <w:b w:val="0"/>
          <w:smallCaps/>
          <w:sz w:val="22"/>
        </w:rPr>
        <w:t>Lepetit</w:t>
      </w:r>
      <w:r w:rsidRPr="004718C0">
        <w:rPr>
          <w:rFonts w:ascii="Cambria" w:hAnsi="Cambria"/>
          <w:b w:val="0"/>
          <w:sz w:val="22"/>
        </w:rPr>
        <w:t xml:space="preserve">, </w:t>
      </w:r>
      <w:r w:rsidRPr="004718C0">
        <w:rPr>
          <w:rFonts w:ascii="Cambria" w:hAnsi="Cambria"/>
          <w:b w:val="0"/>
          <w:i/>
          <w:iCs/>
          <w:sz w:val="22"/>
        </w:rPr>
        <w:t>Chemins et voies d’eau.</w:t>
      </w:r>
      <w:r w:rsidRPr="004718C0">
        <w:rPr>
          <w:rFonts w:ascii="Cambria" w:hAnsi="Cambria"/>
          <w:b w:val="0"/>
          <w:sz w:val="22"/>
        </w:rPr>
        <w:t xml:space="preserve"> </w:t>
      </w:r>
      <w:r w:rsidRPr="004718C0">
        <w:rPr>
          <w:rStyle w:val="Accentuation"/>
          <w:rFonts w:ascii="Cambria" w:hAnsi="Cambria"/>
          <w:b w:val="0"/>
          <w:color w:val="000000"/>
          <w:sz w:val="22"/>
          <w:shd w:val="clear" w:color="auto" w:fill="FFFFFF"/>
        </w:rPr>
        <w:t>Réseaux de transports et organisation de l'espace en France (1740-1840)</w:t>
      </w:r>
      <w:r w:rsidRPr="004718C0">
        <w:rPr>
          <w:rStyle w:val="Accentuation"/>
          <w:rFonts w:ascii="Cambria" w:hAnsi="Cambria"/>
          <w:b w:val="0"/>
          <w:i w:val="0"/>
          <w:iCs w:val="0"/>
          <w:color w:val="000000"/>
          <w:sz w:val="22"/>
          <w:shd w:val="clear" w:color="auto" w:fill="FFFFFF"/>
        </w:rPr>
        <w:t>, Paris, éd. EHESS, 1984</w:t>
      </w:r>
    </w:p>
    <w:p w14:paraId="7C1AE9E9"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Georges </w:t>
      </w:r>
      <w:r w:rsidRPr="004718C0">
        <w:rPr>
          <w:rFonts w:ascii="Cambria" w:hAnsi="Cambria"/>
          <w:b w:val="0"/>
          <w:smallCaps/>
          <w:sz w:val="22"/>
        </w:rPr>
        <w:t>Livet</w:t>
      </w:r>
      <w:r w:rsidRPr="004718C0">
        <w:rPr>
          <w:rFonts w:ascii="Cambria" w:hAnsi="Cambria"/>
          <w:b w:val="0"/>
          <w:sz w:val="22"/>
        </w:rPr>
        <w:t xml:space="preserve">, </w:t>
      </w:r>
      <w:r w:rsidRPr="004718C0">
        <w:rPr>
          <w:rFonts w:ascii="Cambria" w:hAnsi="Cambria"/>
          <w:b w:val="0"/>
          <w:i/>
          <w:iCs/>
          <w:sz w:val="22"/>
        </w:rPr>
        <w:t>Histoire des routes et des transports en Europe</w:t>
      </w:r>
      <w:r w:rsidRPr="004718C0">
        <w:rPr>
          <w:rFonts w:ascii="Cambria" w:hAnsi="Cambria"/>
          <w:b w:val="0"/>
          <w:sz w:val="22"/>
        </w:rPr>
        <w:t xml:space="preserve">. </w:t>
      </w:r>
      <w:r w:rsidRPr="004718C0">
        <w:rPr>
          <w:rFonts w:ascii="Cambria" w:hAnsi="Cambria"/>
          <w:b w:val="0"/>
          <w:i/>
          <w:iCs/>
          <w:sz w:val="22"/>
        </w:rPr>
        <w:t>Des chemins de Saint-Jacques à l’âge d’or des diligences</w:t>
      </w:r>
      <w:r w:rsidRPr="004718C0">
        <w:rPr>
          <w:rFonts w:ascii="Cambria" w:hAnsi="Cambria"/>
          <w:b w:val="0"/>
          <w:sz w:val="22"/>
        </w:rPr>
        <w:t>, Strasbourg, Presses universitaires de Strasbourg, 2003.</w:t>
      </w:r>
    </w:p>
    <w:p w14:paraId="2F8C9578"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Patrick </w:t>
      </w:r>
      <w:r w:rsidRPr="004718C0">
        <w:rPr>
          <w:rFonts w:ascii="Cambria" w:hAnsi="Cambria"/>
          <w:b w:val="0"/>
          <w:smallCaps/>
          <w:sz w:val="22"/>
        </w:rPr>
        <w:t>Marchand</w:t>
      </w:r>
      <w:r w:rsidRPr="004718C0">
        <w:rPr>
          <w:rFonts w:ascii="Cambria" w:hAnsi="Cambria"/>
          <w:b w:val="0"/>
          <w:sz w:val="22"/>
        </w:rPr>
        <w:t xml:space="preserve">, </w:t>
      </w:r>
      <w:r w:rsidRPr="004718C0">
        <w:rPr>
          <w:rStyle w:val="lev"/>
          <w:rFonts w:ascii="Cambria" w:hAnsi="Cambria"/>
          <w:bCs w:val="0"/>
          <w:i/>
          <w:iCs/>
          <w:color w:val="282928"/>
          <w:sz w:val="22"/>
          <w:shd w:val="clear" w:color="auto" w:fill="FFFFFF"/>
        </w:rPr>
        <w:t>Le maître de poste et le messager : une histoire du transport public en France au temps du cheval (1700-1850),</w:t>
      </w:r>
      <w:r w:rsidRPr="004718C0">
        <w:rPr>
          <w:rStyle w:val="lev"/>
          <w:rFonts w:ascii="Cambria" w:hAnsi="Cambria"/>
          <w:bCs w:val="0"/>
          <w:color w:val="282928"/>
          <w:sz w:val="22"/>
          <w:shd w:val="clear" w:color="auto" w:fill="FFFFFF"/>
        </w:rPr>
        <w:t xml:space="preserve"> Paris, Belin, 2006</w:t>
      </w:r>
    </w:p>
    <w:p w14:paraId="4FF278CB" w14:textId="61B2121D" w:rsidR="006F36FA" w:rsidRPr="004718C0" w:rsidRDefault="006F36FA" w:rsidP="004718C0">
      <w:pPr>
        <w:pStyle w:val="Titre1"/>
        <w:jc w:val="both"/>
        <w:rPr>
          <w:rFonts w:ascii="Cambria" w:hAnsi="Cambria"/>
          <w:b w:val="0"/>
          <w:sz w:val="22"/>
        </w:rPr>
      </w:pPr>
      <w:r w:rsidRPr="004718C0">
        <w:rPr>
          <w:rFonts w:ascii="Cambria" w:hAnsi="Cambria"/>
          <w:b w:val="0"/>
          <w:sz w:val="22"/>
        </w:rPr>
        <w:t>Christophe</w:t>
      </w:r>
      <w:r w:rsidRPr="004718C0">
        <w:rPr>
          <w:rFonts w:ascii="Cambria" w:hAnsi="Cambria"/>
          <w:b w:val="0"/>
          <w:i/>
          <w:iCs/>
          <w:smallCaps/>
          <w:sz w:val="22"/>
        </w:rPr>
        <w:t xml:space="preserve"> </w:t>
      </w:r>
      <w:r w:rsidRPr="004718C0">
        <w:rPr>
          <w:rFonts w:ascii="Cambria" w:hAnsi="Cambria"/>
          <w:b w:val="0"/>
          <w:smallCaps/>
          <w:sz w:val="22"/>
        </w:rPr>
        <w:t>Studény</w:t>
      </w:r>
      <w:r w:rsidRPr="004718C0">
        <w:rPr>
          <w:rFonts w:ascii="Cambria" w:hAnsi="Cambria"/>
          <w:b w:val="0"/>
          <w:sz w:val="22"/>
        </w:rPr>
        <w:t xml:space="preserve">, </w:t>
      </w:r>
      <w:r w:rsidRPr="004718C0">
        <w:rPr>
          <w:rFonts w:ascii="Cambria" w:hAnsi="Cambria"/>
          <w:b w:val="0"/>
          <w:i/>
          <w:sz w:val="22"/>
        </w:rPr>
        <w:t>L'Invention de la vitesse en France (XVIII-XX</w:t>
      </w:r>
      <w:r w:rsidRPr="004718C0">
        <w:rPr>
          <w:rFonts w:ascii="Cambria" w:hAnsi="Cambria"/>
          <w:b w:val="0"/>
          <w:i/>
          <w:iCs/>
          <w:position w:val="6"/>
          <w:sz w:val="22"/>
        </w:rPr>
        <w:t>e</w:t>
      </w:r>
      <w:r w:rsidRPr="004718C0">
        <w:rPr>
          <w:rFonts w:ascii="Cambria" w:hAnsi="Cambria"/>
          <w:b w:val="0"/>
          <w:i/>
          <w:sz w:val="22"/>
        </w:rPr>
        <w:t xml:space="preserve"> siècles), </w:t>
      </w:r>
      <w:r w:rsidRPr="004718C0">
        <w:rPr>
          <w:rFonts w:ascii="Cambria" w:hAnsi="Cambria"/>
          <w:b w:val="0"/>
          <w:sz w:val="22"/>
        </w:rPr>
        <w:t>Paris, Gallimard, 1995.</w:t>
      </w:r>
    </w:p>
    <w:p w14:paraId="2410E5D4" w14:textId="77777777" w:rsidR="006F36FA" w:rsidRPr="004718C0" w:rsidRDefault="006F36FA" w:rsidP="006F36FA">
      <w:pPr>
        <w:rPr>
          <w:rFonts w:ascii="Cambria" w:eastAsia="Times New Roman" w:hAnsi="Cambria"/>
          <w:b w:val="0"/>
          <w:sz w:val="22"/>
          <w:lang w:val="en-US" w:eastAsia="fr-FR"/>
        </w:rPr>
      </w:pPr>
      <w:r w:rsidRPr="004718C0">
        <w:rPr>
          <w:rFonts w:ascii="Cambria" w:eastAsia="Times New Roman" w:hAnsi="Cambria"/>
          <w:b w:val="0"/>
          <w:sz w:val="22"/>
          <w:lang w:val="en-US" w:eastAsia="fr-FR"/>
        </w:rPr>
        <w:t>- Pour le second semestre</w:t>
      </w:r>
    </w:p>
    <w:p w14:paraId="374DC6F0" w14:textId="77777777" w:rsidR="006F36FA" w:rsidRPr="004718C0" w:rsidRDefault="006F36FA" w:rsidP="006F36FA">
      <w:pPr>
        <w:jc w:val="both"/>
        <w:rPr>
          <w:rFonts w:ascii="Cambria" w:hAnsi="Cambria"/>
          <w:b w:val="0"/>
          <w:sz w:val="22"/>
        </w:rPr>
      </w:pPr>
      <w:r w:rsidRPr="004718C0">
        <w:rPr>
          <w:rFonts w:ascii="Cambria" w:hAnsi="Cambria"/>
          <w:b w:val="0"/>
          <w:i/>
          <w:sz w:val="22"/>
          <w:lang w:val="en-US"/>
        </w:rPr>
        <w:t>Britain’s Oceanic Empire Atlantic and Indian Ocean Worlds C 1550-1850</w:t>
      </w:r>
      <w:r w:rsidRPr="004718C0">
        <w:rPr>
          <w:rFonts w:ascii="Cambria" w:hAnsi="Cambria"/>
          <w:b w:val="0"/>
          <w:sz w:val="22"/>
          <w:lang w:val="en-US"/>
        </w:rPr>
        <w:t xml:space="preserve">, ed. </w:t>
      </w:r>
      <w:r w:rsidRPr="004718C0">
        <w:rPr>
          <w:rFonts w:ascii="Cambria" w:hAnsi="Cambria"/>
          <w:b w:val="0"/>
          <w:sz w:val="22"/>
        </w:rPr>
        <w:t>H. V. Bowen, E. Maneke et J. G. Reid, Cambridge, CUP, 2012</w:t>
      </w:r>
    </w:p>
    <w:p w14:paraId="3DD5C59F" w14:textId="77777777" w:rsidR="006F36FA" w:rsidRPr="004718C0" w:rsidRDefault="006F36FA" w:rsidP="006F36FA">
      <w:pPr>
        <w:shd w:val="clear" w:color="auto" w:fill="FFFFFF"/>
        <w:jc w:val="both"/>
        <w:textAlignment w:val="baseline"/>
        <w:rPr>
          <w:rFonts w:ascii="Cambria" w:hAnsi="Cambria"/>
          <w:b w:val="0"/>
          <w:color w:val="333333"/>
          <w:sz w:val="22"/>
        </w:rPr>
      </w:pPr>
      <w:r w:rsidRPr="004718C0">
        <w:rPr>
          <w:rFonts w:ascii="Cambria" w:hAnsi="Cambria"/>
          <w:b w:val="0"/>
          <w:sz w:val="22"/>
        </w:rPr>
        <w:t xml:space="preserve">Baptiste </w:t>
      </w:r>
      <w:r w:rsidRPr="004718C0">
        <w:rPr>
          <w:rFonts w:ascii="Cambria" w:hAnsi="Cambria"/>
          <w:b w:val="0"/>
          <w:smallCaps/>
          <w:sz w:val="22"/>
        </w:rPr>
        <w:t>Bonnefoy</w:t>
      </w:r>
      <w:r w:rsidRPr="004718C0">
        <w:rPr>
          <w:rFonts w:ascii="Cambria" w:hAnsi="Cambria"/>
          <w:b w:val="0"/>
          <w:sz w:val="22"/>
        </w:rPr>
        <w:t xml:space="preserve">, </w:t>
      </w:r>
      <w:r w:rsidRPr="004718C0">
        <w:rPr>
          <w:rFonts w:ascii="Cambria" w:hAnsi="Cambria"/>
          <w:b w:val="0"/>
          <w:color w:val="333333"/>
          <w:sz w:val="22"/>
        </w:rPr>
        <w:t>« </w:t>
      </w:r>
      <w:hyperlink r:id="rId20" w:history="1">
        <w:r w:rsidRPr="004718C0">
          <w:rPr>
            <w:rStyle w:val="Lienhypertexte"/>
            <w:rFonts w:ascii="Cambria" w:hAnsi="Cambria"/>
            <w:b w:val="0"/>
            <w:color w:val="auto"/>
            <w:sz w:val="22"/>
            <w:bdr w:val="none" w:sz="0" w:space="0" w:color="auto" w:frame="1"/>
          </w:rPr>
          <w:t>Un empire à dos de mule : dans l’enfer de la logistique panaméenne (première moitié du XVIIe siècle)</w:t>
        </w:r>
      </w:hyperlink>
      <w:r w:rsidRPr="004718C0">
        <w:rPr>
          <w:rFonts w:ascii="Cambria" w:hAnsi="Cambria"/>
          <w:b w:val="0"/>
          <w:sz w:val="22"/>
        </w:rPr>
        <w:t> », </w:t>
      </w:r>
      <w:r w:rsidRPr="004718C0">
        <w:rPr>
          <w:rStyle w:val="Accentuation"/>
          <w:rFonts w:ascii="Cambria" w:hAnsi="Cambria"/>
          <w:b w:val="0"/>
          <w:color w:val="333333"/>
          <w:sz w:val="22"/>
          <w:bdr w:val="none" w:sz="0" w:space="0" w:color="auto" w:frame="1"/>
        </w:rPr>
        <w:t>Revue historique</w:t>
      </w:r>
      <w:r w:rsidRPr="004718C0">
        <w:rPr>
          <w:rFonts w:ascii="Cambria" w:hAnsi="Cambria"/>
          <w:b w:val="0"/>
          <w:color w:val="333333"/>
          <w:sz w:val="22"/>
        </w:rPr>
        <w:t>, vol. 713, n°1, 2025, p. 89-115.</w:t>
      </w:r>
    </w:p>
    <w:p w14:paraId="4D0B35D5" w14:textId="77777777" w:rsidR="006F36FA" w:rsidRPr="004718C0" w:rsidRDefault="006F36FA" w:rsidP="006F36FA">
      <w:pPr>
        <w:jc w:val="both"/>
        <w:rPr>
          <w:rFonts w:ascii="Cambria" w:hAnsi="Cambria"/>
          <w:b w:val="0"/>
          <w:color w:val="212529"/>
          <w:sz w:val="22"/>
        </w:rPr>
      </w:pPr>
      <w:r w:rsidRPr="004718C0">
        <w:rPr>
          <w:rFonts w:ascii="Cambria" w:hAnsi="Cambria"/>
          <w:b w:val="0"/>
          <w:color w:val="212529"/>
          <w:sz w:val="22"/>
        </w:rPr>
        <w:t xml:space="preserve">Gilbert </w:t>
      </w:r>
      <w:r w:rsidRPr="004718C0">
        <w:rPr>
          <w:rFonts w:ascii="Cambria" w:hAnsi="Cambria"/>
          <w:b w:val="0"/>
          <w:smallCaps/>
          <w:sz w:val="22"/>
        </w:rPr>
        <w:t>Buti</w:t>
      </w:r>
      <w:r w:rsidRPr="004718C0">
        <w:rPr>
          <w:rFonts w:ascii="Cambria" w:hAnsi="Cambria"/>
          <w:b w:val="0"/>
          <w:sz w:val="22"/>
        </w:rPr>
        <w:t xml:space="preserve">, </w:t>
      </w:r>
      <w:hyperlink r:id="rId21" w:history="1">
        <w:r w:rsidRPr="004718C0">
          <w:rPr>
            <w:rFonts w:ascii="Cambria" w:hAnsi="Cambria"/>
            <w:b w:val="0"/>
            <w:i/>
            <w:iCs/>
            <w:sz w:val="22"/>
          </w:rPr>
          <w:t>Traites négrières en France méditerranéenne (XVII-XIX</w:t>
        </w:r>
        <w:r w:rsidRPr="004718C0">
          <w:rPr>
            <w:rFonts w:ascii="Cambria" w:hAnsi="Cambria"/>
            <w:b w:val="0"/>
            <w:i/>
            <w:iCs/>
            <w:sz w:val="22"/>
            <w:vertAlign w:val="superscript"/>
          </w:rPr>
          <w:t>e</w:t>
        </w:r>
        <w:r w:rsidRPr="004718C0">
          <w:rPr>
            <w:rFonts w:ascii="Cambria" w:hAnsi="Cambria"/>
            <w:b w:val="0"/>
            <w:i/>
            <w:iCs/>
            <w:sz w:val="22"/>
          </w:rPr>
          <w:t xml:space="preserve"> siècle). Trafic</w:t>
        </w:r>
      </w:hyperlink>
      <w:r w:rsidRPr="004718C0">
        <w:rPr>
          <w:rFonts w:ascii="Cambria" w:hAnsi="Cambria"/>
          <w:b w:val="0"/>
          <w:i/>
          <w:iCs/>
          <w:sz w:val="22"/>
        </w:rPr>
        <w:t xml:space="preserve"> infâme et discours vertueux</w:t>
      </w:r>
      <w:r w:rsidRPr="004718C0">
        <w:rPr>
          <w:rFonts w:ascii="Cambria" w:hAnsi="Cambria"/>
          <w:b w:val="0"/>
          <w:sz w:val="22"/>
        </w:rPr>
        <w:t>, Paris, Les Éditions du Cerf, 2023</w:t>
      </w:r>
    </w:p>
    <w:p w14:paraId="421D1AC0" w14:textId="77777777" w:rsidR="006F36FA" w:rsidRPr="004718C0" w:rsidRDefault="006F36FA" w:rsidP="006F36FA">
      <w:pPr>
        <w:pStyle w:val="Titre1"/>
        <w:jc w:val="both"/>
        <w:rPr>
          <w:rFonts w:ascii="Cambria" w:hAnsi="Cambria"/>
          <w:b w:val="0"/>
          <w:sz w:val="22"/>
        </w:rPr>
      </w:pPr>
      <w:r w:rsidRPr="004718C0">
        <w:rPr>
          <w:rFonts w:ascii="Cambria" w:hAnsi="Cambria"/>
          <w:b w:val="0"/>
          <w:sz w:val="22"/>
        </w:rPr>
        <w:t xml:space="preserve">Gilles </w:t>
      </w:r>
      <w:r w:rsidRPr="004718C0">
        <w:rPr>
          <w:rFonts w:ascii="Cambria" w:hAnsi="Cambria"/>
          <w:b w:val="0"/>
          <w:smallCaps/>
          <w:sz w:val="22"/>
        </w:rPr>
        <w:t>Montègre</w:t>
      </w:r>
      <w:r w:rsidRPr="004718C0">
        <w:rPr>
          <w:rFonts w:ascii="Cambria" w:hAnsi="Cambria"/>
          <w:b w:val="0"/>
          <w:sz w:val="22"/>
        </w:rPr>
        <w:t xml:space="preserve">, </w:t>
      </w:r>
      <w:r w:rsidRPr="004718C0">
        <w:rPr>
          <w:rStyle w:val="lev"/>
          <w:rFonts w:ascii="Cambria" w:hAnsi="Cambria"/>
          <w:b/>
          <w:i/>
          <w:iCs/>
          <w:sz w:val="22"/>
          <w:shd w:val="clear" w:color="auto" w:fill="FFFFFF"/>
        </w:rPr>
        <w:t xml:space="preserve">Voyager </w:t>
      </w:r>
      <w:r w:rsidRPr="004718C0">
        <w:rPr>
          <w:rStyle w:val="lev"/>
          <w:rFonts w:ascii="Cambria" w:hAnsi="Cambria"/>
          <w:b/>
          <w:i/>
          <w:iCs/>
          <w:color w:val="282928"/>
          <w:sz w:val="22"/>
          <w:shd w:val="clear" w:color="auto" w:fill="FFFFFF"/>
        </w:rPr>
        <w:t>en Europe au temps des Lumières : les émotions de la liberté</w:t>
      </w:r>
      <w:r w:rsidRPr="004718C0">
        <w:rPr>
          <w:rStyle w:val="lev"/>
          <w:rFonts w:ascii="Cambria" w:hAnsi="Cambria"/>
          <w:b/>
          <w:color w:val="282928"/>
          <w:sz w:val="22"/>
          <w:shd w:val="clear" w:color="auto" w:fill="FFFFFF"/>
        </w:rPr>
        <w:t>, </w:t>
      </w:r>
      <w:r w:rsidRPr="004718C0">
        <w:rPr>
          <w:rFonts w:ascii="Cambria" w:hAnsi="Cambria"/>
          <w:b w:val="0"/>
          <w:color w:val="212529"/>
          <w:sz w:val="22"/>
          <w:shd w:val="clear" w:color="auto" w:fill="F8F8F8"/>
        </w:rPr>
        <w:t>Paris, Tallandier, 2024</w:t>
      </w:r>
    </w:p>
    <w:p w14:paraId="71980094" w14:textId="77777777" w:rsidR="006F36FA" w:rsidRPr="004718C0" w:rsidRDefault="006F36FA" w:rsidP="006F36FA">
      <w:pPr>
        <w:jc w:val="both"/>
        <w:rPr>
          <w:rFonts w:ascii="Cambria" w:hAnsi="Cambria"/>
          <w:b w:val="0"/>
          <w:sz w:val="22"/>
        </w:rPr>
      </w:pPr>
      <w:r w:rsidRPr="004718C0">
        <w:rPr>
          <w:rFonts w:ascii="Cambria" w:hAnsi="Cambria"/>
          <w:b w:val="0"/>
          <w:color w:val="212529"/>
          <w:sz w:val="22"/>
        </w:rPr>
        <w:t xml:space="preserve">Olivier </w:t>
      </w:r>
      <w:r w:rsidRPr="004718C0">
        <w:rPr>
          <w:rFonts w:ascii="Cambria" w:hAnsi="Cambria"/>
          <w:b w:val="0"/>
          <w:smallCaps/>
          <w:color w:val="212529"/>
          <w:sz w:val="22"/>
        </w:rPr>
        <w:t>Grenouilleau</w:t>
      </w:r>
      <w:r w:rsidRPr="004718C0">
        <w:rPr>
          <w:rFonts w:ascii="Cambria" w:hAnsi="Cambria"/>
          <w:b w:val="0"/>
          <w:color w:val="212529"/>
          <w:sz w:val="22"/>
        </w:rPr>
        <w:t xml:space="preserve">, </w:t>
      </w:r>
      <w:r w:rsidRPr="004718C0">
        <w:rPr>
          <w:rFonts w:ascii="Cambria" w:hAnsi="Cambria"/>
          <w:b w:val="0"/>
          <w:i/>
          <w:iCs/>
          <w:color w:val="212529"/>
          <w:sz w:val="22"/>
        </w:rPr>
        <w:t>Les traites négrières : essai d'histoire globale</w:t>
      </w:r>
      <w:r w:rsidRPr="004718C0">
        <w:rPr>
          <w:rFonts w:ascii="Cambria" w:hAnsi="Cambria"/>
          <w:b w:val="0"/>
          <w:color w:val="212529"/>
          <w:sz w:val="22"/>
        </w:rPr>
        <w:t>, Paris, Gallimard, 2006</w:t>
      </w:r>
    </w:p>
    <w:p w14:paraId="6F5B1CE2"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Natalia </w:t>
      </w:r>
      <w:r w:rsidRPr="004718C0">
        <w:rPr>
          <w:rFonts w:ascii="Cambria" w:hAnsi="Cambria"/>
          <w:b w:val="0"/>
          <w:smallCaps/>
          <w:sz w:val="22"/>
        </w:rPr>
        <w:t>Platanova</w:t>
      </w:r>
      <w:r w:rsidRPr="004718C0">
        <w:rPr>
          <w:rFonts w:ascii="Cambria" w:hAnsi="Cambria"/>
          <w:b w:val="0"/>
          <w:sz w:val="22"/>
        </w:rPr>
        <w:t xml:space="preserve"> « Le commerce des caravanes russes en Chine du XVIIe siècle à 1762 », </w:t>
      </w:r>
      <w:r w:rsidRPr="004718C0">
        <w:rPr>
          <w:rFonts w:ascii="Cambria" w:hAnsi="Cambria"/>
          <w:b w:val="0"/>
          <w:i/>
          <w:sz w:val="22"/>
        </w:rPr>
        <w:t>Histoire, économie et société</w:t>
      </w:r>
      <w:r w:rsidRPr="004718C0">
        <w:rPr>
          <w:rFonts w:ascii="Cambria" w:hAnsi="Cambria"/>
          <w:b w:val="0"/>
          <w:sz w:val="22"/>
        </w:rPr>
        <w:t>, 30 (3), 2011, p. 3-27</w:t>
      </w:r>
    </w:p>
    <w:p w14:paraId="156FF254" w14:textId="77777777" w:rsidR="006F36FA" w:rsidRPr="004718C0" w:rsidRDefault="006F36FA" w:rsidP="006F36FA">
      <w:pPr>
        <w:pStyle w:val="Titre1"/>
        <w:jc w:val="both"/>
        <w:rPr>
          <w:rFonts w:ascii="Cambria" w:hAnsi="Cambria"/>
          <w:b w:val="0"/>
          <w:sz w:val="22"/>
        </w:rPr>
      </w:pPr>
      <w:r w:rsidRPr="004718C0">
        <w:rPr>
          <w:rFonts w:ascii="Cambria" w:hAnsi="Cambria"/>
          <w:b w:val="0"/>
          <w:sz w:val="22"/>
        </w:rPr>
        <w:t xml:space="preserve">Daniel </w:t>
      </w:r>
      <w:r w:rsidRPr="004718C0">
        <w:rPr>
          <w:rFonts w:ascii="Cambria" w:hAnsi="Cambria"/>
          <w:b w:val="0"/>
          <w:smallCaps/>
          <w:sz w:val="22"/>
        </w:rPr>
        <w:t>Roche</w:t>
      </w:r>
      <w:r w:rsidRPr="004718C0">
        <w:rPr>
          <w:rFonts w:ascii="Cambria" w:hAnsi="Cambria"/>
          <w:b w:val="0"/>
          <w:sz w:val="22"/>
        </w:rPr>
        <w:t xml:space="preserve">, </w:t>
      </w:r>
      <w:r w:rsidRPr="004718C0">
        <w:rPr>
          <w:rStyle w:val="fn"/>
          <w:rFonts w:ascii="Cambria" w:hAnsi="Cambria"/>
          <w:b w:val="0"/>
          <w:i/>
          <w:iCs/>
          <w:sz w:val="22"/>
        </w:rPr>
        <w:t>Les circulations dans l'Europe moderne (</w:t>
      </w:r>
      <w:r w:rsidRPr="004718C0">
        <w:rPr>
          <w:rStyle w:val="Sous-titre1"/>
          <w:rFonts w:ascii="Cambria" w:hAnsi="Cambria"/>
          <w:b w:val="0"/>
          <w:i/>
          <w:iCs/>
          <w:sz w:val="22"/>
        </w:rPr>
        <w:t>XVIIe-XVIII</w:t>
      </w:r>
      <w:r w:rsidRPr="004718C0">
        <w:rPr>
          <w:rStyle w:val="Sous-titre1"/>
          <w:rFonts w:ascii="Cambria" w:hAnsi="Cambria"/>
          <w:b w:val="0"/>
          <w:i/>
          <w:iCs/>
          <w:sz w:val="22"/>
          <w:vertAlign w:val="superscript"/>
        </w:rPr>
        <w:t>e</w:t>
      </w:r>
      <w:r w:rsidRPr="004718C0">
        <w:rPr>
          <w:rStyle w:val="Sous-titre1"/>
          <w:rFonts w:ascii="Cambria" w:hAnsi="Cambria"/>
          <w:b w:val="0"/>
          <w:i/>
          <w:iCs/>
          <w:sz w:val="22"/>
        </w:rPr>
        <w:t xml:space="preserve"> siècle), </w:t>
      </w:r>
      <w:r w:rsidRPr="004718C0">
        <w:rPr>
          <w:rStyle w:val="Sous-titre1"/>
          <w:rFonts w:ascii="Cambria" w:hAnsi="Cambria"/>
          <w:b w:val="0"/>
          <w:sz w:val="22"/>
        </w:rPr>
        <w:t xml:space="preserve">Paris, </w:t>
      </w:r>
      <w:r w:rsidRPr="004718C0">
        <w:rPr>
          <w:rFonts w:ascii="Cambria" w:hAnsi="Cambria"/>
          <w:b w:val="0"/>
          <w:sz w:val="22"/>
        </w:rPr>
        <w:t>Fayard/Pluriel, 2011</w:t>
      </w:r>
    </w:p>
    <w:p w14:paraId="02B04D79" w14:textId="77777777" w:rsidR="006F36FA" w:rsidRPr="004718C0" w:rsidRDefault="006F36FA" w:rsidP="006F36FA">
      <w:pPr>
        <w:tabs>
          <w:tab w:val="left" w:pos="1830"/>
        </w:tabs>
        <w:rPr>
          <w:rFonts w:ascii="Cambria" w:hAnsi="Cambria"/>
          <w:sz w:val="22"/>
        </w:rPr>
      </w:pPr>
    </w:p>
    <w:p w14:paraId="120351EE" w14:textId="4098BCFA" w:rsidR="00D1067B" w:rsidRPr="004718C0" w:rsidRDefault="00D1067B" w:rsidP="006F36FA">
      <w:pPr>
        <w:spacing w:after="0" w:line="240" w:lineRule="auto"/>
        <w:jc w:val="center"/>
        <w:rPr>
          <w:rFonts w:ascii="Cambria" w:hAnsi="Cambria" w:cs="Times New Roman"/>
          <w:i/>
          <w:color w:val="C00000"/>
          <w:sz w:val="22"/>
          <w:lang w:eastAsia="fr-FR"/>
        </w:rPr>
      </w:pPr>
    </w:p>
    <w:p w14:paraId="67DC59D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438B32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B3B648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6B7238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9478A7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C1E52A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2E6A24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0E0E35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299BF7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64A17F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0C7A05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5DAB3C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08C90BF"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93C000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CB5A7F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C9013FA"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D72F48F"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3443BF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E19DB2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B8C036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521F08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6DD3EE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89543C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D19395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097945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0295B0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A80DE7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A994A5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4EB1F2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59D4B49"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5DC7FA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76AD8E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05A6A0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B9984B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20CA29A"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3F7C03D"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943975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9862FE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093DE6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70A4E5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6310BD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ED6A29C" w14:textId="77777777" w:rsidR="0010279A" w:rsidRPr="00672B42" w:rsidRDefault="0010279A" w:rsidP="00E802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
          <w:color w:val="C00000"/>
          <w:sz w:val="28"/>
          <w:szCs w:val="28"/>
          <w:lang w:eastAsia="fr-FR"/>
        </w:rPr>
      </w:pPr>
    </w:p>
    <w:p w14:paraId="2F3D5344" w14:textId="77777777" w:rsidR="00D1067B" w:rsidRPr="00672B42" w:rsidRDefault="00D1067B"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C6D864A" w14:textId="77777777" w:rsidR="002455A3" w:rsidRPr="00672B42" w:rsidRDefault="002455A3"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45DECDA"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894424E" w14:textId="77777777" w:rsidR="006C6621"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930239C"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EB16F06"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F687FAC"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6C6956A"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A87DFC3" w14:textId="77777777" w:rsidR="00FF3EC1" w:rsidRPr="00672B42"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ACBCADB"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B323A95"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94FAC12"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3610AED"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99CA7AC" w14:textId="4371B65A" w:rsidR="00773CE0" w:rsidRPr="00672B42" w:rsidRDefault="00773CE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r w:rsidRPr="00672B42">
        <w:rPr>
          <w:rFonts w:ascii="Cambria" w:hAnsi="Cambria" w:cs="Times New Roman"/>
          <w:i/>
          <w:color w:val="C00000"/>
          <w:sz w:val="28"/>
          <w:szCs w:val="28"/>
          <w:lang w:eastAsia="fr-FR"/>
        </w:rPr>
        <w:t xml:space="preserve">J3030719/J3030819 : Histoire de la </w:t>
      </w:r>
      <w:r w:rsidR="00CC7B9B" w:rsidRPr="00672B42">
        <w:rPr>
          <w:rFonts w:ascii="Cambria" w:hAnsi="Cambria" w:cs="Times New Roman"/>
          <w:i/>
          <w:color w:val="C00000"/>
          <w:sz w:val="28"/>
          <w:szCs w:val="28"/>
          <w:lang w:eastAsia="fr-FR"/>
        </w:rPr>
        <w:t>Révolution française</w:t>
      </w:r>
    </w:p>
    <w:p w14:paraId="44A8878D" w14:textId="77777777" w:rsidR="00B610A6" w:rsidRPr="00672B42" w:rsidRDefault="00B610A6"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7DBD7DE" w14:textId="0DE9ECF4" w:rsidR="00B610A6" w:rsidRDefault="0050484C"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 xml:space="preserve">Côme Simien (CM/TD S1), </w:t>
      </w:r>
      <w:r w:rsidR="00B610A6" w:rsidRPr="00672B42">
        <w:rPr>
          <w:rFonts w:ascii="Cambria" w:hAnsi="Cambria" w:cs="Times New Roman"/>
          <w:bCs/>
          <w:sz w:val="22"/>
          <w:lang w:eastAsia="fr-FR"/>
        </w:rPr>
        <w:t xml:space="preserve">Pierre Serna (CM/TD S2), </w:t>
      </w:r>
    </w:p>
    <w:p w14:paraId="7FC54ADA" w14:textId="77777777" w:rsidR="00FF3EC1" w:rsidRPr="00672B42" w:rsidRDefault="00FF3EC1"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p>
    <w:p w14:paraId="67F51286" w14:textId="70AE9C93" w:rsidR="00B610A6" w:rsidRPr="00672B42" w:rsidRDefault="005B23EC"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 xml:space="preserve">Bruno Maillard </w:t>
      </w:r>
      <w:r w:rsidR="00B610A6" w:rsidRPr="00672B42">
        <w:rPr>
          <w:rFonts w:ascii="Cambria" w:hAnsi="Cambria" w:cs="Times New Roman"/>
          <w:bCs/>
          <w:sz w:val="22"/>
          <w:lang w:eastAsia="fr-FR"/>
        </w:rPr>
        <w:t>(TD S2)</w:t>
      </w:r>
    </w:p>
    <w:p w14:paraId="144F931F" w14:textId="722C52EA" w:rsidR="00EE03A3" w:rsidRPr="00672B42" w:rsidRDefault="00EE03A3" w:rsidP="00FF3E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
          <w:color w:val="C00000"/>
          <w:sz w:val="28"/>
          <w:szCs w:val="28"/>
          <w:lang w:eastAsia="fr-FR"/>
        </w:rPr>
      </w:pPr>
    </w:p>
    <w:p w14:paraId="39D96A6B" w14:textId="77777777" w:rsidR="00773CE0" w:rsidRPr="00672B42" w:rsidRDefault="00773CE0"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7A2348AE" w14:textId="105E9135" w:rsidR="0032359E" w:rsidRPr="00FF3EC1"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FF3EC1">
        <w:rPr>
          <w:rFonts w:ascii="Cambria" w:hAnsi="Cambria" w:cs="Times New Roman"/>
          <w:color w:val="C00000"/>
          <w:sz w:val="22"/>
          <w:u w:val="single"/>
        </w:rPr>
        <w:t xml:space="preserve">Sujet du cours semestre </w:t>
      </w:r>
      <w:r w:rsidR="00690F4C" w:rsidRPr="00FF3EC1">
        <w:rPr>
          <w:rFonts w:ascii="Cambria" w:hAnsi="Cambria" w:cs="Times New Roman"/>
          <w:color w:val="C00000"/>
          <w:sz w:val="22"/>
          <w:u w:val="single"/>
        </w:rPr>
        <w:t>1</w:t>
      </w:r>
      <w:r w:rsidRPr="00FF3EC1">
        <w:rPr>
          <w:rFonts w:ascii="Cambria" w:hAnsi="Cambria" w:cs="Times New Roman"/>
          <w:color w:val="C00000"/>
          <w:sz w:val="22"/>
        </w:rPr>
        <w:t> : La France en Révolution (1789-1799)</w:t>
      </w:r>
    </w:p>
    <w:p w14:paraId="6D8C33CE" w14:textId="77777777" w:rsidR="0032359E" w:rsidRPr="00672B42"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4525CFA6" w14:textId="2EED3C40"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En une décennie, de 1789 à 1799, la France connaît de profondes transformations politiques, sociales, économiques et culturelles. C’est l’œuvre de la Révolution française, inscrite dans une dynamique plus large (« l’ère des révolutions », qui souffle sur l’Europe et l’Amérique, de part et d’autre de l’espace atlantique). Le cours du premier semestre se propose de revenir sur cet événement fondateur de notre modernité, qui marque tant l’invention des Droits de l’Homme, que l’expérimentation de différentes constitutions, la naissance du régime républicain, les premiers déploiements de la démocratie représentative, voire même de la démocratie sociale, l’expérience vécue de la citoyenneté – par le discours, les urnes, les manifestations, les prises d’armes –, l’invention des premiers musées, de l’Éducation nationale, l’abolition de l’esclavage, en même temps que cette période marque le recours à des politiques d’exception (« la Terreur ») et le basculement dans la guerre civile (la Vendée), sur fond de guerre sans merci contre l’Europe des princes. Suivant le fil des événements, auxquels il s’agira de redonner sens et significations, le cours permettra de mettre en perspectives des dates, des faits, des notions, des noms volontiers connus de l’imaginaire commun, sans cesse mobilisés dans les débats actuels, mais à travers souvent un épais voile d’idées reçues (ou d’oublis) : cahiers de doléances, États généraux, Assemblée nationale, Abolition des privilèges, 14 juillet, fuite à Varennes, procès du roi, Terreur, Robespierre, Jacobins, Girondins, 1793, révolte de Saint-Domingue, etc.</w:t>
      </w:r>
    </w:p>
    <w:p w14:paraId="569BE9C5" w14:textId="77777777" w:rsidR="0032359E" w:rsidRPr="00672B42" w:rsidRDefault="0032359E" w:rsidP="0032359E">
      <w:pPr>
        <w:spacing w:after="0" w:line="276" w:lineRule="auto"/>
        <w:jc w:val="both"/>
        <w:rPr>
          <w:rFonts w:ascii="Cambria" w:eastAsia="Calibri" w:hAnsi="Cambria" w:cs="Times New Roman"/>
          <w:bCs/>
          <w:sz w:val="22"/>
          <w:lang w:eastAsia="en-US"/>
          <w14:ligatures w14:val="standardContextual"/>
        </w:rPr>
      </w:pPr>
    </w:p>
    <w:p w14:paraId="6DCA3E7C" w14:textId="77777777" w:rsidR="0093011A" w:rsidRPr="00672B42" w:rsidRDefault="0093011A" w:rsidP="0032359E">
      <w:pPr>
        <w:spacing w:after="0" w:line="276" w:lineRule="auto"/>
        <w:jc w:val="both"/>
        <w:rPr>
          <w:rFonts w:ascii="Cambria" w:eastAsia="Calibri" w:hAnsi="Cambria" w:cs="Times New Roman"/>
          <w:bCs/>
          <w:sz w:val="22"/>
          <w:lang w:eastAsia="en-US"/>
          <w14:ligatures w14:val="standardContextual"/>
        </w:rPr>
      </w:pPr>
    </w:p>
    <w:p w14:paraId="693BAF12" w14:textId="77777777" w:rsidR="0093011A" w:rsidRPr="00672B42" w:rsidRDefault="0093011A" w:rsidP="0032359E">
      <w:pPr>
        <w:spacing w:after="0" w:line="276" w:lineRule="auto"/>
        <w:jc w:val="both"/>
        <w:rPr>
          <w:rFonts w:ascii="Cambria" w:eastAsia="Calibri" w:hAnsi="Cambria" w:cs="Times New Roman"/>
          <w:bCs/>
          <w:sz w:val="22"/>
          <w:lang w:eastAsia="en-US"/>
          <w14:ligatures w14:val="standardContextual"/>
        </w:rPr>
      </w:pPr>
    </w:p>
    <w:p w14:paraId="399072D8" w14:textId="3D061F58"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Cs/>
          <w:sz w:val="22"/>
          <w:lang w:eastAsia="en-US"/>
          <w14:ligatures w14:val="standardContextual"/>
        </w:rPr>
        <w:t>Bibliographie indicative</w:t>
      </w:r>
      <w:r w:rsidRPr="00672B42">
        <w:rPr>
          <w:rFonts w:ascii="Cambria" w:eastAsia="Calibri" w:hAnsi="Cambria" w:cs="Times New Roman"/>
          <w:b w:val="0"/>
          <w:sz w:val="22"/>
          <w:lang w:eastAsia="en-US"/>
          <w14:ligatures w14:val="standardContextual"/>
        </w:rPr>
        <w:t> :</w:t>
      </w:r>
    </w:p>
    <w:p w14:paraId="7592AC32"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Pierre-Yves Beaurepaire, Sylvia Marzagalli, </w:t>
      </w:r>
      <w:r w:rsidRPr="00672B42">
        <w:rPr>
          <w:rFonts w:ascii="Cambria" w:eastAsia="Calibri" w:hAnsi="Cambria" w:cs="Times New Roman"/>
          <w:b w:val="0"/>
          <w:i/>
          <w:iCs/>
          <w:sz w:val="22"/>
          <w:lang w:eastAsia="en-US"/>
          <w14:ligatures w14:val="standardContextual"/>
        </w:rPr>
        <w:t>Atlas de la Révolution française</w:t>
      </w:r>
      <w:r w:rsidRPr="00672B42">
        <w:rPr>
          <w:rFonts w:ascii="Cambria" w:eastAsia="Calibri" w:hAnsi="Cambria" w:cs="Times New Roman"/>
          <w:b w:val="0"/>
          <w:sz w:val="22"/>
          <w:lang w:eastAsia="en-US"/>
          <w14:ligatures w14:val="standardContextual"/>
        </w:rPr>
        <w:t>, Paris, Autrement, 2021</w:t>
      </w:r>
    </w:p>
    <w:p w14:paraId="16E4F14E"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Michel Biard, Philippe Bourdin, Sylvia Marzagalli, </w:t>
      </w:r>
      <w:r w:rsidRPr="00672B42">
        <w:rPr>
          <w:rFonts w:ascii="Cambria" w:eastAsia="Calibri" w:hAnsi="Cambria" w:cs="Times New Roman"/>
          <w:b w:val="0"/>
          <w:i/>
          <w:iCs/>
          <w:sz w:val="22"/>
          <w:lang w:eastAsia="en-US"/>
          <w14:ligatures w14:val="standardContextual"/>
        </w:rPr>
        <w:t>Révolution, Consulat, Empire</w:t>
      </w:r>
      <w:r w:rsidRPr="00672B42">
        <w:rPr>
          <w:rFonts w:ascii="Cambria" w:eastAsia="Calibri" w:hAnsi="Cambria" w:cs="Times New Roman"/>
          <w:b w:val="0"/>
          <w:sz w:val="22"/>
          <w:lang w:eastAsia="en-US"/>
          <w14:ligatures w14:val="standardContextual"/>
        </w:rPr>
        <w:t xml:space="preserve"> </w:t>
      </w:r>
      <w:r w:rsidRPr="00672B42">
        <w:rPr>
          <w:rFonts w:ascii="Cambria" w:eastAsia="Calibri" w:hAnsi="Cambria" w:cs="Times New Roman"/>
          <w:b w:val="0"/>
          <w:i/>
          <w:iCs/>
          <w:sz w:val="22"/>
          <w:lang w:eastAsia="en-US"/>
          <w14:ligatures w14:val="standardContextual"/>
        </w:rPr>
        <w:t>(1789-1815)</w:t>
      </w:r>
      <w:r w:rsidRPr="00672B42">
        <w:rPr>
          <w:rFonts w:ascii="Cambria" w:eastAsia="Calibri" w:hAnsi="Cambria" w:cs="Times New Roman"/>
          <w:b w:val="0"/>
          <w:sz w:val="22"/>
          <w:lang w:eastAsia="en-US"/>
          <w14:ligatures w14:val="standardContextual"/>
        </w:rPr>
        <w:t>, Paris, Belin, 2014.</w:t>
      </w:r>
    </w:p>
    <w:p w14:paraId="6809E99E"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Bernard Gainot, </w:t>
      </w:r>
      <w:r w:rsidRPr="00672B42">
        <w:rPr>
          <w:rFonts w:ascii="Cambria" w:eastAsia="Calibri" w:hAnsi="Cambria" w:cs="Times New Roman"/>
          <w:b w:val="0"/>
          <w:i/>
          <w:iCs/>
          <w:sz w:val="22"/>
          <w:lang w:eastAsia="en-US"/>
          <w14:ligatures w14:val="standardContextual"/>
        </w:rPr>
        <w:t>L’empire colonial français, de Richelieu à Napoléon</w:t>
      </w:r>
      <w:r w:rsidRPr="00672B42">
        <w:rPr>
          <w:rFonts w:ascii="Cambria" w:eastAsia="Calibri" w:hAnsi="Cambria" w:cs="Times New Roman"/>
          <w:b w:val="0"/>
          <w:sz w:val="22"/>
          <w:lang w:eastAsia="en-US"/>
          <w14:ligatures w14:val="standardContextual"/>
        </w:rPr>
        <w:t>, Paris, Armand Colin, 2015.</w:t>
      </w:r>
    </w:p>
    <w:p w14:paraId="5F5439A6"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Hervé Leuwers, </w:t>
      </w:r>
      <w:r w:rsidRPr="00672B42">
        <w:rPr>
          <w:rFonts w:ascii="Cambria" w:eastAsia="Calibri" w:hAnsi="Cambria" w:cs="Times New Roman"/>
          <w:b w:val="0"/>
          <w:i/>
          <w:iCs/>
          <w:sz w:val="22"/>
          <w:lang w:eastAsia="en-US"/>
          <w14:ligatures w14:val="standardContextual"/>
        </w:rPr>
        <w:t>La Révolution française</w:t>
      </w:r>
      <w:r w:rsidRPr="00672B42">
        <w:rPr>
          <w:rFonts w:ascii="Cambria" w:eastAsia="Calibri" w:hAnsi="Cambria" w:cs="Times New Roman"/>
          <w:b w:val="0"/>
          <w:sz w:val="22"/>
          <w:lang w:eastAsia="en-US"/>
          <w14:ligatures w14:val="standardContextual"/>
        </w:rPr>
        <w:t>, Paris, PUF, 2025 (1</w:t>
      </w:r>
      <w:r w:rsidRPr="00672B42">
        <w:rPr>
          <w:rFonts w:ascii="Cambria" w:eastAsia="Calibri" w:hAnsi="Cambria" w:cs="Times New Roman"/>
          <w:b w:val="0"/>
          <w:sz w:val="22"/>
          <w:vertAlign w:val="superscript"/>
          <w:lang w:eastAsia="en-US"/>
          <w14:ligatures w14:val="standardContextual"/>
        </w:rPr>
        <w:t>ère</w:t>
      </w:r>
      <w:r w:rsidRPr="00672B42">
        <w:rPr>
          <w:rFonts w:ascii="Cambria" w:eastAsia="Calibri" w:hAnsi="Cambria" w:cs="Times New Roman"/>
          <w:b w:val="0"/>
          <w:sz w:val="22"/>
          <w:lang w:eastAsia="en-US"/>
          <w14:ligatures w14:val="standardContextual"/>
        </w:rPr>
        <w:t xml:space="preserve"> édition 2020).</w:t>
      </w:r>
    </w:p>
    <w:p w14:paraId="3D347AAF"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Aurélien Lignereux, </w:t>
      </w:r>
      <w:r w:rsidRPr="00672B42">
        <w:rPr>
          <w:rFonts w:ascii="Cambria" w:eastAsia="Calibri" w:hAnsi="Cambria" w:cs="Times New Roman"/>
          <w:b w:val="0"/>
          <w:i/>
          <w:iCs/>
          <w:sz w:val="22"/>
          <w:lang w:eastAsia="en-US"/>
          <w14:ligatures w14:val="standardContextual"/>
        </w:rPr>
        <w:t>La France, Révolution et Empire</w:t>
      </w:r>
      <w:r w:rsidRPr="00672B42">
        <w:rPr>
          <w:rFonts w:ascii="Cambria" w:eastAsia="Calibri" w:hAnsi="Cambria" w:cs="Times New Roman"/>
          <w:b w:val="0"/>
          <w:sz w:val="22"/>
          <w:lang w:eastAsia="en-US"/>
          <w14:ligatures w14:val="standardContextual"/>
        </w:rPr>
        <w:t>, Paris, Armand Colin, 2024.</w:t>
      </w:r>
    </w:p>
    <w:p w14:paraId="21535C33"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Pierre Serna, </w:t>
      </w:r>
      <w:r w:rsidRPr="00672B42">
        <w:rPr>
          <w:rFonts w:ascii="Cambria" w:eastAsia="Calibri" w:hAnsi="Cambria" w:cs="Times New Roman"/>
          <w:b w:val="0"/>
          <w:i/>
          <w:iCs/>
          <w:sz w:val="22"/>
          <w:lang w:eastAsia="en-US"/>
          <w14:ligatures w14:val="standardContextual"/>
        </w:rPr>
        <w:t>La Révolution française</w:t>
      </w:r>
      <w:r w:rsidRPr="00672B42">
        <w:rPr>
          <w:rFonts w:ascii="Cambria" w:eastAsia="Calibri" w:hAnsi="Cambria" w:cs="Times New Roman"/>
          <w:b w:val="0"/>
          <w:sz w:val="22"/>
          <w:lang w:eastAsia="en-US"/>
          <w14:ligatures w14:val="standardContextual"/>
        </w:rPr>
        <w:t>, Paris, CNRS Éd., 2021.</w:t>
      </w:r>
    </w:p>
    <w:p w14:paraId="14A3FF78" w14:textId="77777777" w:rsidR="0032359E" w:rsidRPr="00672B42"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64D46B27" w14:textId="640D45FA" w:rsidR="00773CE0" w:rsidRPr="00FF3EC1" w:rsidRDefault="00D1067B" w:rsidP="00F1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olor w:val="C00000"/>
          <w:sz w:val="22"/>
        </w:rPr>
      </w:pPr>
      <w:r w:rsidRPr="00FF3EC1">
        <w:rPr>
          <w:rFonts w:ascii="Cambria" w:hAnsi="Cambria" w:cs="Times New Roman"/>
          <w:color w:val="C00000"/>
          <w:sz w:val="22"/>
          <w:u w:val="single"/>
        </w:rPr>
        <w:t>Sujet du cours</w:t>
      </w:r>
      <w:r w:rsidR="0032359E" w:rsidRPr="00FF3EC1">
        <w:rPr>
          <w:rFonts w:ascii="Cambria" w:hAnsi="Cambria" w:cs="Times New Roman"/>
          <w:color w:val="C00000"/>
          <w:sz w:val="22"/>
          <w:u w:val="single"/>
        </w:rPr>
        <w:t xml:space="preserve"> semestre 2</w:t>
      </w:r>
      <w:r w:rsidR="004C047A" w:rsidRPr="00FF3EC1">
        <w:rPr>
          <w:rFonts w:ascii="Cambria" w:hAnsi="Cambria" w:cs="Times New Roman"/>
          <w:color w:val="C00000"/>
          <w:sz w:val="22"/>
        </w:rPr>
        <w:t xml:space="preserve"> : </w:t>
      </w:r>
      <w:r w:rsidR="008423BC" w:rsidRPr="00FF3EC1">
        <w:rPr>
          <w:rFonts w:ascii="Cambria" w:hAnsi="Cambria"/>
          <w:color w:val="C00000"/>
          <w:sz w:val="22"/>
        </w:rPr>
        <w:t>De la République européenne à la République impériale.1794-1804</w:t>
      </w:r>
    </w:p>
    <w:p w14:paraId="46D78B34" w14:textId="77777777" w:rsidR="008423BC" w:rsidRPr="00672B42" w:rsidRDefault="008423BC" w:rsidP="00F1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color w:val="B71E42" w:themeColor="accent1"/>
          <w:sz w:val="22"/>
        </w:rPr>
      </w:pPr>
    </w:p>
    <w:p w14:paraId="255A324F"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Le cours du second semestre L3 s’attachera à présenter dans une perspective française, européenne et mondiale, la poursuite de la Révolution, sous la forme de la naissance, la consolidation des Républiques, toujours confrontées à l’adversité des monarchies, des contre-révolutions, et de la puissance la plus riche du monde, le Royaume Uni. </w:t>
      </w:r>
    </w:p>
    <w:p w14:paraId="1048B71A"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Le cours s’attachera tout particulièrement à montre les liens complexes et tendus, entre la Métropole et les colonies devenues départements d’Outre-Mer, et à étudier de par l’Europe au sien des Républiques-sœurs des patriotes. </w:t>
      </w:r>
    </w:p>
    <w:p w14:paraId="50A50EFA"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 Le cours commence au 9 thermidor, durant la crise de l’été 1794 pour se terminer en 1804, avec la déclaration d’indépendance de Haïti.  Une connaissance de la chronologie de l’histoire du Directoire et des Républiques sœurs est requise pour comprendre les entrelacs entre histoires nationales, internationales et transnationales.  </w:t>
      </w:r>
    </w:p>
    <w:p w14:paraId="673C5EF1" w14:textId="77777777" w:rsidR="008423BC" w:rsidRPr="00672B42" w:rsidRDefault="008423BC" w:rsidP="008423BC">
      <w:pPr>
        <w:rPr>
          <w:rFonts w:ascii="Cambria" w:hAnsi="Cambria"/>
          <w:b w:val="0"/>
          <w:bCs/>
          <w:sz w:val="22"/>
          <w:lang w:val="en-US"/>
        </w:rPr>
      </w:pPr>
      <w:r w:rsidRPr="00FF3EC1">
        <w:rPr>
          <w:rFonts w:ascii="Cambria" w:hAnsi="Cambria"/>
          <w:sz w:val="22"/>
        </w:rPr>
        <w:t>Bibliographie indiquée</w:t>
      </w:r>
      <w:r w:rsidRPr="00672B42">
        <w:rPr>
          <w:rFonts w:ascii="Cambria" w:hAnsi="Cambria"/>
          <w:b w:val="0"/>
          <w:bCs/>
          <w:sz w:val="22"/>
          <w:lang w:val="en-US"/>
        </w:rPr>
        <w:t xml:space="preserve"> : </w:t>
      </w:r>
    </w:p>
    <w:p w14:paraId="1213206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-Micah Alpaugh, </w:t>
      </w:r>
      <w:r w:rsidRPr="00672B42">
        <w:rPr>
          <w:rFonts w:ascii="Cambria" w:hAnsi="Cambria" w:cs="Times New Roman"/>
          <w:b w:val="0"/>
          <w:bCs/>
          <w:i/>
          <w:iCs/>
          <w:sz w:val="22"/>
          <w:lang w:val="en-US"/>
          <w14:ligatures w14:val="standardContextual"/>
        </w:rPr>
        <w:t>Friends of Freedom. The Rise of Social Movements in the Age of Atlantic Revolutions</w:t>
      </w:r>
      <w:r w:rsidRPr="00672B42">
        <w:rPr>
          <w:rFonts w:ascii="Cambria" w:hAnsi="Cambria" w:cs="Times New Roman"/>
          <w:b w:val="0"/>
          <w:bCs/>
          <w:sz w:val="22"/>
          <w:lang w:val="en-US"/>
          <w14:ligatures w14:val="standardContextual"/>
        </w:rPr>
        <w:t>, Cambridge, Cambridge University Press, 2021.</w:t>
      </w:r>
    </w:p>
    <w:p w14:paraId="02CE51D5"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eastAsia="fr-FR"/>
        </w:rPr>
      </w:pPr>
      <w:r w:rsidRPr="00672B42">
        <w:rPr>
          <w:rFonts w:ascii="Cambria" w:eastAsia="Times New Roman" w:hAnsi="Cambria" w:cs="Times New Roman"/>
          <w:b w:val="0"/>
          <w:bCs/>
          <w:kern w:val="36"/>
          <w:sz w:val="22"/>
          <w:lang w:eastAsia="fr-FR"/>
        </w:rPr>
        <w:t xml:space="preserve">-Marc Belissa, Yannick Bosc, </w:t>
      </w:r>
      <w:r w:rsidRPr="00672B42">
        <w:rPr>
          <w:rFonts w:ascii="Cambria" w:eastAsia="Times New Roman" w:hAnsi="Cambria" w:cs="Times New Roman"/>
          <w:b w:val="0"/>
          <w:bCs/>
          <w:i/>
          <w:iCs/>
          <w:kern w:val="36"/>
          <w:sz w:val="22"/>
          <w:lang w:eastAsia="fr-FR"/>
        </w:rPr>
        <w:t>Le Directoire. La république sans démocratie</w:t>
      </w:r>
      <w:r w:rsidRPr="00672B42">
        <w:rPr>
          <w:rFonts w:ascii="Cambria" w:eastAsia="Times New Roman" w:hAnsi="Cambria" w:cs="Times New Roman"/>
          <w:b w:val="0"/>
          <w:bCs/>
          <w:kern w:val="36"/>
          <w:sz w:val="22"/>
          <w:lang w:eastAsia="fr-FR"/>
        </w:rPr>
        <w:t>, Paris, Éditions La fabrique, Paris, 2019.</w:t>
      </w:r>
    </w:p>
    <w:p w14:paraId="4026000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Ian Coller, </w:t>
      </w:r>
      <w:r w:rsidRPr="00672B42">
        <w:rPr>
          <w:rFonts w:ascii="Cambria" w:hAnsi="Cambria" w:cs="Times New Roman"/>
          <w:b w:val="0"/>
          <w:bCs/>
          <w:i/>
          <w:iCs/>
          <w:sz w:val="22"/>
          <w:lang w:val="en-US"/>
          <w14:ligatures w14:val="standardContextual"/>
        </w:rPr>
        <w:t>Muslims and Citizens. Islam, Politics, and the French Revolution</w:t>
      </w:r>
      <w:r w:rsidRPr="00672B42">
        <w:rPr>
          <w:rFonts w:ascii="Cambria" w:hAnsi="Cambria" w:cs="Times New Roman"/>
          <w:b w:val="0"/>
          <w:bCs/>
          <w:sz w:val="22"/>
          <w:lang w:val="en-US"/>
          <w14:ligatures w14:val="standardContextual"/>
        </w:rPr>
        <w:t>, New Haven and London, Yale University Press, 2020.</w:t>
      </w:r>
    </w:p>
    <w:p w14:paraId="0CDB76AB"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Manuel Covo, </w:t>
      </w:r>
      <w:r w:rsidRPr="00672B42">
        <w:rPr>
          <w:rFonts w:ascii="Cambria" w:hAnsi="Cambria" w:cs="Times New Roman"/>
          <w:b w:val="0"/>
          <w:bCs/>
          <w:i/>
          <w:iCs/>
          <w:sz w:val="22"/>
          <w:lang w:val="en-US"/>
          <w14:ligatures w14:val="standardContextual"/>
        </w:rPr>
        <w:t>Entrepôt of Revolutions. Saint-Domingue, Commercial Sovereignty, and the French-American Alliance</w:t>
      </w:r>
      <w:r w:rsidRPr="00672B42">
        <w:rPr>
          <w:rFonts w:ascii="Cambria" w:hAnsi="Cambria" w:cs="Times New Roman"/>
          <w:b w:val="0"/>
          <w:bCs/>
          <w:sz w:val="22"/>
          <w:lang w:val="en-US"/>
          <w14:ligatures w14:val="standardContextual"/>
        </w:rPr>
        <w:t>, New York, Oxford University Press, 2022.</w:t>
      </w:r>
    </w:p>
    <w:p w14:paraId="54088723" w14:textId="7AD65BC7" w:rsidR="008423BC" w:rsidRPr="00FF3EC1" w:rsidRDefault="008423BC" w:rsidP="00FF3EC1">
      <w:pPr>
        <w:pStyle w:val="Titre1"/>
        <w:jc w:val="both"/>
        <w:rPr>
          <w:rFonts w:ascii="Cambria" w:hAnsi="Cambria"/>
          <w:b w:val="0"/>
          <w:bCs/>
          <w:kern w:val="36"/>
          <w:sz w:val="22"/>
        </w:rPr>
      </w:pPr>
      <w:r w:rsidRPr="00672B42">
        <w:rPr>
          <w:rFonts w:ascii="Cambria" w:hAnsi="Cambria"/>
          <w:b w:val="0"/>
          <w:bCs/>
          <w:kern w:val="28"/>
          <w:sz w:val="22"/>
        </w:rPr>
        <w:t xml:space="preserve">-Mathieu Ferradou, </w:t>
      </w:r>
      <w:r w:rsidRPr="00672B42">
        <w:rPr>
          <w:rFonts w:ascii="Cambria" w:hAnsi="Cambria"/>
          <w:b w:val="0"/>
          <w:bCs/>
          <w:i/>
          <w:iCs/>
          <w:kern w:val="36"/>
          <w:sz w:val="22"/>
        </w:rPr>
        <w:t xml:space="preserve">La Révolution d’Irlande et la guerre pour la République atlantique (1770-1804), </w:t>
      </w:r>
      <w:r w:rsidRPr="00672B42">
        <w:rPr>
          <w:rFonts w:ascii="Cambria" w:hAnsi="Cambria"/>
          <w:b w:val="0"/>
          <w:bCs/>
          <w:kern w:val="36"/>
          <w:sz w:val="22"/>
        </w:rPr>
        <w:t>Rennes, Pur, 2026.</w:t>
      </w:r>
    </w:p>
    <w:p w14:paraId="6635299F"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-Alan Forrest, </w:t>
      </w:r>
      <w:r w:rsidRPr="00672B42">
        <w:rPr>
          <w:rFonts w:ascii="Cambria" w:hAnsi="Cambria" w:cs="Times New Roman"/>
          <w:b w:val="0"/>
          <w:bCs/>
          <w:i/>
          <w:iCs/>
          <w:sz w:val="22"/>
          <w:lang w:val="en-US"/>
          <w14:ligatures w14:val="standardContextual"/>
        </w:rPr>
        <w:t>The Death of the French Atlantic. Trade, War, and Slavery in the Age of Revolution</w:t>
      </w:r>
      <w:r w:rsidRPr="00672B42">
        <w:rPr>
          <w:rFonts w:ascii="Cambria" w:hAnsi="Cambria" w:cs="Times New Roman"/>
          <w:b w:val="0"/>
          <w:bCs/>
          <w:sz w:val="22"/>
          <w:lang w:val="en-US"/>
          <w14:ligatures w14:val="standardContextual"/>
        </w:rPr>
        <w:t>, Oxford, Oxford University Press, 2020.</w:t>
      </w:r>
    </w:p>
    <w:p w14:paraId="208AA5C9"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val="en-US" w:eastAsia="fr-FR"/>
        </w:rPr>
      </w:pPr>
      <w:r w:rsidRPr="00672B42">
        <w:rPr>
          <w:rFonts w:ascii="Cambria" w:eastAsia="Times New Roman" w:hAnsi="Cambria" w:cs="Times New Roman"/>
          <w:b w:val="0"/>
          <w:bCs/>
          <w:kern w:val="36"/>
          <w:sz w:val="22"/>
          <w:lang w:eastAsia="fr-FR"/>
        </w:rPr>
        <w:t xml:space="preserve">-Bernard Gainot. </w:t>
      </w:r>
      <w:r w:rsidRPr="00672B42">
        <w:rPr>
          <w:rFonts w:ascii="Cambria" w:eastAsia="Times New Roman" w:hAnsi="Cambria" w:cs="Times New Roman"/>
          <w:b w:val="0"/>
          <w:bCs/>
          <w:i/>
          <w:iCs/>
          <w:kern w:val="36"/>
          <w:sz w:val="22"/>
          <w:lang w:eastAsia="fr-FR"/>
        </w:rPr>
        <w:t xml:space="preserve">La révolution des esclaves. </w:t>
      </w:r>
      <w:r w:rsidRPr="00672B42">
        <w:rPr>
          <w:rFonts w:ascii="Cambria" w:eastAsia="Times New Roman" w:hAnsi="Cambria" w:cs="Times New Roman"/>
          <w:b w:val="0"/>
          <w:bCs/>
          <w:i/>
          <w:iCs/>
          <w:kern w:val="36"/>
          <w:sz w:val="22"/>
          <w:lang w:val="en-US" w:eastAsia="fr-FR"/>
        </w:rPr>
        <w:t>Haïti, 1763-1803</w:t>
      </w:r>
      <w:r w:rsidRPr="00672B42">
        <w:rPr>
          <w:rFonts w:ascii="Cambria" w:eastAsia="Times New Roman" w:hAnsi="Cambria" w:cs="Times New Roman"/>
          <w:b w:val="0"/>
          <w:bCs/>
          <w:kern w:val="36"/>
          <w:sz w:val="22"/>
          <w:lang w:val="en-US" w:eastAsia="fr-FR"/>
        </w:rPr>
        <w:t>. Paris, Vendémiaire, 2017</w:t>
      </w:r>
    </w:p>
    <w:p w14:paraId="0206CE8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-Maurizio Isabella, </w:t>
      </w:r>
      <w:r w:rsidRPr="00672B42">
        <w:rPr>
          <w:rFonts w:ascii="Cambria" w:hAnsi="Cambria" w:cs="Times New Roman"/>
          <w:b w:val="0"/>
          <w:bCs/>
          <w:i/>
          <w:iCs/>
          <w:sz w:val="22"/>
          <w:lang w:val="en-US"/>
          <w14:ligatures w14:val="standardContextual"/>
        </w:rPr>
        <w:t>Southern Europe in the Age of Revolutions</w:t>
      </w:r>
      <w:r w:rsidRPr="00672B42">
        <w:rPr>
          <w:rFonts w:ascii="Cambria" w:hAnsi="Cambria" w:cs="Times New Roman"/>
          <w:b w:val="0"/>
          <w:bCs/>
          <w:sz w:val="22"/>
          <w:lang w:val="en-US"/>
          <w14:ligatures w14:val="standardContextual"/>
        </w:rPr>
        <w:t>, Princeton, Princeton University Press, 2023.</w:t>
      </w:r>
    </w:p>
    <w:p w14:paraId="14A89C85" w14:textId="0C8BCD6B" w:rsidR="008423BC" w:rsidRPr="00FF3EC1" w:rsidRDefault="008423BC" w:rsidP="00FF3EC1">
      <w:pPr>
        <w:pStyle w:val="Titre1"/>
        <w:jc w:val="both"/>
        <w:rPr>
          <w:rFonts w:ascii="Cambria" w:hAnsi="Cambria"/>
          <w:b w:val="0"/>
          <w:bCs/>
          <w:kern w:val="36"/>
          <w:sz w:val="22"/>
        </w:rPr>
      </w:pPr>
      <w:r w:rsidRPr="00672B42">
        <w:rPr>
          <w:rFonts w:ascii="Cambria" w:hAnsi="Cambria"/>
          <w:b w:val="0"/>
          <w:bCs/>
          <w:sz w:val="22"/>
          <w:lang w:val="en-US"/>
        </w:rPr>
        <w:t xml:space="preserve"> </w:t>
      </w:r>
      <w:r w:rsidRPr="00672B42">
        <w:rPr>
          <w:rFonts w:ascii="Cambria" w:hAnsi="Cambria"/>
          <w:b w:val="0"/>
          <w:bCs/>
          <w:sz w:val="22"/>
        </w:rPr>
        <w:t>-Aurélien Lignereux</w:t>
      </w:r>
      <w:r w:rsidRPr="00672B42">
        <w:rPr>
          <w:rFonts w:ascii="Cambria" w:hAnsi="Cambria"/>
          <w:b w:val="0"/>
          <w:bCs/>
          <w:i/>
          <w:iCs/>
          <w:sz w:val="22"/>
        </w:rPr>
        <w:t xml:space="preserve">, </w:t>
      </w:r>
      <w:r w:rsidRPr="00672B42">
        <w:rPr>
          <w:rFonts w:ascii="Cambria" w:hAnsi="Cambria"/>
          <w:b w:val="0"/>
          <w:bCs/>
          <w:i/>
          <w:iCs/>
          <w:kern w:val="36"/>
          <w:sz w:val="22"/>
        </w:rPr>
        <w:t xml:space="preserve">La France </w:t>
      </w:r>
      <w:r w:rsidRPr="00672B42">
        <w:rPr>
          <w:rFonts w:ascii="Cambria" w:hAnsi="Cambria"/>
          <w:b w:val="0"/>
          <w:bCs/>
          <w:i/>
          <w:iCs/>
          <w:sz w:val="22"/>
        </w:rPr>
        <w:t>Révolution et Empire (1788-1815)</w:t>
      </w:r>
      <w:r w:rsidRPr="00672B42">
        <w:rPr>
          <w:rFonts w:ascii="Cambria" w:hAnsi="Cambria"/>
          <w:b w:val="0"/>
          <w:bCs/>
          <w:sz w:val="22"/>
        </w:rPr>
        <w:t xml:space="preserve"> , Colin 2023.</w:t>
      </w:r>
      <w:bookmarkStart w:id="23" w:name="_Hlk125690302"/>
    </w:p>
    <w:p w14:paraId="238969E4"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-Thierry Lentz,  </w:t>
      </w:r>
      <w:r w:rsidRPr="00672B42">
        <w:rPr>
          <w:rFonts w:ascii="Cambria" w:hAnsi="Cambria"/>
          <w:b w:val="0"/>
          <w:bCs/>
          <w:i/>
          <w:iCs/>
          <w:sz w:val="22"/>
        </w:rPr>
        <w:t xml:space="preserve">Le grand </w:t>
      </w:r>
      <w:r w:rsidRPr="00672B42">
        <w:rPr>
          <w:rFonts w:ascii="Cambria" w:hAnsi="Cambria"/>
          <w:b w:val="0"/>
          <w:bCs/>
          <w:sz w:val="22"/>
        </w:rPr>
        <w:t>Consulat ( 1799-1804),  Paris Fayard, 1999.</w:t>
      </w:r>
    </w:p>
    <w:p w14:paraId="69B025EB" w14:textId="77777777" w:rsidR="008423BC" w:rsidRPr="00672B42" w:rsidRDefault="008423BC" w:rsidP="008423BC">
      <w:pPr>
        <w:spacing w:before="100" w:beforeAutospacing="1" w:after="100" w:afterAutospacing="1" w:line="240" w:lineRule="auto"/>
        <w:jc w:val="both"/>
        <w:outlineLvl w:val="1"/>
        <w:rPr>
          <w:rFonts w:ascii="Cambria" w:eastAsia="Times New Roman" w:hAnsi="Cambria" w:cs="Times New Roman"/>
          <w:b w:val="0"/>
          <w:bCs/>
          <w:sz w:val="22"/>
          <w:lang w:eastAsia="fr-FR"/>
        </w:rPr>
      </w:pPr>
      <w:r w:rsidRPr="00672B42">
        <w:rPr>
          <w:rFonts w:ascii="Cambria" w:eastAsia="Times New Roman" w:hAnsi="Cambria" w:cs="Times New Roman"/>
          <w:b w:val="0"/>
          <w:bCs/>
          <w:sz w:val="22"/>
          <w:lang w:eastAsia="fr-FR"/>
        </w:rPr>
        <w:t xml:space="preserve">-Frédéric Regent, </w:t>
      </w:r>
      <w:r w:rsidRPr="00672B42">
        <w:rPr>
          <w:rFonts w:ascii="Cambria" w:eastAsia="Times New Roman" w:hAnsi="Cambria" w:cs="Times New Roman"/>
          <w:b w:val="0"/>
          <w:bCs/>
          <w:i/>
          <w:iCs/>
          <w:sz w:val="22"/>
          <w:lang w:eastAsia="fr-FR"/>
        </w:rPr>
        <w:t xml:space="preserve">La France et ses esclaves, de la colonisation aux abolitions (1620-1848), Paris, </w:t>
      </w:r>
      <w:r w:rsidRPr="00672B42">
        <w:rPr>
          <w:rFonts w:ascii="Cambria" w:eastAsia="Times New Roman" w:hAnsi="Cambria" w:cs="Times New Roman"/>
          <w:b w:val="0"/>
          <w:bCs/>
          <w:sz w:val="22"/>
          <w:lang w:eastAsia="fr-FR"/>
        </w:rPr>
        <w:t>Grasset, 2008.</w:t>
      </w:r>
    </w:p>
    <w:p w14:paraId="25AB9D43"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eastAsia="fr-FR"/>
        </w:rPr>
      </w:pPr>
      <w:r w:rsidRPr="00672B42">
        <w:rPr>
          <w:rFonts w:ascii="Cambria" w:eastAsia="Times New Roman" w:hAnsi="Cambria" w:cs="Times New Roman"/>
          <w:b w:val="0"/>
          <w:bCs/>
          <w:kern w:val="36"/>
          <w:sz w:val="22"/>
          <w:lang w:eastAsia="fr-FR"/>
        </w:rPr>
        <w:t xml:space="preserve">-Frédéric Régent, </w:t>
      </w:r>
      <w:r w:rsidRPr="00672B42">
        <w:rPr>
          <w:rFonts w:ascii="Cambria" w:eastAsia="Times New Roman" w:hAnsi="Cambria" w:cs="Times New Roman"/>
          <w:b w:val="0"/>
          <w:bCs/>
          <w:i/>
          <w:iCs/>
          <w:kern w:val="36"/>
          <w:sz w:val="22"/>
          <w:lang w:eastAsia="fr-FR"/>
        </w:rPr>
        <w:t xml:space="preserve">Les Maîtres de la Guadeloupe. </w:t>
      </w:r>
      <w:r w:rsidRPr="00672B42">
        <w:rPr>
          <w:rFonts w:ascii="Cambria" w:eastAsia="Times New Roman" w:hAnsi="Cambria" w:cs="Times New Roman"/>
          <w:b w:val="0"/>
          <w:bCs/>
          <w:i/>
          <w:iCs/>
          <w:sz w:val="22"/>
          <w:lang w:eastAsia="fr-FR"/>
        </w:rPr>
        <w:t>Propriétaires d'esclaves, 1635-1848</w:t>
      </w:r>
      <w:r w:rsidRPr="00672B42">
        <w:rPr>
          <w:rFonts w:ascii="Cambria" w:eastAsia="Times New Roman" w:hAnsi="Cambria" w:cs="Times New Roman"/>
          <w:b w:val="0"/>
          <w:bCs/>
          <w:sz w:val="22"/>
          <w:lang w:eastAsia="fr-FR"/>
        </w:rPr>
        <w:t>, Paris Tallandier, 2021</w:t>
      </w:r>
    </w:p>
    <w:p w14:paraId="43BCD49A"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14:ligatures w14:val="standardContextual"/>
        </w:rPr>
        <w:t xml:space="preserve">-Pernille, Røge </w:t>
      </w:r>
      <w:r w:rsidRPr="00672B42">
        <w:rPr>
          <w:rFonts w:ascii="Cambria" w:hAnsi="Cambria" w:cs="Times New Roman"/>
          <w:b w:val="0"/>
          <w:bCs/>
          <w:i/>
          <w:iCs/>
          <w:sz w:val="22"/>
          <w14:ligatures w14:val="standardContextual"/>
        </w:rPr>
        <w:t xml:space="preserve">Economistes and the Reinvention of Empire. </w:t>
      </w:r>
      <w:r w:rsidRPr="00672B42">
        <w:rPr>
          <w:rFonts w:ascii="Cambria" w:hAnsi="Cambria" w:cs="Times New Roman"/>
          <w:b w:val="0"/>
          <w:bCs/>
          <w:i/>
          <w:iCs/>
          <w:sz w:val="22"/>
          <w:lang w:val="en-US"/>
          <w14:ligatures w14:val="standardContextual"/>
        </w:rPr>
        <w:t>France in the Americas and Africa, c. 1750-1802</w:t>
      </w:r>
      <w:r w:rsidRPr="00672B42">
        <w:rPr>
          <w:rFonts w:ascii="Cambria" w:hAnsi="Cambria" w:cs="Times New Roman"/>
          <w:b w:val="0"/>
          <w:bCs/>
          <w:sz w:val="22"/>
          <w:lang w:val="en-US"/>
          <w14:ligatures w14:val="standardContextual"/>
        </w:rPr>
        <w:t>, Cambridge, Cambridge University Press, 2019.</w:t>
      </w:r>
    </w:p>
    <w:p w14:paraId="3E34F9CD"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Cs/>
          <w:kern w:val="28"/>
          <w:sz w:val="22"/>
          <w:lang w:eastAsia="fr-FR"/>
        </w:rPr>
        <w:t>-Pierre Serna</w:t>
      </w:r>
      <w:r w:rsidRPr="00672B42">
        <w:rPr>
          <w:rFonts w:ascii="Cambria" w:eastAsia="Times New Roman" w:hAnsi="Cambria" w:cs="Times New Roman"/>
          <w:b w:val="0"/>
          <w:bCs/>
          <w:i/>
          <w:kern w:val="28"/>
          <w:sz w:val="22"/>
          <w:lang w:eastAsia="fr-FR"/>
        </w:rPr>
        <w:t xml:space="preserve"> Républiques Sœurs. Le Directoire devant la Révolution atlantique, </w:t>
      </w:r>
      <w:r w:rsidRPr="00672B42">
        <w:rPr>
          <w:rFonts w:ascii="Cambria" w:eastAsia="Times New Roman" w:hAnsi="Cambria" w:cs="Times New Roman"/>
          <w:b w:val="0"/>
          <w:bCs/>
          <w:kern w:val="28"/>
          <w:sz w:val="22"/>
          <w:lang w:eastAsia="fr-FR"/>
        </w:rPr>
        <w:t>Rennes Presses universitaires de Rennes, 2009.</w:t>
      </w:r>
      <w:bookmarkEnd w:id="23"/>
    </w:p>
    <w:p w14:paraId="11600FDB"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p>
    <w:p w14:paraId="2D4D0AFE" w14:textId="77777777" w:rsidR="008423BC" w:rsidRPr="00672B42" w:rsidRDefault="008423BC" w:rsidP="008423BC">
      <w:pPr>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Cs/>
          <w:kern w:val="28"/>
          <w:sz w:val="22"/>
          <w:lang w:eastAsia="fr-FR"/>
        </w:rPr>
        <w:t>-Pierre Serna</w:t>
      </w:r>
      <w:r w:rsidRPr="00672B42">
        <w:rPr>
          <w:rFonts w:ascii="Cambria" w:eastAsia="Times New Roman" w:hAnsi="Cambria" w:cs="Times New Roman"/>
          <w:b w:val="0"/>
          <w:bCs/>
          <w:i/>
          <w:kern w:val="28"/>
          <w:sz w:val="22"/>
          <w:lang w:eastAsia="fr-FR"/>
        </w:rPr>
        <w:t>, La République des Girouettes - 1795-1815 et au delà / une anomalie politique : la France de l’extrême centre</w:t>
      </w:r>
      <w:r w:rsidRPr="00672B42">
        <w:rPr>
          <w:rFonts w:ascii="Cambria" w:eastAsia="Times New Roman" w:hAnsi="Cambria" w:cs="Times New Roman"/>
          <w:b w:val="0"/>
          <w:bCs/>
          <w:kern w:val="28"/>
          <w:sz w:val="22"/>
          <w:lang w:eastAsia="fr-FR"/>
        </w:rPr>
        <w:t>, Seyssel, Champ Vallon, 2005 ; réed. 2025..</w:t>
      </w:r>
    </w:p>
    <w:p w14:paraId="7FAB8238"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
          <w:kern w:val="28"/>
          <w:sz w:val="22"/>
          <w:lang w:eastAsia="fr-FR"/>
        </w:rPr>
        <w:t>-Les colonies, la Révolution Française et la Loi</w:t>
      </w:r>
      <w:r w:rsidRPr="00672B42">
        <w:rPr>
          <w:rFonts w:ascii="Cambria" w:eastAsia="Times New Roman" w:hAnsi="Cambria" w:cs="Times New Roman"/>
          <w:b w:val="0"/>
          <w:bCs/>
          <w:kern w:val="28"/>
          <w:sz w:val="22"/>
          <w:lang w:eastAsia="fr-FR"/>
        </w:rPr>
        <w:t>,  Rennes, Pur, avec Frédéric Régent et Jean-François Niort, 2011.</w:t>
      </w:r>
    </w:p>
    <w:p w14:paraId="71AF9746" w14:textId="77777777" w:rsidR="008423BC" w:rsidRPr="00672B42" w:rsidRDefault="008423BC" w:rsidP="008423BC">
      <w:pPr>
        <w:jc w:val="both"/>
        <w:rPr>
          <w:rFonts w:ascii="Cambria" w:hAnsi="Cambria"/>
          <w:b w:val="0"/>
          <w:bCs/>
          <w:sz w:val="22"/>
        </w:rPr>
      </w:pPr>
    </w:p>
    <w:p w14:paraId="784B5F39" w14:textId="77777777" w:rsidR="008423BC" w:rsidRPr="00672B42" w:rsidRDefault="008423BC" w:rsidP="008423BC">
      <w:pPr>
        <w:spacing w:after="0" w:line="360" w:lineRule="auto"/>
        <w:jc w:val="both"/>
        <w:rPr>
          <w:rFonts w:ascii="Georgia" w:hAnsi="Georgia" w:cs="Times New Roman"/>
          <w:szCs w:val="24"/>
          <w14:ligatures w14:val="standardContextual"/>
        </w:rPr>
      </w:pPr>
    </w:p>
    <w:p w14:paraId="7E910537" w14:textId="77777777" w:rsidR="008423BC" w:rsidRPr="00672B42" w:rsidRDefault="008423BC" w:rsidP="008423BC">
      <w:pPr>
        <w:spacing w:after="0" w:line="360" w:lineRule="auto"/>
        <w:jc w:val="both"/>
        <w:rPr>
          <w:rFonts w:ascii="Georgia" w:hAnsi="Georgia" w:cs="Times New Roman"/>
          <w:szCs w:val="24"/>
          <w14:ligatures w14:val="standardContextual"/>
        </w:rPr>
      </w:pPr>
    </w:p>
    <w:p w14:paraId="1C820465" w14:textId="77777777" w:rsidR="008423BC" w:rsidRPr="00672B42" w:rsidRDefault="008423BC" w:rsidP="008423BC"/>
    <w:p w14:paraId="42EF6272" w14:textId="77777777" w:rsidR="008423BC" w:rsidRPr="00672B42" w:rsidRDefault="008423BC" w:rsidP="008423BC"/>
    <w:p w14:paraId="74A07B63" w14:textId="77777777" w:rsidR="008423BC" w:rsidRPr="00672B42" w:rsidRDefault="008423BC" w:rsidP="008423BC"/>
    <w:p w14:paraId="4BAA8C36" w14:textId="77777777" w:rsidR="008423BC" w:rsidRPr="00672B42" w:rsidRDefault="008423BC" w:rsidP="008423BC"/>
    <w:p w14:paraId="7C1BFBBB" w14:textId="77777777" w:rsidR="00690F4C" w:rsidRPr="00672B42" w:rsidRDefault="00690F4C" w:rsidP="00D952C4">
      <w:pPr>
        <w:jc w:val="both"/>
        <w:rPr>
          <w:rFonts w:ascii="Cambria" w:hAnsi="Cambria" w:cs="Times New Roman"/>
          <w:b w:val="0"/>
          <w:color w:val="0070C0"/>
          <w:sz w:val="22"/>
        </w:rPr>
      </w:pPr>
    </w:p>
    <w:p w14:paraId="6B899B0C" w14:textId="77777777" w:rsidR="00690F4C" w:rsidRPr="00672B42" w:rsidRDefault="00690F4C" w:rsidP="00D952C4">
      <w:pPr>
        <w:jc w:val="both"/>
        <w:rPr>
          <w:rFonts w:ascii="Cambria" w:hAnsi="Cambria" w:cs="Times New Roman"/>
          <w:b w:val="0"/>
          <w:color w:val="0070C0"/>
          <w:sz w:val="22"/>
        </w:rPr>
      </w:pPr>
    </w:p>
    <w:p w14:paraId="4C4FE020" w14:textId="77777777" w:rsidR="00690F4C" w:rsidRPr="00672B42" w:rsidRDefault="00690F4C" w:rsidP="00D952C4">
      <w:pPr>
        <w:jc w:val="both"/>
        <w:rPr>
          <w:rFonts w:ascii="Cambria" w:hAnsi="Cambria" w:cs="Times New Roman"/>
          <w:b w:val="0"/>
          <w:color w:val="0070C0"/>
          <w:sz w:val="22"/>
        </w:rPr>
      </w:pPr>
    </w:p>
    <w:p w14:paraId="14E277F6" w14:textId="77777777" w:rsidR="00690F4C" w:rsidRPr="00672B42" w:rsidRDefault="00690F4C" w:rsidP="00D952C4">
      <w:pPr>
        <w:jc w:val="both"/>
        <w:rPr>
          <w:rFonts w:ascii="Cambria" w:hAnsi="Cambria" w:cs="Times New Roman"/>
          <w:b w:val="0"/>
          <w:color w:val="0070C0"/>
          <w:sz w:val="22"/>
        </w:rPr>
      </w:pPr>
    </w:p>
    <w:p w14:paraId="3AD6B102" w14:textId="77777777" w:rsidR="00690F4C" w:rsidRPr="00672B42" w:rsidRDefault="00690F4C" w:rsidP="00D952C4">
      <w:pPr>
        <w:jc w:val="both"/>
        <w:rPr>
          <w:rFonts w:ascii="Cambria" w:hAnsi="Cambria" w:cs="Times New Roman"/>
          <w:b w:val="0"/>
          <w:color w:val="0070C0"/>
          <w:sz w:val="22"/>
        </w:rPr>
      </w:pPr>
    </w:p>
    <w:p w14:paraId="248EF611" w14:textId="77777777" w:rsidR="00690F4C" w:rsidRDefault="00690F4C" w:rsidP="00D952C4">
      <w:pPr>
        <w:jc w:val="both"/>
        <w:rPr>
          <w:rFonts w:ascii="Cambria" w:hAnsi="Cambria" w:cs="Times New Roman"/>
          <w:b w:val="0"/>
          <w:color w:val="0070C0"/>
          <w:sz w:val="22"/>
        </w:rPr>
      </w:pPr>
    </w:p>
    <w:p w14:paraId="3C3061C3" w14:textId="77777777" w:rsidR="00FF3EC1" w:rsidRDefault="00FF3EC1" w:rsidP="00D952C4">
      <w:pPr>
        <w:jc w:val="both"/>
        <w:rPr>
          <w:rFonts w:ascii="Cambria" w:hAnsi="Cambria" w:cs="Times New Roman"/>
          <w:b w:val="0"/>
          <w:color w:val="0070C0"/>
          <w:sz w:val="22"/>
        </w:rPr>
      </w:pPr>
    </w:p>
    <w:p w14:paraId="092B96BD" w14:textId="77777777" w:rsidR="00FF3EC1" w:rsidRDefault="00FF3EC1" w:rsidP="00D952C4">
      <w:pPr>
        <w:jc w:val="both"/>
        <w:rPr>
          <w:rFonts w:ascii="Cambria" w:hAnsi="Cambria" w:cs="Times New Roman"/>
          <w:b w:val="0"/>
          <w:color w:val="0070C0"/>
          <w:sz w:val="22"/>
        </w:rPr>
      </w:pPr>
    </w:p>
    <w:p w14:paraId="5DD381DB" w14:textId="77777777" w:rsidR="00FF3EC1" w:rsidRDefault="00FF3EC1" w:rsidP="00D952C4">
      <w:pPr>
        <w:jc w:val="both"/>
        <w:rPr>
          <w:rFonts w:ascii="Cambria" w:hAnsi="Cambria" w:cs="Times New Roman"/>
          <w:b w:val="0"/>
          <w:color w:val="0070C0"/>
          <w:sz w:val="22"/>
        </w:rPr>
      </w:pPr>
    </w:p>
    <w:p w14:paraId="5425CE6C" w14:textId="77777777" w:rsidR="00FF3EC1" w:rsidRPr="00672B42" w:rsidRDefault="00FF3EC1" w:rsidP="00D952C4">
      <w:pPr>
        <w:jc w:val="both"/>
        <w:rPr>
          <w:rFonts w:ascii="Cambria" w:hAnsi="Cambria" w:cs="Times New Roman"/>
          <w:b w:val="0"/>
          <w:color w:val="0070C0"/>
          <w:sz w:val="22"/>
        </w:rPr>
      </w:pPr>
    </w:p>
    <w:p w14:paraId="3BC57FDC" w14:textId="77777777" w:rsidR="00690F4C" w:rsidRPr="00672B42" w:rsidRDefault="00690F4C" w:rsidP="00D952C4">
      <w:pPr>
        <w:jc w:val="both"/>
        <w:rPr>
          <w:rFonts w:ascii="Cambria" w:hAnsi="Cambria" w:cs="Times New Roman"/>
          <w:b w:val="0"/>
          <w:color w:val="0070C0"/>
          <w:sz w:val="22"/>
        </w:rPr>
      </w:pPr>
    </w:p>
    <w:p w14:paraId="4A4D904B" w14:textId="77777777" w:rsidR="003910CE" w:rsidRPr="00672B42" w:rsidRDefault="003910CE" w:rsidP="00461423">
      <w:pPr>
        <w:spacing w:after="0" w:line="276" w:lineRule="auto"/>
        <w:contextualSpacing/>
        <w:jc w:val="both"/>
        <w:rPr>
          <w:rFonts w:ascii="Cambria" w:hAnsi="Cambria"/>
          <w:color w:val="0070C0"/>
          <w:sz w:val="22"/>
        </w:rPr>
      </w:pPr>
    </w:p>
    <w:p w14:paraId="1CA56C8F" w14:textId="77777777" w:rsidR="003910CE" w:rsidRPr="00672B42" w:rsidRDefault="008B71E4" w:rsidP="003910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672B42">
        <w:rPr>
          <w:rFonts w:ascii="Cambria" w:hAnsi="Cambria"/>
          <w:i/>
          <w:color w:val="C00000"/>
          <w:sz w:val="28"/>
          <w:szCs w:val="28"/>
          <w:lang w:eastAsia="fr-FR"/>
        </w:rPr>
        <w:t>J3030919</w:t>
      </w:r>
      <w:r w:rsidR="003910CE" w:rsidRPr="00672B42">
        <w:rPr>
          <w:rFonts w:ascii="Cambria" w:hAnsi="Cambria"/>
          <w:i/>
          <w:color w:val="C00000"/>
          <w:sz w:val="28"/>
          <w:szCs w:val="28"/>
          <w:lang w:eastAsia="fr-FR"/>
        </w:rPr>
        <w:t>/</w:t>
      </w:r>
      <w:r w:rsidR="00382548" w:rsidRPr="00672B42">
        <w:rPr>
          <w:rFonts w:ascii="Cambria" w:hAnsi="Cambria"/>
          <w:i/>
          <w:color w:val="C00000"/>
          <w:sz w:val="28"/>
          <w:szCs w:val="28"/>
          <w:lang w:eastAsia="fr-FR"/>
        </w:rPr>
        <w:t>J3031019</w:t>
      </w:r>
      <w:r w:rsidR="003910CE" w:rsidRPr="00672B42">
        <w:rPr>
          <w:rFonts w:ascii="Cambria" w:hAnsi="Cambria"/>
          <w:i/>
          <w:color w:val="C00000"/>
          <w:sz w:val="28"/>
          <w:szCs w:val="28"/>
          <w:lang w:eastAsia="fr-FR"/>
        </w:rPr>
        <w:t xml:space="preserve"> : Histoire des sciences</w:t>
      </w:r>
    </w:p>
    <w:p w14:paraId="11425F3A" w14:textId="77777777" w:rsidR="003910CE" w:rsidRPr="00672B42" w:rsidRDefault="003910CE" w:rsidP="003910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lang w:eastAsia="fr-FR"/>
        </w:rPr>
      </w:pPr>
    </w:p>
    <w:p w14:paraId="44F79BB6" w14:textId="77777777" w:rsidR="00452050" w:rsidRDefault="005E0AA5"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Jean-Luc Chappey (CM</w:t>
      </w:r>
      <w:r w:rsidR="00D04824" w:rsidRPr="00672B42">
        <w:rPr>
          <w:rFonts w:ascii="Cambria" w:hAnsi="Cambria" w:cs="Times New Roman"/>
          <w:bCs/>
          <w:sz w:val="22"/>
          <w:lang w:eastAsia="fr-FR"/>
        </w:rPr>
        <w:t>/TD S1</w:t>
      </w:r>
      <w:r w:rsidRPr="00672B42">
        <w:rPr>
          <w:rFonts w:ascii="Cambria" w:hAnsi="Cambria" w:cs="Times New Roman"/>
          <w:bCs/>
          <w:sz w:val="22"/>
          <w:lang w:eastAsia="fr-FR"/>
        </w:rPr>
        <w:t>)</w:t>
      </w:r>
      <w:r w:rsidR="00452050" w:rsidRPr="00672B42">
        <w:rPr>
          <w:rFonts w:ascii="Cambria" w:hAnsi="Cambria" w:cs="Times New Roman"/>
          <w:bCs/>
          <w:sz w:val="22"/>
          <w:lang w:eastAsia="fr-FR"/>
        </w:rPr>
        <w:t xml:space="preserve">, </w:t>
      </w:r>
    </w:p>
    <w:p w14:paraId="3C02DCE4" w14:textId="77777777" w:rsidR="00105132" w:rsidRPr="00672B42" w:rsidRDefault="00105132"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p>
    <w:p w14:paraId="0DD64DD6" w14:textId="20422D99" w:rsidR="005E0AA5" w:rsidRPr="00672B42" w:rsidRDefault="00B855E4"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Côme Simien (</w:t>
      </w:r>
      <w:r w:rsidR="00D04824" w:rsidRPr="00672B42">
        <w:rPr>
          <w:rFonts w:ascii="Cambria" w:hAnsi="Cambria" w:cs="Times New Roman"/>
          <w:bCs/>
          <w:sz w:val="22"/>
          <w:lang w:eastAsia="fr-FR"/>
        </w:rPr>
        <w:t>TD S1)</w:t>
      </w:r>
      <w:r w:rsidR="007A6B7F" w:rsidRPr="00672B42">
        <w:rPr>
          <w:rFonts w:ascii="Cambria" w:hAnsi="Cambria" w:cs="Times New Roman"/>
          <w:bCs/>
          <w:sz w:val="22"/>
          <w:lang w:eastAsia="fr-FR"/>
        </w:rPr>
        <w:t xml:space="preserve">, </w:t>
      </w:r>
      <w:r w:rsidR="00B41090" w:rsidRPr="00672B42">
        <w:rPr>
          <w:rFonts w:ascii="Cambria" w:hAnsi="Cambria" w:cs="Times New Roman"/>
          <w:bCs/>
          <w:sz w:val="22"/>
          <w:lang w:eastAsia="fr-FR"/>
        </w:rPr>
        <w:t xml:space="preserve">Julien Vincent </w:t>
      </w:r>
      <w:r w:rsidR="005E0AA5" w:rsidRPr="00672B42">
        <w:rPr>
          <w:rFonts w:ascii="Cambria" w:hAnsi="Cambria" w:cs="Times New Roman"/>
          <w:bCs/>
          <w:sz w:val="22"/>
          <w:lang w:eastAsia="fr-FR"/>
        </w:rPr>
        <w:t>(TD</w:t>
      </w:r>
      <w:r w:rsidR="00D04824" w:rsidRPr="00672B42">
        <w:rPr>
          <w:rFonts w:ascii="Cambria" w:hAnsi="Cambria" w:cs="Times New Roman"/>
          <w:bCs/>
          <w:sz w:val="22"/>
          <w:lang w:eastAsia="fr-FR"/>
        </w:rPr>
        <w:t xml:space="preserve"> S2</w:t>
      </w:r>
      <w:r w:rsidR="005E0AA5" w:rsidRPr="00672B42">
        <w:rPr>
          <w:rFonts w:ascii="Cambria" w:hAnsi="Cambria" w:cs="Times New Roman"/>
          <w:bCs/>
          <w:sz w:val="22"/>
          <w:lang w:eastAsia="fr-FR"/>
        </w:rPr>
        <w:t>)</w:t>
      </w:r>
    </w:p>
    <w:p w14:paraId="7174BB98" w14:textId="77777777" w:rsidR="005E0AA5" w:rsidRPr="00672B42" w:rsidRDefault="005E0AA5" w:rsidP="005E0A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lang w:eastAsia="fr-FR"/>
        </w:rPr>
      </w:pPr>
    </w:p>
    <w:p w14:paraId="0B14C4BF" w14:textId="5BDDC190" w:rsidR="00CC1ACE" w:rsidRPr="00105132" w:rsidRDefault="0039543B" w:rsidP="0039543B">
      <w:pPr>
        <w:rPr>
          <w:rFonts w:ascii="Cambria" w:hAnsi="Cambria" w:cs="Times New Roman"/>
          <w:color w:val="C00000"/>
          <w:sz w:val="22"/>
          <w:lang w:eastAsia="fr-FR"/>
        </w:rPr>
      </w:pPr>
      <w:r w:rsidRPr="00105132">
        <w:rPr>
          <w:rFonts w:ascii="Cambria" w:hAnsi="Cambria" w:cs="Times New Roman"/>
          <w:color w:val="C00000"/>
          <w:sz w:val="22"/>
          <w:u w:val="single"/>
          <w:lang w:eastAsia="fr-FR"/>
        </w:rPr>
        <w:t>Sujet du cours</w:t>
      </w:r>
      <w:r w:rsidRPr="00105132">
        <w:rPr>
          <w:rFonts w:ascii="Cambria" w:hAnsi="Cambria" w:cs="Times New Roman"/>
          <w:color w:val="C00000"/>
          <w:sz w:val="22"/>
          <w:lang w:eastAsia="fr-FR"/>
        </w:rPr>
        <w:t xml:space="preserve"> : </w:t>
      </w:r>
      <w:r w:rsidR="00CC1ACE" w:rsidRPr="00105132">
        <w:rPr>
          <w:rFonts w:ascii="Cambria" w:hAnsi="Cambria" w:cs="Times New Roman"/>
          <w:color w:val="C00000"/>
          <w:sz w:val="22"/>
          <w:lang w:eastAsia="fr-FR"/>
        </w:rPr>
        <w:t xml:space="preserve">Les sciences et le gouvernement des hommes et de la </w:t>
      </w:r>
      <w:r w:rsidR="004C44C0" w:rsidRPr="00105132">
        <w:rPr>
          <w:rFonts w:ascii="Cambria" w:hAnsi="Cambria" w:cs="Times New Roman"/>
          <w:color w:val="C00000"/>
          <w:sz w:val="22"/>
          <w:lang w:eastAsia="fr-FR"/>
        </w:rPr>
        <w:t>nature (</w:t>
      </w:r>
      <w:r w:rsidR="00CC1ACE" w:rsidRPr="00105132">
        <w:rPr>
          <w:rFonts w:ascii="Cambria" w:hAnsi="Cambria" w:cs="Times New Roman"/>
          <w:color w:val="C00000"/>
          <w:sz w:val="22"/>
          <w:lang w:eastAsia="fr-FR"/>
        </w:rPr>
        <w:t>XVII</w:t>
      </w:r>
      <w:r w:rsidR="00CC1ACE" w:rsidRPr="00105132">
        <w:rPr>
          <w:rFonts w:ascii="Cambria" w:hAnsi="Cambria" w:cs="Times New Roman"/>
          <w:color w:val="C00000"/>
          <w:sz w:val="22"/>
          <w:vertAlign w:val="superscript"/>
          <w:lang w:eastAsia="fr-FR"/>
        </w:rPr>
        <w:t>e</w:t>
      </w:r>
      <w:r w:rsidR="00CC1ACE" w:rsidRPr="00105132">
        <w:rPr>
          <w:rFonts w:ascii="Cambria" w:hAnsi="Cambria" w:cs="Times New Roman"/>
          <w:color w:val="C00000"/>
          <w:sz w:val="22"/>
          <w:lang w:eastAsia="fr-FR"/>
        </w:rPr>
        <w:t>-fin XIX</w:t>
      </w:r>
      <w:r w:rsidR="00CC1ACE" w:rsidRPr="00105132">
        <w:rPr>
          <w:rFonts w:ascii="Cambria" w:hAnsi="Cambria" w:cs="Times New Roman"/>
          <w:color w:val="C00000"/>
          <w:sz w:val="22"/>
          <w:vertAlign w:val="superscript"/>
          <w:lang w:eastAsia="fr-FR"/>
        </w:rPr>
        <w:t>e</w:t>
      </w:r>
      <w:r w:rsidR="00CC1ACE" w:rsidRPr="00105132">
        <w:rPr>
          <w:rFonts w:ascii="Cambria" w:hAnsi="Cambria" w:cs="Times New Roman"/>
          <w:color w:val="C00000"/>
          <w:sz w:val="22"/>
          <w:lang w:eastAsia="fr-FR"/>
        </w:rPr>
        <w:t xml:space="preserve"> siècle</w:t>
      </w:r>
      <w:r w:rsidR="009B441C" w:rsidRPr="00105132">
        <w:rPr>
          <w:rFonts w:ascii="Cambria" w:hAnsi="Cambria" w:cs="Times New Roman"/>
          <w:color w:val="C00000"/>
          <w:sz w:val="22"/>
          <w:lang w:eastAsia="fr-FR"/>
        </w:rPr>
        <w:t>)</w:t>
      </w:r>
    </w:p>
    <w:p w14:paraId="36CC9B78" w14:textId="77777777" w:rsidR="00CC1ACE" w:rsidRPr="00672B42" w:rsidRDefault="00CC1ACE" w:rsidP="00CC1ACE">
      <w:pPr>
        <w:jc w:val="center"/>
        <w:rPr>
          <w:rFonts w:ascii="Cambria" w:hAnsi="Cambria" w:cs="Times New Roman"/>
          <w:sz w:val="22"/>
          <w:lang w:eastAsia="fr-FR"/>
        </w:rPr>
      </w:pPr>
      <w:r w:rsidRPr="00672B42">
        <w:rPr>
          <w:rFonts w:ascii="Cambria" w:hAnsi="Cambria" w:cs="Times New Roman"/>
          <w:sz w:val="22"/>
          <w:lang w:eastAsia="fr-FR"/>
        </w:rPr>
        <w:t>Présentation générale.</w:t>
      </w:r>
    </w:p>
    <w:p w14:paraId="62751A64" w14:textId="77777777" w:rsidR="00CC1ACE" w:rsidRPr="00672B42" w:rsidRDefault="00CC1ACE" w:rsidP="00CC1ACE">
      <w:pPr>
        <w:jc w:val="both"/>
        <w:rPr>
          <w:rFonts w:ascii="Cambria" w:hAnsi="Cambria" w:cs="Times New Roman"/>
          <w:b w:val="0"/>
          <w:sz w:val="22"/>
          <w:lang w:eastAsia="fr-FR"/>
        </w:rPr>
      </w:pPr>
      <w:r w:rsidRPr="00672B42">
        <w:rPr>
          <w:rFonts w:ascii="Cambria" w:hAnsi="Cambria" w:cs="Times New Roman"/>
          <w:b w:val="0"/>
          <w:sz w:val="22"/>
          <w:lang w:eastAsia="fr-FR"/>
        </w:rPr>
        <w:t>Ce cours porte sur les conditions intellectuelles, sociales et politiques de production, de validation et de circulation des sciences et des savoirs, ainsi qu’à leurs appropriations et à leurs usages variés, dans une diversité de milieux sociaux, de la « révolution scientifique » du XVII</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à la veille de la seconde révolution industrielle de la fin du XIX</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Le premier semestre est consacré à la période moderne en accordant une place privilégiée à l’organisation institutionnelle des sciences (en France et en Angleterre) et aux transformations liées à la Révolution française ; le second semestre est consacré à la présentation des transformations qui caractérisent le XIX</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en insistant davantage sur les formes de gouvernement de la nature (en infléchissant ainsi la thématique vers les problématiques de l’histoire environnementale). L’objectif de cet enseignement est de montrer comment l’histoire des sciences et des savoirs contribue à la compréhension générale des grands phénomènes politiques, sociaux et culturels des sociétés modernes et contemporaines. Un des intérêts de cet enseignement est de s’affranchir des habituels découpages chronologiques et de proposer des approches qui croisent l’histoire avec différentes sciences humaines (sociologie, philosophie…).  </w:t>
      </w:r>
    </w:p>
    <w:p w14:paraId="41825953" w14:textId="77777777" w:rsidR="00CC1ACE" w:rsidRPr="00672B42" w:rsidRDefault="00CC1ACE" w:rsidP="00CC1ACE">
      <w:pPr>
        <w:jc w:val="both"/>
        <w:rPr>
          <w:rFonts w:ascii="Cambria" w:hAnsi="Cambria" w:cs="Times New Roman"/>
          <w:b w:val="0"/>
          <w:sz w:val="22"/>
          <w:lang w:eastAsia="fr-FR"/>
        </w:rPr>
      </w:pPr>
      <w:r w:rsidRPr="00672B42">
        <w:rPr>
          <w:rFonts w:ascii="Cambria" w:hAnsi="Cambria" w:cs="Times New Roman"/>
          <w:b w:val="0"/>
          <w:sz w:val="22"/>
          <w:lang w:eastAsia="fr-FR"/>
        </w:rPr>
        <w:t xml:space="preserve">Plutôt que d’envisager les sciences isolément, il s’agira de les voir comme des outils de gouvernement des hommes et des territoires qui ont façonné les sociétés modernes (statistiques, géologie, histoire naturelle…).                                      </w:t>
      </w:r>
    </w:p>
    <w:p w14:paraId="40A9ADAD" w14:textId="77777777" w:rsidR="00CC1ACE" w:rsidRPr="00672B42" w:rsidRDefault="00CC1ACE" w:rsidP="00CC1ACE">
      <w:pPr>
        <w:jc w:val="both"/>
        <w:rPr>
          <w:rFonts w:ascii="Cambria" w:hAnsi="Cambria" w:cs="Times New Roman"/>
          <w:b w:val="0"/>
          <w:sz w:val="22"/>
          <w:lang w:eastAsia="fr-FR"/>
        </w:rPr>
      </w:pPr>
    </w:p>
    <w:p w14:paraId="4878AE99" w14:textId="77777777" w:rsidR="00CC1ACE" w:rsidRPr="00672B42" w:rsidRDefault="00CC1ACE" w:rsidP="00CC1ACE">
      <w:pPr>
        <w:jc w:val="both"/>
        <w:rPr>
          <w:rFonts w:ascii="Cambria" w:hAnsi="Cambria" w:cs="Times New Roman"/>
          <w:b w:val="0"/>
          <w:sz w:val="22"/>
          <w:lang w:eastAsia="fr-FR"/>
        </w:rPr>
      </w:pPr>
    </w:p>
    <w:p w14:paraId="58CEFADF" w14:textId="77777777" w:rsidR="009B441C" w:rsidRPr="00672B42" w:rsidRDefault="009B441C" w:rsidP="00CC1ACE">
      <w:pPr>
        <w:jc w:val="both"/>
        <w:rPr>
          <w:rFonts w:ascii="Cambria" w:hAnsi="Cambria" w:cs="Times New Roman"/>
          <w:b w:val="0"/>
          <w:sz w:val="22"/>
          <w:lang w:eastAsia="fr-FR"/>
        </w:rPr>
      </w:pPr>
    </w:p>
    <w:p w14:paraId="177B2E4E" w14:textId="77777777" w:rsidR="009B441C" w:rsidRPr="00672B42" w:rsidRDefault="009B441C" w:rsidP="00CC1ACE">
      <w:pPr>
        <w:jc w:val="both"/>
        <w:rPr>
          <w:rFonts w:ascii="Cambria" w:hAnsi="Cambria" w:cs="Times New Roman"/>
          <w:b w:val="0"/>
          <w:sz w:val="22"/>
          <w:lang w:eastAsia="fr-FR"/>
        </w:rPr>
      </w:pPr>
    </w:p>
    <w:p w14:paraId="1EDD6E09" w14:textId="47640F91" w:rsidR="002C1154" w:rsidRPr="00105132" w:rsidRDefault="009B441C" w:rsidP="00105132">
      <w:pPr>
        <w:jc w:val="both"/>
        <w:rPr>
          <w:rFonts w:ascii="Cambria" w:hAnsi="Cambria" w:cs="Times New Roman"/>
          <w:b w:val="0"/>
          <w:sz w:val="22"/>
          <w:lang w:eastAsia="fr-FR"/>
        </w:rPr>
      </w:pPr>
      <w:r w:rsidRPr="00672B42">
        <w:rPr>
          <w:rFonts w:ascii="Cambria" w:hAnsi="Cambria" w:cs="Times New Roman"/>
          <w:b w:val="0"/>
          <w:sz w:val="22"/>
          <w:lang w:eastAsia="fr-FR"/>
        </w:rPr>
        <w:t xml:space="preserve">À partir </w:t>
      </w:r>
      <w:r w:rsidR="00CC1ACE" w:rsidRPr="00672B42">
        <w:rPr>
          <w:rFonts w:ascii="Cambria" w:hAnsi="Cambria" w:cs="Times New Roman"/>
          <w:b w:val="0"/>
          <w:sz w:val="22"/>
          <w:lang w:eastAsia="fr-FR"/>
        </w:rPr>
        <w:t>d’exemples principalement français et anglais, on s’intéressera aux acteurs, institutions et idées scientifiques, ainsi qu’à leurs effets sur les sociétés et leur environnement en croisant à chaque fois des échelles d’analyse différentes (de la biographie aux échanges transnationaux). Il s’agira encore d'explorer les renouvellements historiographiques les plus récents afin d’interroger les articulations entre les dynamiques de construction et de diffusion des savoirs avec les transformations politiques, sociales, économiques et culturelles.</w:t>
      </w:r>
    </w:p>
    <w:p w14:paraId="24F0BEEA" w14:textId="1786865D" w:rsidR="00CC1ACE" w:rsidRPr="00672B42" w:rsidRDefault="00CC1ACE" w:rsidP="00CC1ACE">
      <w:pPr>
        <w:rPr>
          <w:rFonts w:ascii="Cambria" w:hAnsi="Cambria" w:cs="Times New Roman"/>
          <w:b w:val="0"/>
          <w:sz w:val="22"/>
          <w:lang w:eastAsia="fr-FR"/>
        </w:rPr>
      </w:pPr>
      <w:r w:rsidRPr="00672B42">
        <w:rPr>
          <w:rFonts w:ascii="Cambria" w:hAnsi="Cambria" w:cs="Times New Roman"/>
          <w:sz w:val="22"/>
          <w:lang w:eastAsia="fr-FR"/>
        </w:rPr>
        <w:t>Bibliographie indicative pour le semestre 1</w:t>
      </w:r>
      <w:r w:rsidRPr="00672B42">
        <w:rPr>
          <w:rFonts w:ascii="Cambria" w:hAnsi="Cambria" w:cs="Times New Roman"/>
          <w:b w:val="0"/>
          <w:sz w:val="22"/>
          <w:lang w:eastAsia="fr-FR"/>
        </w:rPr>
        <w:t>.</w:t>
      </w:r>
    </w:p>
    <w:p w14:paraId="42D8D653" w14:textId="77777777" w:rsidR="00CC1ACE" w:rsidRPr="00672B42" w:rsidRDefault="00CC1ACE" w:rsidP="00CC1ACE">
      <w:pPr>
        <w:rPr>
          <w:rFonts w:ascii="Cambria" w:hAnsi="Cambria" w:cs="Times New Roman"/>
          <w:b w:val="0"/>
          <w:sz w:val="22"/>
          <w:lang w:val="en-US" w:eastAsia="fr-FR"/>
        </w:rPr>
      </w:pPr>
      <w:r w:rsidRPr="00672B42">
        <w:rPr>
          <w:rFonts w:ascii="Cambria" w:hAnsi="Cambria" w:cs="Times New Roman"/>
          <w:b w:val="0"/>
          <w:i/>
          <w:iCs/>
          <w:sz w:val="22"/>
          <w:lang w:val="en-US" w:eastAsia="fr-FR"/>
        </w:rPr>
        <w:t>The Cambridge History of Science</w:t>
      </w:r>
      <w:r w:rsidRPr="00672B42">
        <w:rPr>
          <w:rFonts w:ascii="Cambria" w:hAnsi="Cambria" w:cs="Times New Roman"/>
          <w:b w:val="0"/>
          <w:sz w:val="22"/>
          <w:lang w:val="en-US" w:eastAsia="fr-FR"/>
        </w:rPr>
        <w:t>, Cambridge, Cambridge University Press, 2003-2006, t. 3-5.</w:t>
      </w:r>
    </w:p>
    <w:p w14:paraId="13A2F44A"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Bruno Belhoste, </w:t>
      </w:r>
      <w:r w:rsidRPr="00672B42">
        <w:rPr>
          <w:rFonts w:ascii="Cambria" w:hAnsi="Cambria" w:cs="Times New Roman"/>
          <w:b w:val="0"/>
          <w:i/>
          <w:sz w:val="22"/>
          <w:lang w:eastAsia="fr-FR"/>
        </w:rPr>
        <w:t>Histoire de la science moderne. De la Renaissance aux Lumières</w:t>
      </w:r>
      <w:r w:rsidRPr="00672B42">
        <w:rPr>
          <w:rFonts w:ascii="Cambria" w:hAnsi="Cambria" w:cs="Times New Roman"/>
          <w:b w:val="0"/>
          <w:sz w:val="22"/>
          <w:lang w:eastAsia="fr-FR"/>
        </w:rPr>
        <w:t>, Paris, Armand Colin, 2016.</w:t>
      </w:r>
    </w:p>
    <w:p w14:paraId="6D826EF5"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 xml:space="preserve">Jean-Luc Chappey, </w:t>
      </w:r>
      <w:r w:rsidRPr="00672B42">
        <w:rPr>
          <w:rFonts w:ascii="Cambria" w:hAnsi="Cambria" w:cs="Times New Roman"/>
          <w:b w:val="0"/>
          <w:i/>
          <w:sz w:val="22"/>
          <w:lang w:eastAsia="fr-FR"/>
        </w:rPr>
        <w:t>La révolution des sciences. 1789 ou le sacre des savants</w:t>
      </w:r>
      <w:r w:rsidRPr="00672B42">
        <w:rPr>
          <w:rFonts w:ascii="Cambria" w:hAnsi="Cambria" w:cs="Times New Roman"/>
          <w:b w:val="0"/>
          <w:sz w:val="22"/>
          <w:lang w:eastAsia="fr-FR"/>
        </w:rPr>
        <w:t>, Paris, Librairie Vuibert, 2020.</w:t>
      </w:r>
    </w:p>
    <w:p w14:paraId="3FE7900F" w14:textId="77777777" w:rsidR="00CC1ACE" w:rsidRPr="00672B42" w:rsidRDefault="00CC1ACE" w:rsidP="00CC1ACE">
      <w:pPr>
        <w:rPr>
          <w:rFonts w:ascii="Cambria" w:hAnsi="Cambria" w:cs="Times New Roman"/>
          <w:b w:val="0"/>
          <w:sz w:val="22"/>
        </w:rPr>
      </w:pPr>
      <w:r w:rsidRPr="00672B42">
        <w:rPr>
          <w:rFonts w:ascii="Cambria" w:hAnsi="Cambria" w:cs="Times New Roman"/>
          <w:b w:val="0"/>
          <w:sz w:val="22"/>
        </w:rPr>
        <w:t xml:space="preserve">Benjamin Deruelle, A. Ruellet </w:t>
      </w:r>
      <w:r w:rsidRPr="00672B42">
        <w:rPr>
          <w:rFonts w:ascii="Cambria" w:hAnsi="Cambria" w:cs="Times New Roman"/>
          <w:b w:val="0"/>
          <w:i/>
          <w:sz w:val="22"/>
        </w:rPr>
        <w:t xml:space="preserve">et alii </w:t>
      </w:r>
      <w:r w:rsidRPr="00672B42">
        <w:rPr>
          <w:rFonts w:ascii="Cambria" w:hAnsi="Cambria" w:cs="Times New Roman"/>
          <w:b w:val="0"/>
          <w:sz w:val="22"/>
        </w:rPr>
        <w:t xml:space="preserve">(dir.), </w:t>
      </w:r>
      <w:r w:rsidRPr="00672B42">
        <w:rPr>
          <w:rFonts w:ascii="Cambria" w:hAnsi="Cambria" w:cs="Times New Roman"/>
          <w:b w:val="0"/>
          <w:i/>
          <w:sz w:val="22"/>
        </w:rPr>
        <w:t>Sciences, techniques et pouvoirs, 15</w:t>
      </w:r>
      <w:r w:rsidRPr="00672B42">
        <w:rPr>
          <w:rFonts w:ascii="Cambria" w:hAnsi="Cambria" w:cs="Times New Roman"/>
          <w:b w:val="0"/>
          <w:i/>
          <w:sz w:val="22"/>
          <w:vertAlign w:val="superscript"/>
        </w:rPr>
        <w:t>e</w:t>
      </w:r>
      <w:r w:rsidRPr="00672B42">
        <w:rPr>
          <w:rFonts w:ascii="Cambria" w:hAnsi="Cambria" w:cs="Times New Roman"/>
          <w:b w:val="0"/>
          <w:i/>
          <w:sz w:val="22"/>
        </w:rPr>
        <w:t>- 18</w:t>
      </w:r>
      <w:r w:rsidRPr="00672B42">
        <w:rPr>
          <w:rFonts w:ascii="Cambria" w:hAnsi="Cambria" w:cs="Times New Roman"/>
          <w:b w:val="0"/>
          <w:i/>
          <w:sz w:val="22"/>
          <w:vertAlign w:val="superscript"/>
        </w:rPr>
        <w:t>e</w:t>
      </w:r>
      <w:r w:rsidRPr="00672B42">
        <w:rPr>
          <w:rFonts w:ascii="Cambria" w:hAnsi="Cambria" w:cs="Times New Roman"/>
          <w:b w:val="0"/>
          <w:i/>
          <w:sz w:val="22"/>
        </w:rPr>
        <w:t xml:space="preserve"> siècles</w:t>
      </w:r>
      <w:r w:rsidRPr="00672B42">
        <w:rPr>
          <w:rFonts w:ascii="Cambria" w:hAnsi="Cambria" w:cs="Times New Roman"/>
          <w:b w:val="0"/>
          <w:sz w:val="22"/>
        </w:rPr>
        <w:t>, Neuilly, Atlande, 2016.</w:t>
      </w:r>
    </w:p>
    <w:p w14:paraId="318E6E62" w14:textId="77777777" w:rsidR="00CC1ACE" w:rsidRPr="00672B42" w:rsidRDefault="00CC1ACE" w:rsidP="00CC1ACE">
      <w:pPr>
        <w:rPr>
          <w:rFonts w:ascii="Cambria" w:hAnsi="Cambria" w:cs="Times New Roman"/>
          <w:b w:val="0"/>
          <w:sz w:val="22"/>
        </w:rPr>
      </w:pPr>
      <w:r w:rsidRPr="00672B42">
        <w:rPr>
          <w:rFonts w:ascii="Cambria" w:hAnsi="Cambria" w:cs="Times New Roman"/>
          <w:b w:val="0"/>
          <w:sz w:val="22"/>
        </w:rPr>
        <w:t xml:space="preserve">Liliane Hilaire-Pérez, Fabien Simon &amp; Marie Thebaud-Sorger (dir.), </w:t>
      </w:r>
      <w:r w:rsidRPr="00672B42">
        <w:rPr>
          <w:rFonts w:ascii="Cambria" w:hAnsi="Cambria" w:cs="Times New Roman"/>
          <w:b w:val="0"/>
          <w:i/>
          <w:sz w:val="22"/>
        </w:rPr>
        <w:t>L’Europe des sciences et des techniques, XV</w:t>
      </w:r>
      <w:r w:rsidRPr="00672B42">
        <w:rPr>
          <w:rFonts w:ascii="Cambria" w:hAnsi="Cambria" w:cs="Times New Roman"/>
          <w:b w:val="0"/>
          <w:i/>
          <w:sz w:val="22"/>
          <w:vertAlign w:val="superscript"/>
        </w:rPr>
        <w:t>e</w:t>
      </w:r>
      <w:r w:rsidRPr="00672B42">
        <w:rPr>
          <w:rFonts w:ascii="Cambria" w:hAnsi="Cambria" w:cs="Times New Roman"/>
          <w:b w:val="0"/>
          <w:i/>
          <w:sz w:val="22"/>
        </w:rPr>
        <w:t>-XVIII</w:t>
      </w:r>
      <w:r w:rsidRPr="00672B42">
        <w:rPr>
          <w:rFonts w:ascii="Cambria" w:hAnsi="Cambria" w:cs="Times New Roman"/>
          <w:b w:val="0"/>
          <w:i/>
          <w:sz w:val="22"/>
          <w:vertAlign w:val="superscript"/>
        </w:rPr>
        <w:t>e</w:t>
      </w:r>
      <w:r w:rsidRPr="00672B42">
        <w:rPr>
          <w:rFonts w:ascii="Cambria" w:hAnsi="Cambria" w:cs="Times New Roman"/>
          <w:b w:val="0"/>
          <w:i/>
          <w:sz w:val="22"/>
        </w:rPr>
        <w:t xml:space="preserve"> siècles</w:t>
      </w:r>
      <w:r w:rsidRPr="00672B42">
        <w:rPr>
          <w:rFonts w:ascii="Cambria" w:hAnsi="Cambria" w:cs="Times New Roman"/>
          <w:b w:val="0"/>
          <w:sz w:val="22"/>
        </w:rPr>
        <w:t xml:space="preserve">, Rennes, PUR, 2016. </w:t>
      </w:r>
    </w:p>
    <w:p w14:paraId="12A28E0A" w14:textId="2FD3175A" w:rsidR="002033C5"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Dominique Pestre (dir.), </w:t>
      </w:r>
      <w:r w:rsidRPr="00672B42">
        <w:rPr>
          <w:rFonts w:ascii="Cambria" w:hAnsi="Cambria" w:cs="Times New Roman"/>
          <w:b w:val="0"/>
          <w:i/>
          <w:iCs/>
          <w:sz w:val="22"/>
          <w:lang w:eastAsia="fr-FR"/>
        </w:rPr>
        <w:t>Histoire des sciences et des savoirs</w:t>
      </w:r>
      <w:r w:rsidRPr="00672B42">
        <w:rPr>
          <w:rFonts w:ascii="Cambria" w:hAnsi="Cambria" w:cs="Times New Roman"/>
          <w:b w:val="0"/>
          <w:sz w:val="22"/>
          <w:lang w:eastAsia="fr-FR"/>
        </w:rPr>
        <w:t>, Paris, Seuil, 2015, vol. 1 &amp; 2.</w:t>
      </w:r>
    </w:p>
    <w:p w14:paraId="62EE3F34" w14:textId="77777777" w:rsidR="00CC7438" w:rsidRPr="00672B42" w:rsidRDefault="00CC7438" w:rsidP="00CC1ACE">
      <w:pPr>
        <w:rPr>
          <w:rFonts w:ascii="Cambria" w:hAnsi="Cambria" w:cs="Times New Roman"/>
          <w:b w:val="0"/>
          <w:sz w:val="22"/>
          <w:lang w:eastAsia="fr-FR"/>
        </w:rPr>
      </w:pPr>
    </w:p>
    <w:p w14:paraId="153C7AFA" w14:textId="77777777" w:rsidR="00CC1ACE" w:rsidRPr="00672B42" w:rsidRDefault="00CC1ACE" w:rsidP="00CC1ACE">
      <w:pPr>
        <w:rPr>
          <w:rFonts w:ascii="Cambria" w:hAnsi="Cambria" w:cs="Times New Roman"/>
          <w:sz w:val="22"/>
        </w:rPr>
      </w:pPr>
      <w:r w:rsidRPr="00672B42">
        <w:rPr>
          <w:rFonts w:ascii="Cambria" w:hAnsi="Cambria" w:cs="Times New Roman"/>
          <w:sz w:val="22"/>
        </w:rPr>
        <w:t>Bibliographie indicative pour le semestre 2.</w:t>
      </w:r>
    </w:p>
    <w:p w14:paraId="4C46953F" w14:textId="77777777" w:rsidR="00CC1ACE" w:rsidRPr="00672B42" w:rsidRDefault="00CC1ACE" w:rsidP="00CC1ACE">
      <w:pPr>
        <w:shd w:val="clear" w:color="auto" w:fill="FFFFFF"/>
        <w:spacing w:line="240" w:lineRule="auto"/>
        <w:rPr>
          <w:rFonts w:ascii="Cambria" w:eastAsia="Times New Roman" w:hAnsi="Cambria" w:cs="Times New Roman"/>
          <w:b w:val="0"/>
          <w:i/>
          <w:iCs/>
          <w:color w:val="1C1C1C"/>
          <w:kern w:val="0"/>
          <w:sz w:val="22"/>
          <w:lang w:eastAsia="fr-FR"/>
        </w:rPr>
      </w:pPr>
      <w:r w:rsidRPr="00672B42">
        <w:rPr>
          <w:rFonts w:ascii="Cambria" w:eastAsia="Times New Roman" w:hAnsi="Cambria" w:cs="Times New Roman"/>
          <w:b w:val="0"/>
          <w:color w:val="333333"/>
          <w:kern w:val="0"/>
          <w:sz w:val="22"/>
          <w:shd w:val="clear" w:color="auto" w:fill="FAFAFA"/>
          <w:lang w:eastAsia="fr-FR"/>
        </w:rPr>
        <w:t>Laurent Brassart, Grégory Quenet &amp;</w:t>
      </w:r>
      <w:r w:rsidRPr="00672B42">
        <w:rPr>
          <w:rFonts w:ascii="Cambria" w:eastAsia="Times New Roman" w:hAnsi="Cambria" w:cs="Times New Roman"/>
          <w:b w:val="0"/>
          <w:color w:val="1C1C1C"/>
          <w:kern w:val="0"/>
          <w:sz w:val="22"/>
          <w:lang w:eastAsia="fr-FR"/>
        </w:rPr>
        <w:t xml:space="preserve"> Julien Vincent</w:t>
      </w:r>
      <w:r w:rsidRPr="00672B42">
        <w:rPr>
          <w:rFonts w:ascii="Cambria" w:eastAsia="Times New Roman" w:hAnsi="Cambria" w:cs="Times New Roman"/>
          <w:b w:val="0"/>
          <w:color w:val="333333"/>
          <w:kern w:val="0"/>
          <w:sz w:val="22"/>
          <w:shd w:val="clear" w:color="auto" w:fill="FAFAFA"/>
          <w:lang w:eastAsia="fr-FR"/>
        </w:rPr>
        <w:t> (dir.) « Révolution et environnement », numéro thématique des </w:t>
      </w:r>
      <w:r w:rsidRPr="00672B42">
        <w:rPr>
          <w:rFonts w:ascii="Cambria" w:eastAsia="Times New Roman" w:hAnsi="Cambria" w:cs="Times New Roman"/>
          <w:b w:val="0"/>
          <w:i/>
          <w:iCs/>
          <w:color w:val="333333"/>
          <w:kern w:val="0"/>
          <w:sz w:val="22"/>
          <w:shd w:val="clear" w:color="auto" w:fill="FAFAFA"/>
          <w:lang w:eastAsia="fr-FR"/>
        </w:rPr>
        <w:t>Annales historiques de la Révolution française</w:t>
      </w:r>
      <w:r w:rsidRPr="00672B42">
        <w:rPr>
          <w:rFonts w:ascii="Cambria" w:eastAsia="Times New Roman" w:hAnsi="Cambria" w:cs="Times New Roman"/>
          <w:b w:val="0"/>
          <w:color w:val="333333"/>
          <w:kern w:val="0"/>
          <w:sz w:val="22"/>
          <w:shd w:val="clear" w:color="auto" w:fill="FAFAFA"/>
          <w:lang w:eastAsia="fr-FR"/>
        </w:rPr>
        <w:t>, n°399, janvier-mars 2020</w:t>
      </w:r>
      <w:r w:rsidRPr="00672B42">
        <w:rPr>
          <w:rFonts w:ascii="Cambria" w:eastAsia="Times New Roman" w:hAnsi="Cambria" w:cs="Times New Roman"/>
          <w:b w:val="0"/>
          <w:i/>
          <w:iCs/>
          <w:color w:val="1C1C1C"/>
          <w:kern w:val="0"/>
          <w:sz w:val="22"/>
          <w:lang w:eastAsia="fr-FR"/>
        </w:rPr>
        <w:t>.</w:t>
      </w:r>
    </w:p>
    <w:p w14:paraId="4AD87637" w14:textId="77777777" w:rsidR="00CC1ACE" w:rsidRPr="00672B42" w:rsidRDefault="00CC1ACE" w:rsidP="00CC1ACE">
      <w:pPr>
        <w:shd w:val="clear" w:color="auto" w:fill="FFFFFF"/>
        <w:spacing w:line="240" w:lineRule="auto"/>
        <w:rPr>
          <w:rFonts w:ascii="Cambria" w:eastAsia="Times New Roman" w:hAnsi="Cambria" w:cs="Times New Roman"/>
          <w:b w:val="0"/>
          <w:color w:val="1C1C1C"/>
          <w:kern w:val="0"/>
          <w:sz w:val="22"/>
          <w:lang w:eastAsia="fr-FR"/>
        </w:rPr>
      </w:pPr>
      <w:r w:rsidRPr="00672B42">
        <w:rPr>
          <w:rFonts w:ascii="Cambria" w:eastAsia="Times New Roman" w:hAnsi="Cambria" w:cs="Times New Roman"/>
          <w:b w:val="0"/>
          <w:color w:val="1C1C1C"/>
          <w:kern w:val="0"/>
          <w:sz w:val="22"/>
          <w:lang w:eastAsia="fr-FR"/>
        </w:rPr>
        <w:t>Diana K. Davis, </w:t>
      </w:r>
      <w:r w:rsidRPr="00672B42">
        <w:rPr>
          <w:rFonts w:ascii="Cambria" w:eastAsia="Times New Roman" w:hAnsi="Cambria" w:cs="Times New Roman"/>
          <w:b w:val="0"/>
          <w:i/>
          <w:iCs/>
          <w:color w:val="1C1C1C"/>
          <w:kern w:val="0"/>
          <w:sz w:val="22"/>
          <w:lang w:eastAsia="fr-FR"/>
        </w:rPr>
        <w:t>Les mythes environnementaux de la colonisation française au Maghreb</w:t>
      </w:r>
      <w:r w:rsidRPr="00672B42">
        <w:rPr>
          <w:rFonts w:ascii="Cambria" w:eastAsia="Times New Roman" w:hAnsi="Cambria" w:cs="Times New Roman"/>
          <w:b w:val="0"/>
          <w:color w:val="1C1C1C"/>
          <w:kern w:val="0"/>
          <w:sz w:val="22"/>
          <w:lang w:eastAsia="fr-FR"/>
        </w:rPr>
        <w:t>, 2012.</w:t>
      </w:r>
    </w:p>
    <w:p w14:paraId="6D3BFE22"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val="en-US" w:eastAsia="fr-FR"/>
        </w:rPr>
      </w:pPr>
      <w:r w:rsidRPr="00672B42">
        <w:rPr>
          <w:rFonts w:ascii="Cambria" w:eastAsia="Times New Roman" w:hAnsi="Cambria" w:cs="Times New Roman"/>
          <w:b w:val="0"/>
          <w:color w:val="222222"/>
          <w:kern w:val="0"/>
          <w:sz w:val="22"/>
          <w:lang w:val="en-US" w:eastAsia="fr-FR"/>
        </w:rPr>
        <w:t>Fredrik Albritton Jonsson, </w:t>
      </w:r>
      <w:r w:rsidRPr="00672B42">
        <w:rPr>
          <w:rFonts w:ascii="Cambria" w:eastAsia="Times New Roman" w:hAnsi="Cambria" w:cs="Times New Roman"/>
          <w:b w:val="0"/>
          <w:i/>
          <w:iCs/>
          <w:color w:val="1C1C1C"/>
          <w:kern w:val="0"/>
          <w:sz w:val="22"/>
          <w:bdr w:val="none" w:sz="0" w:space="0" w:color="auto" w:frame="1"/>
          <w:shd w:val="clear" w:color="auto" w:fill="FFFFFF"/>
          <w:lang w:val="en-US" w:eastAsia="fr-FR"/>
        </w:rPr>
        <w:t>Enlightenment's Frontier: the Scottish Highlands and the Origins of Environmentalism, </w:t>
      </w:r>
      <w:r w:rsidRPr="00672B42">
        <w:rPr>
          <w:rFonts w:ascii="Cambria" w:eastAsia="Times New Roman" w:hAnsi="Cambria" w:cs="Times New Roman"/>
          <w:b w:val="0"/>
          <w:color w:val="1C1C1C"/>
          <w:kern w:val="0"/>
          <w:sz w:val="22"/>
          <w:shd w:val="clear" w:color="auto" w:fill="FFFFFF"/>
          <w:lang w:val="en-US" w:eastAsia="fr-FR"/>
        </w:rPr>
        <w:t>Yale, 2013.</w:t>
      </w:r>
    </w:p>
    <w:p w14:paraId="31915C9B"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222222"/>
          <w:kern w:val="0"/>
          <w:sz w:val="22"/>
          <w:lang w:eastAsia="fr-FR"/>
        </w:rPr>
        <w:t>Thomas Le Roux, </w:t>
      </w:r>
      <w:r w:rsidRPr="00672B42">
        <w:rPr>
          <w:rFonts w:ascii="Cambria" w:eastAsia="Times New Roman" w:hAnsi="Cambria" w:cs="Times New Roman"/>
          <w:b w:val="0"/>
          <w:i/>
          <w:iCs/>
          <w:color w:val="222222"/>
          <w:kern w:val="0"/>
          <w:sz w:val="22"/>
          <w:lang w:eastAsia="fr-FR"/>
        </w:rPr>
        <w:t>Le Laboratoire des pollutions industrielles. Paris 1770-1830</w:t>
      </w:r>
      <w:r w:rsidRPr="00672B42">
        <w:rPr>
          <w:rFonts w:ascii="Cambria" w:eastAsia="Times New Roman" w:hAnsi="Cambria" w:cs="Times New Roman"/>
          <w:b w:val="0"/>
          <w:color w:val="222222"/>
          <w:kern w:val="0"/>
          <w:sz w:val="22"/>
          <w:lang w:eastAsia="fr-FR"/>
        </w:rPr>
        <w:t>, Paris, Albin Michel 2011.</w:t>
      </w:r>
    </w:p>
    <w:p w14:paraId="309A82B2"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1C1C1C"/>
          <w:kern w:val="0"/>
          <w:sz w:val="22"/>
          <w:shd w:val="clear" w:color="auto" w:fill="FFFFFF"/>
          <w:lang w:eastAsia="fr-FR"/>
        </w:rPr>
        <w:t>Fabien Locher (dir.), </w:t>
      </w:r>
      <w:r w:rsidRPr="00672B42">
        <w:rPr>
          <w:rFonts w:ascii="Cambria" w:eastAsia="Times New Roman" w:hAnsi="Cambria" w:cs="Times New Roman"/>
          <w:b w:val="0"/>
          <w:i/>
          <w:iCs/>
          <w:color w:val="1C1C1C"/>
          <w:kern w:val="0"/>
          <w:sz w:val="22"/>
          <w:shd w:val="clear" w:color="auto" w:fill="FFFFFF"/>
          <w:lang w:eastAsia="fr-FR"/>
        </w:rPr>
        <w:t>La nature en communs. Ressources, </w:t>
      </w:r>
      <w:r w:rsidRPr="00672B42">
        <w:rPr>
          <w:rFonts w:ascii="Cambria" w:eastAsia="Times New Roman" w:hAnsi="Cambria" w:cs="Times New Roman"/>
          <w:b w:val="0"/>
          <w:i/>
          <w:iCs/>
          <w:color w:val="1C1C1C"/>
          <w:kern w:val="0"/>
          <w:sz w:val="22"/>
          <w:lang w:eastAsia="fr-FR"/>
        </w:rPr>
        <w:t>environnement et communautés (France et empire français XVII</w:t>
      </w:r>
      <w:r w:rsidRPr="00672B42">
        <w:rPr>
          <w:rFonts w:ascii="Cambria" w:eastAsia="Times New Roman" w:hAnsi="Cambria" w:cs="Times New Roman"/>
          <w:b w:val="0"/>
          <w:i/>
          <w:iCs/>
          <w:color w:val="1C1C1C"/>
          <w:kern w:val="0"/>
          <w:sz w:val="22"/>
          <w:vertAlign w:val="superscript"/>
          <w:lang w:eastAsia="fr-FR"/>
        </w:rPr>
        <w:t>e</w:t>
      </w:r>
      <w:r w:rsidRPr="00672B42">
        <w:rPr>
          <w:rFonts w:ascii="Cambria" w:eastAsia="Times New Roman" w:hAnsi="Cambria" w:cs="Times New Roman"/>
          <w:b w:val="0"/>
          <w:i/>
          <w:iCs/>
          <w:color w:val="1C1C1C"/>
          <w:kern w:val="0"/>
          <w:sz w:val="22"/>
          <w:lang w:eastAsia="fr-FR"/>
        </w:rPr>
        <w:t>-XXI</w:t>
      </w:r>
      <w:r w:rsidRPr="00672B42">
        <w:rPr>
          <w:rFonts w:ascii="Cambria" w:eastAsia="Times New Roman" w:hAnsi="Cambria" w:cs="Times New Roman"/>
          <w:b w:val="0"/>
          <w:i/>
          <w:iCs/>
          <w:color w:val="1C1C1C"/>
          <w:kern w:val="0"/>
          <w:sz w:val="22"/>
          <w:vertAlign w:val="superscript"/>
          <w:lang w:eastAsia="fr-FR"/>
        </w:rPr>
        <w:t>e</w:t>
      </w:r>
      <w:r w:rsidRPr="00672B42">
        <w:rPr>
          <w:rFonts w:ascii="Cambria" w:eastAsia="Times New Roman" w:hAnsi="Cambria" w:cs="Times New Roman"/>
          <w:b w:val="0"/>
          <w:i/>
          <w:iCs/>
          <w:color w:val="1C1C1C"/>
          <w:kern w:val="0"/>
          <w:sz w:val="22"/>
          <w:lang w:eastAsia="fr-FR"/>
        </w:rPr>
        <w:t xml:space="preserve"> siècle)</w:t>
      </w:r>
      <w:r w:rsidRPr="00672B42">
        <w:rPr>
          <w:rFonts w:ascii="Cambria" w:eastAsia="Times New Roman" w:hAnsi="Cambria" w:cs="Times New Roman"/>
          <w:b w:val="0"/>
          <w:color w:val="1C1C1C"/>
          <w:kern w:val="0"/>
          <w:sz w:val="22"/>
          <w:lang w:eastAsia="fr-FR"/>
        </w:rPr>
        <w:t>, Paris, Champ Vallon, 2020</w:t>
      </w:r>
      <w:r w:rsidRPr="00672B42">
        <w:rPr>
          <w:rFonts w:ascii="Cambria" w:eastAsia="Times New Roman" w:hAnsi="Cambria" w:cs="Times New Roman"/>
          <w:b w:val="0"/>
          <w:color w:val="222222"/>
          <w:kern w:val="0"/>
          <w:sz w:val="22"/>
          <w:lang w:eastAsia="fr-FR"/>
        </w:rPr>
        <w:t>.</w:t>
      </w:r>
    </w:p>
    <w:p w14:paraId="3294BF15"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Dominique Pestre (dir.), </w:t>
      </w:r>
      <w:r w:rsidRPr="00672B42">
        <w:rPr>
          <w:rFonts w:ascii="Cambria" w:hAnsi="Cambria" w:cs="Times New Roman"/>
          <w:b w:val="0"/>
          <w:i/>
          <w:iCs/>
          <w:sz w:val="22"/>
          <w:lang w:eastAsia="fr-FR"/>
        </w:rPr>
        <w:t>Histoire des sciences et des savoirs</w:t>
      </w:r>
      <w:r w:rsidRPr="00672B42">
        <w:rPr>
          <w:rFonts w:ascii="Cambria" w:hAnsi="Cambria" w:cs="Times New Roman"/>
          <w:b w:val="0"/>
          <w:sz w:val="22"/>
          <w:lang w:eastAsia="fr-FR"/>
        </w:rPr>
        <w:t>, Paris, Seuil, 2015, vol. 1 &amp; 2.</w:t>
      </w:r>
    </w:p>
    <w:p w14:paraId="0F7348FF"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1C1C1C"/>
          <w:kern w:val="0"/>
          <w:sz w:val="22"/>
          <w:lang w:eastAsia="fr-FR"/>
        </w:rPr>
        <w:t>Julien Vincent (dir.), « Les écologies du XIX</w:t>
      </w:r>
      <w:r w:rsidRPr="00672B42">
        <w:rPr>
          <w:rFonts w:ascii="Cambria" w:eastAsia="Times New Roman" w:hAnsi="Cambria" w:cs="Times New Roman"/>
          <w:b w:val="0"/>
          <w:color w:val="1C1C1C"/>
          <w:kern w:val="0"/>
          <w:sz w:val="22"/>
          <w:vertAlign w:val="superscript"/>
          <w:lang w:eastAsia="fr-FR"/>
        </w:rPr>
        <w:t>e</w:t>
      </w:r>
      <w:r w:rsidRPr="00672B42">
        <w:rPr>
          <w:rFonts w:ascii="Cambria" w:eastAsia="Times New Roman" w:hAnsi="Cambria" w:cs="Times New Roman"/>
          <w:b w:val="0"/>
          <w:color w:val="1C1C1C"/>
          <w:kern w:val="0"/>
          <w:sz w:val="22"/>
          <w:lang w:eastAsia="fr-FR"/>
        </w:rPr>
        <w:t xml:space="preserve"> siècle », numéro thématique de </w:t>
      </w:r>
      <w:r w:rsidRPr="00672B42">
        <w:rPr>
          <w:rFonts w:ascii="Cambria" w:eastAsia="Times New Roman" w:hAnsi="Cambria" w:cs="Times New Roman"/>
          <w:b w:val="0"/>
          <w:i/>
          <w:iCs/>
          <w:color w:val="1C1C1C"/>
          <w:kern w:val="0"/>
          <w:sz w:val="22"/>
          <w:lang w:eastAsia="fr-FR"/>
        </w:rPr>
        <w:t>Romantisme</w:t>
      </w:r>
      <w:r w:rsidRPr="00672B42">
        <w:rPr>
          <w:rFonts w:ascii="Cambria" w:eastAsia="Times New Roman" w:hAnsi="Cambria" w:cs="Times New Roman"/>
          <w:b w:val="0"/>
          <w:color w:val="1C1C1C"/>
          <w:kern w:val="0"/>
          <w:sz w:val="22"/>
          <w:lang w:eastAsia="fr-FR"/>
        </w:rPr>
        <w:t>, n°189, oct. 2020.</w:t>
      </w:r>
    </w:p>
    <w:p w14:paraId="54C4133C" w14:textId="77777777" w:rsidR="00B77F16" w:rsidRPr="00672B42" w:rsidRDefault="00B77F16" w:rsidP="00095145">
      <w:pPr>
        <w:spacing w:after="0" w:line="276" w:lineRule="auto"/>
        <w:contextualSpacing/>
        <w:jc w:val="both"/>
        <w:rPr>
          <w:rFonts w:ascii="Cambria" w:hAnsi="Cambria" w:cs="Times New Roman"/>
          <w:color w:val="0070C0"/>
          <w:sz w:val="22"/>
        </w:rPr>
      </w:pPr>
    </w:p>
    <w:p w14:paraId="0122D245" w14:textId="77777777" w:rsidR="00B77F16" w:rsidRPr="00672B42" w:rsidRDefault="00B77F16" w:rsidP="00095145">
      <w:pPr>
        <w:spacing w:after="0" w:line="276" w:lineRule="auto"/>
        <w:contextualSpacing/>
        <w:jc w:val="both"/>
        <w:rPr>
          <w:rFonts w:ascii="Cambria" w:hAnsi="Cambria" w:cs="Times New Roman"/>
          <w:color w:val="0070C0"/>
          <w:sz w:val="22"/>
        </w:rPr>
      </w:pPr>
    </w:p>
    <w:p w14:paraId="2FE96301" w14:textId="77777777" w:rsidR="00B77F16" w:rsidRPr="00672B42" w:rsidRDefault="00B77F16" w:rsidP="00095145">
      <w:pPr>
        <w:spacing w:after="0" w:line="276" w:lineRule="auto"/>
        <w:contextualSpacing/>
        <w:jc w:val="both"/>
        <w:rPr>
          <w:rFonts w:ascii="Cambria" w:hAnsi="Cambria" w:cs="Times New Roman"/>
          <w:color w:val="0070C0"/>
          <w:sz w:val="22"/>
        </w:rPr>
      </w:pPr>
    </w:p>
    <w:p w14:paraId="2787F136" w14:textId="77777777" w:rsidR="00B77F16" w:rsidRPr="00672B42" w:rsidRDefault="00B77F16" w:rsidP="00461423">
      <w:pPr>
        <w:spacing w:after="0" w:line="276" w:lineRule="auto"/>
        <w:contextualSpacing/>
        <w:jc w:val="both"/>
        <w:rPr>
          <w:rFonts w:ascii="Cambria" w:hAnsi="Cambria" w:cs="Times New Roman"/>
          <w:color w:val="0070C0"/>
          <w:sz w:val="22"/>
        </w:rPr>
      </w:pPr>
    </w:p>
    <w:p w14:paraId="253D6D69" w14:textId="77777777" w:rsidR="00B77F16" w:rsidRPr="00672B42" w:rsidRDefault="00B77F16" w:rsidP="00461423">
      <w:pPr>
        <w:spacing w:after="0" w:line="276" w:lineRule="auto"/>
        <w:contextualSpacing/>
        <w:jc w:val="both"/>
        <w:rPr>
          <w:rFonts w:ascii="Cambria" w:hAnsi="Cambria" w:cs="Times New Roman"/>
          <w:color w:val="0070C0"/>
          <w:sz w:val="22"/>
        </w:rPr>
      </w:pPr>
    </w:p>
    <w:p w14:paraId="409B2D99" w14:textId="77777777" w:rsidR="00C170B9" w:rsidRPr="00672B42" w:rsidRDefault="00C170B9" w:rsidP="00461423">
      <w:pPr>
        <w:spacing w:after="0" w:line="276" w:lineRule="auto"/>
        <w:contextualSpacing/>
        <w:jc w:val="both"/>
        <w:rPr>
          <w:rFonts w:ascii="Cambria" w:hAnsi="Cambria" w:cs="Times New Roman"/>
          <w:color w:val="0070C0"/>
          <w:sz w:val="22"/>
        </w:rPr>
      </w:pPr>
    </w:p>
    <w:p w14:paraId="1C311D9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349D5B8"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6298CAD5"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AAA492A"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1C5866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61C310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355AB8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8A2F59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EB3C876"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21E62A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2BCAB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4B0510C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C6262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56268B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B58CDB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8D7A72B"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434C20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703B91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4DFA20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258EDF9"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8AE18B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9F7D5BE"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3CFA4A6"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7FEC7135"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2CBFF6AA"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B66ADB3"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D2292FB"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26D70B1"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3B88F10C"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F941C6D"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40133B84"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3CDF2074"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6ECD263"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6500E68"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845A1F1"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262858D"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18AA3463"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F5CB023"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AB5B8AC" w14:textId="77777777" w:rsidR="002455A3" w:rsidRPr="00672B42" w:rsidRDefault="002455A3" w:rsidP="00DE15AB">
      <w:pPr>
        <w:spacing w:after="0" w:line="276" w:lineRule="auto"/>
        <w:contextualSpacing/>
        <w:jc w:val="center"/>
        <w:rPr>
          <w:rFonts w:ascii="Cambria" w:hAnsi="Cambria" w:cs="Times New Roman"/>
          <w:i/>
          <w:color w:val="C00000"/>
          <w:sz w:val="22"/>
        </w:rPr>
      </w:pPr>
    </w:p>
    <w:p w14:paraId="3DA0573D" w14:textId="77777777" w:rsidR="002455A3" w:rsidRPr="00672B42" w:rsidRDefault="002455A3" w:rsidP="00DE15AB">
      <w:pPr>
        <w:spacing w:after="0" w:line="276" w:lineRule="auto"/>
        <w:contextualSpacing/>
        <w:jc w:val="center"/>
        <w:rPr>
          <w:rFonts w:ascii="Cambria" w:hAnsi="Cambria" w:cs="Times New Roman"/>
          <w:i/>
          <w:color w:val="C00000"/>
          <w:sz w:val="22"/>
        </w:rPr>
      </w:pPr>
    </w:p>
    <w:p w14:paraId="68AD77C5"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4FDBC01B"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222EE760"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4D4280F3"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0C61149C"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61DDFB97"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C09B7A2" w14:textId="77777777" w:rsidR="00DE15AB" w:rsidRPr="00672B42" w:rsidRDefault="001A1473" w:rsidP="00DE15AB">
      <w:pPr>
        <w:spacing w:after="0" w:line="276" w:lineRule="auto"/>
        <w:contextualSpacing/>
        <w:jc w:val="center"/>
        <w:rPr>
          <w:rFonts w:ascii="Cambria" w:hAnsi="Cambria" w:cs="Times New Roman"/>
          <w:i/>
          <w:color w:val="C00000"/>
          <w:sz w:val="28"/>
          <w:szCs w:val="28"/>
        </w:rPr>
      </w:pPr>
      <w:r w:rsidRPr="00672B42">
        <w:rPr>
          <w:rFonts w:ascii="Cambria" w:hAnsi="Cambria" w:cs="Times New Roman"/>
          <w:i/>
          <w:color w:val="C00000"/>
          <w:sz w:val="28"/>
          <w:szCs w:val="28"/>
        </w:rPr>
        <w:t>J3031319/ J3031419</w:t>
      </w:r>
      <w:r w:rsidR="00DE15AB" w:rsidRPr="00672B42">
        <w:rPr>
          <w:rFonts w:ascii="Cambria" w:hAnsi="Cambria" w:cs="Times New Roman"/>
          <w:i/>
          <w:color w:val="C00000"/>
          <w:sz w:val="28"/>
          <w:szCs w:val="28"/>
        </w:rPr>
        <w:t xml:space="preserve"> : Les Amériques modernes, de la colonisation aux révolutions</w:t>
      </w:r>
    </w:p>
    <w:p w14:paraId="6AA56C25" w14:textId="77777777" w:rsidR="00F71F4E" w:rsidRPr="00672B42" w:rsidRDefault="00F71F4E" w:rsidP="00DE15AB">
      <w:pPr>
        <w:spacing w:after="0" w:line="276" w:lineRule="auto"/>
        <w:contextualSpacing/>
        <w:jc w:val="center"/>
        <w:rPr>
          <w:rFonts w:ascii="Cambria" w:hAnsi="Cambria" w:cs="Times New Roman"/>
          <w:i/>
          <w:sz w:val="28"/>
          <w:szCs w:val="28"/>
        </w:rPr>
      </w:pPr>
    </w:p>
    <w:p w14:paraId="7652BF31" w14:textId="5C1BAC35" w:rsidR="0050484C" w:rsidRDefault="00F71F4E" w:rsidP="00425CCF">
      <w:pPr>
        <w:spacing w:after="0" w:line="240" w:lineRule="auto"/>
        <w:jc w:val="center"/>
        <w:rPr>
          <w:rFonts w:ascii="Cambria" w:hAnsi="Cambria" w:cs="Times New Roman"/>
          <w:bCs/>
          <w:sz w:val="22"/>
        </w:rPr>
      </w:pPr>
      <w:r w:rsidRPr="00672B42">
        <w:rPr>
          <w:rFonts w:ascii="Cambria" w:hAnsi="Cambria" w:cs="Times New Roman"/>
          <w:bCs/>
          <w:sz w:val="22"/>
        </w:rPr>
        <w:t xml:space="preserve">           </w:t>
      </w:r>
      <w:r w:rsidR="00425CCF" w:rsidRPr="00672B42">
        <w:rPr>
          <w:rFonts w:ascii="Cambria" w:eastAsia="MS Mincho" w:hAnsi="Cambria" w:cs="Times New Roman"/>
          <w:bCs/>
          <w:kern w:val="0"/>
          <w:sz w:val="22"/>
          <w:lang w:val="en-US" w:eastAsia="fr-FR"/>
        </w:rPr>
        <w:t>Frederic Régent (CM)</w:t>
      </w:r>
      <w:r w:rsidR="0050484C" w:rsidRPr="00672B42">
        <w:rPr>
          <w:rFonts w:ascii="Cambria" w:eastAsia="MS Mincho" w:hAnsi="Cambria" w:cs="Times New Roman"/>
          <w:bCs/>
          <w:kern w:val="0"/>
          <w:sz w:val="22"/>
          <w:lang w:val="en-US" w:eastAsia="fr-FR"/>
        </w:rPr>
        <w:t xml:space="preserve">, </w:t>
      </w:r>
      <w:r w:rsidR="007968AE" w:rsidRPr="00672B42">
        <w:rPr>
          <w:rFonts w:ascii="Cambria" w:hAnsi="Cambria" w:cs="Times New Roman"/>
          <w:bCs/>
          <w:sz w:val="22"/>
        </w:rPr>
        <w:t>Antoine Duranton (TD S1),</w:t>
      </w:r>
    </w:p>
    <w:p w14:paraId="625CA597" w14:textId="77777777" w:rsidR="004C20B2" w:rsidRPr="00672B42" w:rsidRDefault="004C20B2" w:rsidP="00425CCF">
      <w:pPr>
        <w:spacing w:after="0" w:line="240" w:lineRule="auto"/>
        <w:jc w:val="center"/>
        <w:rPr>
          <w:rFonts w:ascii="Cambria" w:eastAsia="MS Mincho" w:hAnsi="Cambria" w:cs="Times New Roman"/>
          <w:bCs/>
          <w:kern w:val="0"/>
          <w:sz w:val="22"/>
          <w:lang w:val="en-US" w:eastAsia="fr-FR"/>
        </w:rPr>
      </w:pPr>
    </w:p>
    <w:p w14:paraId="1982CB5C" w14:textId="6CD65A4A" w:rsidR="00425CCF" w:rsidRPr="00672B42" w:rsidRDefault="0050484C" w:rsidP="00425CCF">
      <w:pPr>
        <w:spacing w:after="0" w:line="240" w:lineRule="auto"/>
        <w:jc w:val="center"/>
        <w:rPr>
          <w:rFonts w:ascii="Cambria" w:eastAsia="MS Mincho" w:hAnsi="Cambria" w:cs="Times New Roman"/>
          <w:bCs/>
          <w:kern w:val="0"/>
          <w:sz w:val="22"/>
          <w:lang w:val="en-US" w:eastAsia="fr-FR"/>
        </w:rPr>
      </w:pPr>
      <w:r w:rsidRPr="00672B42">
        <w:rPr>
          <w:rFonts w:ascii="Cambria" w:eastAsia="MS Mincho" w:hAnsi="Cambria" w:cs="Times New Roman"/>
          <w:bCs/>
          <w:kern w:val="0"/>
          <w:sz w:val="22"/>
          <w:lang w:val="en-US" w:eastAsia="fr-FR"/>
        </w:rPr>
        <w:t>Anne Wegener (TD S2)</w:t>
      </w:r>
    </w:p>
    <w:p w14:paraId="325CC726" w14:textId="77777777" w:rsidR="00D743AB" w:rsidRPr="00672B42" w:rsidRDefault="00D743AB" w:rsidP="00EB6D44">
      <w:pPr>
        <w:spacing w:after="0" w:line="240" w:lineRule="auto"/>
        <w:rPr>
          <w:rFonts w:ascii="Cambria" w:eastAsia="MS Mincho" w:hAnsi="Cambria" w:cs="Times New Roman"/>
          <w:bCs/>
          <w:kern w:val="0"/>
          <w:sz w:val="22"/>
          <w:lang w:eastAsia="fr-FR"/>
        </w:rPr>
      </w:pPr>
    </w:p>
    <w:p w14:paraId="3201DAAE" w14:textId="3B444735" w:rsidR="00F71F4E" w:rsidRPr="00672B42" w:rsidRDefault="00F71F4E" w:rsidP="00F71F4E">
      <w:pPr>
        <w:spacing w:after="0" w:line="240" w:lineRule="auto"/>
        <w:rPr>
          <w:rFonts w:ascii="Cambria" w:eastAsia="MS Mincho" w:hAnsi="Cambria" w:cs="Times New Roman"/>
          <w:bCs/>
          <w:color w:val="B71E42" w:themeColor="accent1"/>
          <w:kern w:val="0"/>
          <w:sz w:val="22"/>
          <w:lang w:eastAsia="fr-FR"/>
        </w:rPr>
      </w:pPr>
      <w:r w:rsidRPr="00672B42">
        <w:rPr>
          <w:rFonts w:ascii="Cambria" w:eastAsia="MS Mincho" w:hAnsi="Cambria" w:cs="Times New Roman"/>
          <w:bCs/>
          <w:color w:val="B71E42" w:themeColor="accent1"/>
          <w:kern w:val="0"/>
          <w:sz w:val="22"/>
          <w:u w:val="single"/>
          <w:lang w:eastAsia="fr-FR"/>
        </w:rPr>
        <w:t xml:space="preserve">Sujet du cours semestre 1 : </w:t>
      </w:r>
      <w:r w:rsidRPr="00672B42">
        <w:rPr>
          <w:rFonts w:ascii="Cambria" w:eastAsia="MS Mincho" w:hAnsi="Cambria" w:cs="Times New Roman"/>
          <w:bCs/>
          <w:color w:val="B71E42" w:themeColor="accent1"/>
          <w:kern w:val="0"/>
          <w:sz w:val="22"/>
          <w:lang w:eastAsia="fr-FR"/>
        </w:rPr>
        <w:t>La nature américaine au temps des premières colonisations (fin XVe- début XVIIe siècles)</w:t>
      </w:r>
    </w:p>
    <w:p w14:paraId="724B2270" w14:textId="77777777" w:rsidR="00F71F4E" w:rsidRPr="00672B42" w:rsidRDefault="00F71F4E" w:rsidP="00F71F4E">
      <w:pPr>
        <w:spacing w:after="0" w:line="240" w:lineRule="auto"/>
        <w:rPr>
          <w:rFonts w:ascii="Cambria" w:eastAsia="MS Mincho" w:hAnsi="Cambria" w:cs="Times New Roman"/>
          <w:bCs/>
          <w:kern w:val="0"/>
          <w:sz w:val="22"/>
          <w:lang w:eastAsia="fr-FR"/>
        </w:rPr>
      </w:pPr>
    </w:p>
    <w:p w14:paraId="740D5378" w14:textId="51902A3C" w:rsidR="00F71F4E" w:rsidRPr="00672B42" w:rsidRDefault="00F71F4E" w:rsidP="00F71F4E">
      <w:pPr>
        <w:spacing w:after="0" w:line="240" w:lineRule="auto"/>
        <w:ind w:right="-57"/>
        <w:jc w:val="both"/>
        <w:rPr>
          <w:rFonts w:ascii="Cambria" w:hAnsi="Cambria"/>
          <w:b w:val="0"/>
          <w:bCs/>
          <w:sz w:val="22"/>
        </w:rPr>
      </w:pPr>
      <w:r w:rsidRPr="00672B42">
        <w:rPr>
          <w:rFonts w:ascii="Cambria" w:hAnsi="Cambria"/>
          <w:b w:val="0"/>
          <w:bCs/>
          <w:sz w:val="22"/>
        </w:rPr>
        <w:t xml:space="preserve">Cet enseignement vise à présenter l’expansion océanique européenne aux Amériques et ses conséquences multiformes à l'époque moderne dans la perspective d’une histoire globale et comparée des domaines coloniaux ibériques, britannique, français et hollandais. </w:t>
      </w:r>
      <w:r w:rsidRPr="00672B42">
        <w:rPr>
          <w:rFonts w:ascii="Cambria" w:hAnsi="Cambria"/>
          <w:b w:val="0"/>
          <w:bCs/>
          <w:sz w:val="22"/>
        </w:rPr>
        <w:br/>
      </w:r>
      <w:r w:rsidRPr="00672B42">
        <w:rPr>
          <w:rFonts w:ascii="Cambria" w:hAnsi="Cambria"/>
          <w:b w:val="0"/>
          <w:bCs/>
          <w:sz w:val="22"/>
        </w:rPr>
        <w:br/>
        <w:t xml:space="preserve">Au XVIe siècle, la « découverte », l'exploration, la fréquentation, la conquête et la colonisation des Amériques par les Européens ont eu un profond impact sur la nature tant du nouveau monde que de l'ensemble euro-afro-asiatique. Le premier semestre sera donc consacré à explorer certains enjeux environnementaux liés à cette mise en relation des espaces et des sociétés, en analysant la transformation, l'exploitation, l'aménagement ou la mise en connaissance de l'environnement américain par les Européens (Ibériques, Français, Anglais) mais aussi la dissémination et l'appropriation des réalités naturelles du Nouveau Monde dans le reste du globe." </w:t>
      </w:r>
      <w:r w:rsidRPr="00672B42">
        <w:rPr>
          <w:rFonts w:ascii="Cambria" w:hAnsi="Cambria"/>
          <w:b w:val="0"/>
          <w:bCs/>
          <w:sz w:val="22"/>
        </w:rPr>
        <w:br/>
      </w:r>
      <w:r w:rsidRPr="00672B42">
        <w:rPr>
          <w:rFonts w:ascii="Cambria" w:hAnsi="Cambria"/>
          <w:b w:val="0"/>
          <w:bCs/>
          <w:sz w:val="22"/>
        </w:rPr>
        <w:br/>
        <w:t xml:space="preserve">Donc au S1 le titre serait : La nature américaine au temps des premières colonisations (fin XVe-debut XVIIe siècles). </w:t>
      </w:r>
      <w:r w:rsidRPr="00672B42">
        <w:rPr>
          <w:rFonts w:ascii="Cambria" w:hAnsi="Cambria"/>
          <w:b w:val="0"/>
          <w:bCs/>
          <w:sz w:val="22"/>
        </w:rPr>
        <w:br/>
      </w:r>
      <w:r w:rsidRPr="00672B42">
        <w:rPr>
          <w:rFonts w:ascii="Cambria" w:hAnsi="Cambria"/>
          <w:b w:val="0"/>
          <w:bCs/>
          <w:sz w:val="22"/>
        </w:rPr>
        <w:br/>
        <w:t xml:space="preserve">Pour la bibliographie, à celle envoyée par les collègues on peut rajouter : </w:t>
      </w:r>
      <w:r w:rsidRPr="00672B42">
        <w:rPr>
          <w:rFonts w:ascii="Cambria" w:hAnsi="Cambria"/>
          <w:b w:val="0"/>
          <w:bCs/>
          <w:sz w:val="22"/>
        </w:rPr>
        <w:br/>
      </w:r>
      <w:r w:rsidRPr="00672B42">
        <w:rPr>
          <w:rFonts w:ascii="Cambria" w:hAnsi="Cambria"/>
          <w:b w:val="0"/>
          <w:bCs/>
          <w:sz w:val="22"/>
        </w:rPr>
        <w:br/>
        <w:t xml:space="preserve">- C. Bernand &amp; S. Gruzinski, Histoire du Nouveau Monde, I : De la Découverte à la Conquête, une expérience européenne, Paris, Fayard, 1991 </w:t>
      </w:r>
      <w:r w:rsidRPr="00672B42">
        <w:rPr>
          <w:rFonts w:ascii="Cambria" w:hAnsi="Cambria"/>
          <w:b w:val="0"/>
          <w:bCs/>
          <w:sz w:val="22"/>
        </w:rPr>
        <w:br/>
        <w:t xml:space="preserve">- C. Bernand &amp; S. Gruzinski, Histoire du Nouveau Monde. II : Les métissages (1550-1640), Paris, Fayard, 1993 </w:t>
      </w:r>
      <w:r w:rsidRPr="00672B42">
        <w:rPr>
          <w:rFonts w:ascii="Cambria" w:hAnsi="Cambria"/>
          <w:b w:val="0"/>
          <w:bCs/>
          <w:sz w:val="22"/>
        </w:rPr>
        <w:br/>
        <w:t xml:space="preserve">- Luís Filipe Thomaz (Xavier de Castro et Émile Viteau - trad.), L'expansion portugaise dans le monde, XIVe-XVIIIe siècles. Les multiples facettes d’un </w:t>
      </w:r>
    </w:p>
    <w:p w14:paraId="6E12F8F5" w14:textId="77777777" w:rsidR="00F71F4E" w:rsidRPr="00672B42" w:rsidRDefault="00F71F4E" w:rsidP="00F71F4E">
      <w:pPr>
        <w:spacing w:after="0" w:line="240" w:lineRule="auto"/>
        <w:jc w:val="both"/>
        <w:rPr>
          <w:rFonts w:ascii="Cambria" w:hAnsi="Cambria"/>
          <w:b w:val="0"/>
          <w:bCs/>
          <w:sz w:val="22"/>
        </w:rPr>
      </w:pPr>
    </w:p>
    <w:p w14:paraId="5228A323" w14:textId="77777777" w:rsidR="00F71F4E" w:rsidRPr="00672B42" w:rsidRDefault="00F71F4E" w:rsidP="00F71F4E">
      <w:pPr>
        <w:spacing w:after="0" w:line="240" w:lineRule="auto"/>
        <w:jc w:val="both"/>
        <w:rPr>
          <w:rFonts w:ascii="Cambria" w:hAnsi="Cambria"/>
          <w:b w:val="0"/>
          <w:bCs/>
          <w:sz w:val="22"/>
        </w:rPr>
      </w:pPr>
    </w:p>
    <w:p w14:paraId="65F242A7" w14:textId="77777777" w:rsidR="004C20B2" w:rsidRDefault="004C20B2" w:rsidP="00F71F4E">
      <w:pPr>
        <w:spacing w:after="0" w:line="240" w:lineRule="auto"/>
        <w:jc w:val="both"/>
        <w:rPr>
          <w:rFonts w:ascii="Cambria" w:hAnsi="Cambria"/>
          <w:b w:val="0"/>
          <w:bCs/>
          <w:sz w:val="22"/>
        </w:rPr>
      </w:pPr>
    </w:p>
    <w:p w14:paraId="3F932B0A" w14:textId="77777777" w:rsidR="004C20B2" w:rsidRDefault="004C20B2" w:rsidP="00F71F4E">
      <w:pPr>
        <w:spacing w:after="0" w:line="240" w:lineRule="auto"/>
        <w:jc w:val="both"/>
        <w:rPr>
          <w:rFonts w:ascii="Cambria" w:hAnsi="Cambria"/>
          <w:b w:val="0"/>
          <w:bCs/>
          <w:sz w:val="22"/>
        </w:rPr>
      </w:pPr>
    </w:p>
    <w:p w14:paraId="314D8BE3" w14:textId="19F3F88E" w:rsidR="00D743AB" w:rsidRPr="00672B42" w:rsidRDefault="00F71F4E" w:rsidP="00F71F4E">
      <w:pPr>
        <w:spacing w:after="0" w:line="240" w:lineRule="auto"/>
        <w:jc w:val="both"/>
        <w:rPr>
          <w:rFonts w:ascii="Cambria" w:hAnsi="Cambria"/>
          <w:b w:val="0"/>
          <w:bCs/>
          <w:sz w:val="22"/>
        </w:rPr>
      </w:pPr>
      <w:r w:rsidRPr="00672B42">
        <w:rPr>
          <w:rFonts w:ascii="Cambria" w:hAnsi="Cambria"/>
          <w:b w:val="0"/>
          <w:bCs/>
          <w:sz w:val="22"/>
        </w:rPr>
        <w:t xml:space="preserve">prisme, Chandeigne, Magellane Poche, 2018 </w:t>
      </w:r>
      <w:r w:rsidRPr="00672B42">
        <w:rPr>
          <w:rFonts w:ascii="Cambria" w:hAnsi="Cambria"/>
          <w:b w:val="0"/>
          <w:bCs/>
          <w:sz w:val="22"/>
        </w:rPr>
        <w:br/>
        <w:t>- Turgeon, Laurier, Une Histoire de la Nouvelle France. Français et Amérindiens au XVIe siècle, Paris, Belin, 2019"</w:t>
      </w:r>
    </w:p>
    <w:p w14:paraId="63610B5E" w14:textId="77777777" w:rsidR="00F71F4E" w:rsidRPr="00672B42" w:rsidRDefault="00F71F4E" w:rsidP="00F71F4E">
      <w:pPr>
        <w:spacing w:after="0" w:line="240" w:lineRule="auto"/>
        <w:jc w:val="both"/>
        <w:rPr>
          <w:rFonts w:ascii="Cambria" w:hAnsi="Cambria"/>
          <w:b w:val="0"/>
          <w:bCs/>
          <w:sz w:val="22"/>
        </w:rPr>
      </w:pPr>
    </w:p>
    <w:p w14:paraId="593B5E3D" w14:textId="77777777" w:rsidR="00F71F4E" w:rsidRPr="00672B42" w:rsidRDefault="00F71F4E" w:rsidP="00F71F4E">
      <w:pPr>
        <w:spacing w:after="0" w:line="240" w:lineRule="auto"/>
        <w:jc w:val="both"/>
        <w:rPr>
          <w:rFonts w:ascii="Cambria" w:eastAsia="MS Mincho" w:hAnsi="Cambria" w:cs="Times New Roman"/>
          <w:b w:val="0"/>
          <w:bCs/>
          <w:kern w:val="0"/>
          <w:sz w:val="22"/>
          <w:lang w:eastAsia="fr-FR"/>
        </w:rPr>
      </w:pPr>
    </w:p>
    <w:p w14:paraId="17724F18" w14:textId="395F11D5" w:rsidR="00D743AB" w:rsidRPr="00672B42" w:rsidRDefault="00D743AB" w:rsidP="00D743AB">
      <w:pPr>
        <w:spacing w:after="0" w:line="240" w:lineRule="auto"/>
        <w:rPr>
          <w:rFonts w:ascii="Cambria" w:eastAsia="MS Mincho" w:hAnsi="Cambria" w:cs="Times New Roman"/>
          <w:bCs/>
          <w:color w:val="B71E42" w:themeColor="accent1"/>
          <w:kern w:val="0"/>
          <w:sz w:val="22"/>
          <w:lang w:eastAsia="fr-FR"/>
        </w:rPr>
      </w:pPr>
      <w:bookmarkStart w:id="24" w:name="_Hlk203482372"/>
      <w:r w:rsidRPr="00672B42">
        <w:rPr>
          <w:rFonts w:ascii="Cambria" w:eastAsia="MS Mincho" w:hAnsi="Cambria" w:cs="Times New Roman"/>
          <w:bCs/>
          <w:color w:val="B71E42" w:themeColor="accent1"/>
          <w:kern w:val="0"/>
          <w:sz w:val="22"/>
          <w:u w:val="single"/>
          <w:lang w:eastAsia="fr-FR"/>
        </w:rPr>
        <w:t>Sujet du cours semestre 2</w:t>
      </w:r>
      <w:bookmarkEnd w:id="24"/>
      <w:r w:rsidRPr="00672B42">
        <w:rPr>
          <w:rFonts w:ascii="Cambria" w:eastAsia="MS Mincho" w:hAnsi="Cambria" w:cs="Times New Roman"/>
          <w:bCs/>
          <w:color w:val="B71E42" w:themeColor="accent1"/>
          <w:kern w:val="0"/>
          <w:sz w:val="22"/>
          <w:lang w:eastAsia="fr-FR"/>
        </w:rPr>
        <w:t xml:space="preserve"> : </w:t>
      </w:r>
      <w:r w:rsidRPr="00672B42">
        <w:rPr>
          <w:rFonts w:ascii="Cambria" w:hAnsi="Cambria"/>
          <w:bCs/>
          <w:color w:val="B71E42" w:themeColor="accent1"/>
          <w:sz w:val="22"/>
        </w:rPr>
        <w:t>Rivalités internationales, échanges et exploitation en Amérique coloniale (XVIIe-XVIIIe siècles)</w:t>
      </w:r>
    </w:p>
    <w:p w14:paraId="30169591" w14:textId="77777777" w:rsidR="00D743AB" w:rsidRPr="00672B42" w:rsidRDefault="00D743AB" w:rsidP="00461423">
      <w:pPr>
        <w:spacing w:after="0" w:line="276" w:lineRule="auto"/>
        <w:contextualSpacing/>
        <w:jc w:val="both"/>
        <w:rPr>
          <w:rFonts w:ascii="Cambria" w:eastAsia="MS Mincho" w:hAnsi="Cambria" w:cs="Times New Roman"/>
          <w:b w:val="0"/>
          <w:color w:val="C00000"/>
          <w:kern w:val="0"/>
          <w:sz w:val="22"/>
          <w:u w:val="single"/>
          <w:lang w:eastAsia="fr-FR"/>
        </w:rPr>
      </w:pPr>
    </w:p>
    <w:p w14:paraId="05F59EFD" w14:textId="77777777" w:rsidR="00D743AB" w:rsidRPr="00672B42" w:rsidRDefault="00D743AB" w:rsidP="00461423">
      <w:pPr>
        <w:spacing w:after="0" w:line="276" w:lineRule="auto"/>
        <w:contextualSpacing/>
        <w:jc w:val="both"/>
        <w:rPr>
          <w:rStyle w:val="Accentuation"/>
          <w:rFonts w:ascii="Cambria" w:hAnsi="Cambria"/>
          <w:b w:val="0"/>
          <w:sz w:val="22"/>
        </w:rPr>
      </w:pPr>
      <w:r w:rsidRPr="00672B42">
        <w:rPr>
          <w:rFonts w:ascii="Cambria" w:hAnsi="Cambria"/>
          <w:b w:val="0"/>
          <w:sz w:val="22"/>
        </w:rPr>
        <w:t>A partir du XVIIe siècle, l’Amérique devient le théâtre des rivalités européennes. Portugais, Espagnols, Français, Britanniques, Néerlandais et Danois transposent leurs rivalités économiques, territoriales et religieuses du sol européen vers les Amériques. Des relations commerciales et diplomatiques sont nouées avec des populations amérindiennes, qui cependant, dans de nombreux cas, s'accompagnent de violence, de déplacements et d'implication dans des guerres européennes. Des logiques d’exploitation sont mises en place pour garantir le maintien de la présence de chacune des puissances coloniales. Les territoires qui peuvent produire des denrées d’exportation à forte valeur sont mis en culture avec le recours à l’esclavage. Cette colonisation de l’Amérique donne lieu à de nombreux échanges entre les métropoles et les colonies, mais aussi entre les colonies, en dépit d’une règlementation qui l’interdit. A la fin du XVIIIe siècle, lors de la Révolution américaine, l’Amérique devient le théâtre principal de l’affrontement des deux plus grandes puissances européennes que sont la France et la Grande-Bretagne. Dans le cadre de leur rivalité, mais aussi du processus révolutionnaire, les deux puissances finissent par perdre leur plus importante colonie, les Etats-Unis en 1783 et Saint-Domingue en 1804.</w:t>
      </w:r>
      <w:r w:rsidRPr="00672B42">
        <w:rPr>
          <w:rFonts w:ascii="Cambria" w:hAnsi="Cambria"/>
          <w:b w:val="0"/>
          <w:sz w:val="22"/>
        </w:rPr>
        <w:br/>
      </w:r>
      <w:r w:rsidRPr="00672B42">
        <w:rPr>
          <w:rFonts w:ascii="Cambria" w:hAnsi="Cambria"/>
          <w:b w:val="0"/>
          <w:sz w:val="22"/>
        </w:rPr>
        <w:br/>
      </w:r>
      <w:r w:rsidRPr="00672B42">
        <w:rPr>
          <w:rFonts w:ascii="Cambria" w:hAnsi="Cambria"/>
          <w:b w:val="0"/>
          <w:sz w:val="22"/>
        </w:rPr>
        <w:br/>
      </w:r>
      <w:r w:rsidRPr="00672B42">
        <w:rPr>
          <w:rFonts w:ascii="Cambria" w:hAnsi="Cambria"/>
          <w:bCs/>
          <w:sz w:val="22"/>
        </w:rPr>
        <w:t>Bibliographie</w:t>
      </w:r>
      <w:r w:rsidRPr="00672B42">
        <w:rPr>
          <w:rFonts w:ascii="Cambria" w:hAnsi="Cambria"/>
          <w:bCs/>
          <w:sz w:val="22"/>
        </w:rPr>
        <w:br/>
      </w:r>
      <w:r w:rsidRPr="00672B42">
        <w:rPr>
          <w:rFonts w:ascii="Cambria" w:hAnsi="Cambria"/>
          <w:b w:val="0"/>
          <w:sz w:val="22"/>
        </w:rPr>
        <w:t> </w:t>
      </w:r>
      <w:r w:rsidRPr="00672B42">
        <w:rPr>
          <w:rFonts w:ascii="Cambria" w:hAnsi="Cambria"/>
          <w:b w:val="0"/>
          <w:sz w:val="22"/>
        </w:rPr>
        <w:br/>
        <w:t xml:space="preserve">Pieter Emmer (dir.), </w:t>
      </w:r>
      <w:r w:rsidRPr="00672B42">
        <w:rPr>
          <w:rStyle w:val="Accentuation"/>
          <w:rFonts w:ascii="Cambria" w:hAnsi="Cambria"/>
          <w:b w:val="0"/>
          <w:sz w:val="22"/>
        </w:rPr>
        <w:t>Les Pays-Bas et l’Atlantique 1500-1800</w:t>
      </w:r>
      <w:r w:rsidRPr="00672B42">
        <w:rPr>
          <w:rFonts w:ascii="Cambria" w:hAnsi="Cambria"/>
          <w:b w:val="0"/>
          <w:sz w:val="22"/>
        </w:rPr>
        <w:t>, Paris, PUR, 2009.</w:t>
      </w:r>
      <w:r w:rsidRPr="00672B42">
        <w:rPr>
          <w:rFonts w:ascii="Cambria" w:hAnsi="Cambria"/>
          <w:b w:val="0"/>
          <w:sz w:val="22"/>
        </w:rPr>
        <w:br/>
        <w:t xml:space="preserve">Bertrand van Ruymbeke, </w:t>
      </w:r>
      <w:r w:rsidRPr="00672B42">
        <w:rPr>
          <w:rStyle w:val="Accentuation"/>
          <w:rFonts w:ascii="Cambria" w:hAnsi="Cambria"/>
          <w:b w:val="0"/>
          <w:sz w:val="22"/>
        </w:rPr>
        <w:t xml:space="preserve">L’Amérique avant les Etats-Unis. Une histoire de </w:t>
      </w:r>
    </w:p>
    <w:p w14:paraId="667C70ED" w14:textId="77777777" w:rsidR="00D743AB" w:rsidRPr="00672B42" w:rsidRDefault="00D743AB" w:rsidP="00461423">
      <w:pPr>
        <w:spacing w:after="0" w:line="276" w:lineRule="auto"/>
        <w:contextualSpacing/>
        <w:jc w:val="both"/>
        <w:rPr>
          <w:rStyle w:val="Accentuation"/>
          <w:rFonts w:ascii="Cambria" w:hAnsi="Cambria"/>
          <w:b w:val="0"/>
          <w:sz w:val="22"/>
        </w:rPr>
      </w:pPr>
    </w:p>
    <w:p w14:paraId="05AFEB31" w14:textId="77777777" w:rsidR="00D743AB" w:rsidRPr="00672B42" w:rsidRDefault="00D743AB" w:rsidP="00461423">
      <w:pPr>
        <w:spacing w:after="0" w:line="276" w:lineRule="auto"/>
        <w:contextualSpacing/>
        <w:jc w:val="both"/>
        <w:rPr>
          <w:rStyle w:val="Accentuation"/>
          <w:rFonts w:ascii="Cambria" w:hAnsi="Cambria"/>
          <w:b w:val="0"/>
          <w:sz w:val="22"/>
        </w:rPr>
      </w:pPr>
    </w:p>
    <w:p w14:paraId="5FDBC600" w14:textId="0FE2AA67" w:rsidR="00DF17B7" w:rsidRPr="00672B42" w:rsidRDefault="00D743AB" w:rsidP="00461423">
      <w:pPr>
        <w:spacing w:after="0" w:line="276" w:lineRule="auto"/>
        <w:contextualSpacing/>
        <w:jc w:val="both"/>
        <w:rPr>
          <w:rFonts w:ascii="Cambria" w:eastAsia="MS Mincho" w:hAnsi="Cambria" w:cs="Times New Roman"/>
          <w:b w:val="0"/>
          <w:color w:val="C00000"/>
          <w:kern w:val="0"/>
          <w:sz w:val="22"/>
          <w:u w:val="single"/>
          <w:lang w:eastAsia="fr-FR"/>
        </w:rPr>
      </w:pPr>
      <w:r w:rsidRPr="00672B42">
        <w:rPr>
          <w:rStyle w:val="Accentuation"/>
          <w:rFonts w:ascii="Cambria" w:hAnsi="Cambria"/>
          <w:b w:val="0"/>
          <w:sz w:val="22"/>
        </w:rPr>
        <w:t>l’Amérique anglaise 1497-1776</w:t>
      </w:r>
      <w:r w:rsidRPr="00672B42">
        <w:rPr>
          <w:rFonts w:ascii="Cambria" w:hAnsi="Cambria"/>
          <w:b w:val="0"/>
          <w:sz w:val="22"/>
        </w:rPr>
        <w:t>, Paris, Flammarion, 2013.</w:t>
      </w:r>
      <w:r w:rsidRPr="00672B42">
        <w:rPr>
          <w:rFonts w:ascii="Cambria" w:hAnsi="Cambria"/>
          <w:b w:val="0"/>
          <w:sz w:val="22"/>
        </w:rPr>
        <w:br/>
        <w:t xml:space="preserve">Thomas Calvo, </w:t>
      </w:r>
      <w:r w:rsidRPr="00672B42">
        <w:rPr>
          <w:rStyle w:val="Accentuation"/>
          <w:rFonts w:ascii="Cambria" w:hAnsi="Cambria"/>
          <w:b w:val="0"/>
          <w:sz w:val="22"/>
        </w:rPr>
        <w:t>L'Amérique ibérique de 1570 à 1910</w:t>
      </w:r>
      <w:r w:rsidRPr="00672B42">
        <w:rPr>
          <w:rFonts w:ascii="Cambria" w:hAnsi="Cambria"/>
          <w:b w:val="0"/>
          <w:sz w:val="22"/>
        </w:rPr>
        <w:t>, Paris, Nathan, 1994.</w:t>
      </w:r>
      <w:r w:rsidRPr="00672B42">
        <w:rPr>
          <w:rFonts w:ascii="Cambria" w:hAnsi="Cambria"/>
          <w:b w:val="0"/>
          <w:sz w:val="22"/>
        </w:rPr>
        <w:br/>
        <w:t>Frédéric Régent, La France et ses esclaves, Paris, Pluriel, 2012.</w:t>
      </w:r>
      <w:r w:rsidRPr="00672B42">
        <w:rPr>
          <w:rFonts w:ascii="Cambria" w:hAnsi="Cambria"/>
          <w:b w:val="0"/>
          <w:sz w:val="22"/>
        </w:rPr>
        <w:br/>
        <w:t>Frédéric Régent, Libres de couleur, Paris, Tallandier, 2023.</w:t>
      </w:r>
    </w:p>
    <w:p w14:paraId="3A62FB5F" w14:textId="77777777" w:rsidR="00F248D8" w:rsidRPr="00672B42" w:rsidRDefault="00F248D8" w:rsidP="00461423">
      <w:pPr>
        <w:spacing w:after="0" w:line="276" w:lineRule="auto"/>
        <w:contextualSpacing/>
        <w:jc w:val="both"/>
        <w:rPr>
          <w:rFonts w:ascii="Cambria" w:hAnsi="Cambria" w:cs="Times New Roman"/>
          <w:b w:val="0"/>
          <w:sz w:val="22"/>
        </w:rPr>
      </w:pPr>
    </w:p>
    <w:p w14:paraId="40ABDEF0" w14:textId="77777777" w:rsidR="00F71F4E" w:rsidRPr="00672B42" w:rsidRDefault="00F71F4E" w:rsidP="00461423">
      <w:pPr>
        <w:spacing w:after="0" w:line="276" w:lineRule="auto"/>
        <w:contextualSpacing/>
        <w:jc w:val="both"/>
        <w:rPr>
          <w:rFonts w:ascii="Cambria" w:hAnsi="Cambria" w:cs="Times New Roman"/>
          <w:b w:val="0"/>
          <w:sz w:val="22"/>
        </w:rPr>
      </w:pPr>
    </w:p>
    <w:p w14:paraId="0639DE22" w14:textId="77777777" w:rsidR="00F71F4E" w:rsidRPr="00672B42" w:rsidRDefault="00F71F4E" w:rsidP="00461423">
      <w:pPr>
        <w:spacing w:after="0" w:line="276" w:lineRule="auto"/>
        <w:contextualSpacing/>
        <w:jc w:val="both"/>
        <w:rPr>
          <w:rFonts w:ascii="Cambria" w:hAnsi="Cambria" w:cs="Times New Roman"/>
          <w:b w:val="0"/>
          <w:sz w:val="22"/>
        </w:rPr>
      </w:pPr>
    </w:p>
    <w:p w14:paraId="53821F08" w14:textId="77777777" w:rsidR="00F71F4E" w:rsidRPr="00672B42" w:rsidRDefault="00F71F4E" w:rsidP="00461423">
      <w:pPr>
        <w:spacing w:after="0" w:line="276" w:lineRule="auto"/>
        <w:contextualSpacing/>
        <w:jc w:val="both"/>
        <w:rPr>
          <w:rFonts w:ascii="Cambria" w:hAnsi="Cambria" w:cs="Times New Roman"/>
          <w:b w:val="0"/>
          <w:sz w:val="22"/>
        </w:rPr>
      </w:pPr>
    </w:p>
    <w:p w14:paraId="48D11BC8" w14:textId="77777777" w:rsidR="00F71F4E" w:rsidRPr="00672B42" w:rsidRDefault="00F71F4E" w:rsidP="00461423">
      <w:pPr>
        <w:spacing w:after="0" w:line="276" w:lineRule="auto"/>
        <w:contextualSpacing/>
        <w:jc w:val="both"/>
        <w:rPr>
          <w:rFonts w:ascii="Cambria" w:hAnsi="Cambria" w:cs="Times New Roman"/>
          <w:b w:val="0"/>
          <w:sz w:val="22"/>
        </w:rPr>
      </w:pPr>
    </w:p>
    <w:p w14:paraId="079E0F50" w14:textId="77777777" w:rsidR="00F71F4E" w:rsidRPr="00672B42" w:rsidRDefault="00F71F4E" w:rsidP="00461423">
      <w:pPr>
        <w:spacing w:after="0" w:line="276" w:lineRule="auto"/>
        <w:contextualSpacing/>
        <w:jc w:val="both"/>
        <w:rPr>
          <w:rFonts w:ascii="Cambria" w:hAnsi="Cambria" w:cs="Times New Roman"/>
          <w:b w:val="0"/>
          <w:sz w:val="22"/>
        </w:rPr>
      </w:pPr>
    </w:p>
    <w:p w14:paraId="7901C6D7" w14:textId="77777777" w:rsidR="00F71F4E" w:rsidRPr="00672B42" w:rsidRDefault="00F71F4E" w:rsidP="00461423">
      <w:pPr>
        <w:spacing w:after="0" w:line="276" w:lineRule="auto"/>
        <w:contextualSpacing/>
        <w:jc w:val="both"/>
        <w:rPr>
          <w:rFonts w:ascii="Cambria" w:hAnsi="Cambria" w:cs="Times New Roman"/>
          <w:b w:val="0"/>
          <w:sz w:val="22"/>
        </w:rPr>
      </w:pPr>
    </w:p>
    <w:p w14:paraId="386EE43A" w14:textId="77777777" w:rsidR="00F71F4E" w:rsidRPr="00672B42" w:rsidRDefault="00F71F4E" w:rsidP="00461423">
      <w:pPr>
        <w:spacing w:after="0" w:line="276" w:lineRule="auto"/>
        <w:contextualSpacing/>
        <w:jc w:val="both"/>
        <w:rPr>
          <w:rFonts w:ascii="Cambria" w:hAnsi="Cambria" w:cs="Times New Roman"/>
          <w:b w:val="0"/>
          <w:sz w:val="22"/>
        </w:rPr>
      </w:pPr>
    </w:p>
    <w:p w14:paraId="6F063540" w14:textId="77777777" w:rsidR="00F71F4E" w:rsidRPr="00672B42" w:rsidRDefault="00F71F4E" w:rsidP="00461423">
      <w:pPr>
        <w:spacing w:after="0" w:line="276" w:lineRule="auto"/>
        <w:contextualSpacing/>
        <w:jc w:val="both"/>
        <w:rPr>
          <w:rFonts w:ascii="Cambria" w:hAnsi="Cambria" w:cs="Times New Roman"/>
          <w:b w:val="0"/>
          <w:sz w:val="22"/>
        </w:rPr>
      </w:pPr>
    </w:p>
    <w:p w14:paraId="1989C2C8" w14:textId="77777777" w:rsidR="00F71F4E" w:rsidRPr="00672B42" w:rsidRDefault="00F71F4E" w:rsidP="00461423">
      <w:pPr>
        <w:spacing w:after="0" w:line="276" w:lineRule="auto"/>
        <w:contextualSpacing/>
        <w:jc w:val="both"/>
        <w:rPr>
          <w:rFonts w:ascii="Cambria" w:hAnsi="Cambria" w:cs="Times New Roman"/>
          <w:b w:val="0"/>
          <w:sz w:val="22"/>
        </w:rPr>
      </w:pPr>
    </w:p>
    <w:p w14:paraId="52A8280B" w14:textId="77777777" w:rsidR="00F71F4E" w:rsidRPr="00672B42" w:rsidRDefault="00F71F4E" w:rsidP="00461423">
      <w:pPr>
        <w:spacing w:after="0" w:line="276" w:lineRule="auto"/>
        <w:contextualSpacing/>
        <w:jc w:val="both"/>
        <w:rPr>
          <w:rFonts w:ascii="Cambria" w:hAnsi="Cambria" w:cs="Times New Roman"/>
          <w:b w:val="0"/>
          <w:sz w:val="22"/>
        </w:rPr>
      </w:pPr>
    </w:p>
    <w:p w14:paraId="7AA0C57D" w14:textId="77777777" w:rsidR="00F71F4E" w:rsidRPr="00672B42" w:rsidRDefault="00F71F4E" w:rsidP="00461423">
      <w:pPr>
        <w:spacing w:after="0" w:line="276" w:lineRule="auto"/>
        <w:contextualSpacing/>
        <w:jc w:val="both"/>
        <w:rPr>
          <w:rFonts w:ascii="Cambria" w:hAnsi="Cambria" w:cs="Times New Roman"/>
          <w:b w:val="0"/>
          <w:sz w:val="22"/>
        </w:rPr>
      </w:pPr>
    </w:p>
    <w:p w14:paraId="1DA930EC" w14:textId="77777777" w:rsidR="00F71F4E" w:rsidRPr="00672B42" w:rsidRDefault="00F71F4E" w:rsidP="00461423">
      <w:pPr>
        <w:spacing w:after="0" w:line="276" w:lineRule="auto"/>
        <w:contextualSpacing/>
        <w:jc w:val="both"/>
        <w:rPr>
          <w:rFonts w:ascii="Cambria" w:hAnsi="Cambria" w:cs="Times New Roman"/>
          <w:b w:val="0"/>
          <w:sz w:val="22"/>
        </w:rPr>
      </w:pPr>
    </w:p>
    <w:p w14:paraId="24263A73" w14:textId="77777777" w:rsidR="00F71F4E" w:rsidRPr="00672B42" w:rsidRDefault="00F71F4E" w:rsidP="00461423">
      <w:pPr>
        <w:spacing w:after="0" w:line="276" w:lineRule="auto"/>
        <w:contextualSpacing/>
        <w:jc w:val="both"/>
        <w:rPr>
          <w:rFonts w:ascii="Cambria" w:hAnsi="Cambria" w:cs="Times New Roman"/>
          <w:b w:val="0"/>
          <w:sz w:val="22"/>
        </w:rPr>
      </w:pPr>
    </w:p>
    <w:p w14:paraId="4A930643" w14:textId="77777777" w:rsidR="00F71F4E" w:rsidRPr="00672B42" w:rsidRDefault="00F71F4E" w:rsidP="00461423">
      <w:pPr>
        <w:spacing w:after="0" w:line="276" w:lineRule="auto"/>
        <w:contextualSpacing/>
        <w:jc w:val="both"/>
        <w:rPr>
          <w:rFonts w:ascii="Cambria" w:hAnsi="Cambria" w:cs="Times New Roman"/>
          <w:b w:val="0"/>
          <w:sz w:val="22"/>
        </w:rPr>
      </w:pPr>
    </w:p>
    <w:p w14:paraId="6D70257B" w14:textId="77777777" w:rsidR="00F71F4E" w:rsidRPr="00672B42" w:rsidRDefault="00F71F4E" w:rsidP="00461423">
      <w:pPr>
        <w:spacing w:after="0" w:line="276" w:lineRule="auto"/>
        <w:contextualSpacing/>
        <w:jc w:val="both"/>
        <w:rPr>
          <w:rFonts w:ascii="Cambria" w:hAnsi="Cambria" w:cs="Times New Roman"/>
          <w:b w:val="0"/>
          <w:sz w:val="22"/>
        </w:rPr>
      </w:pPr>
    </w:p>
    <w:p w14:paraId="7140B0BF" w14:textId="77777777" w:rsidR="00F71F4E" w:rsidRPr="00672B42" w:rsidRDefault="00F71F4E" w:rsidP="00461423">
      <w:pPr>
        <w:spacing w:after="0" w:line="276" w:lineRule="auto"/>
        <w:contextualSpacing/>
        <w:jc w:val="both"/>
        <w:rPr>
          <w:rFonts w:ascii="Cambria" w:hAnsi="Cambria" w:cs="Times New Roman"/>
          <w:b w:val="0"/>
          <w:sz w:val="22"/>
        </w:rPr>
      </w:pPr>
    </w:p>
    <w:p w14:paraId="22FB6F1A" w14:textId="77777777" w:rsidR="00F71F4E" w:rsidRPr="00672B42" w:rsidRDefault="00F71F4E" w:rsidP="00461423">
      <w:pPr>
        <w:spacing w:after="0" w:line="276" w:lineRule="auto"/>
        <w:contextualSpacing/>
        <w:jc w:val="both"/>
        <w:rPr>
          <w:rFonts w:ascii="Cambria" w:hAnsi="Cambria" w:cs="Times New Roman"/>
          <w:b w:val="0"/>
          <w:sz w:val="22"/>
        </w:rPr>
      </w:pPr>
    </w:p>
    <w:p w14:paraId="51D69AE1" w14:textId="77777777" w:rsidR="00F71F4E" w:rsidRPr="00672B42" w:rsidRDefault="00F71F4E" w:rsidP="00461423">
      <w:pPr>
        <w:spacing w:after="0" w:line="276" w:lineRule="auto"/>
        <w:contextualSpacing/>
        <w:jc w:val="both"/>
        <w:rPr>
          <w:rFonts w:ascii="Cambria" w:hAnsi="Cambria" w:cs="Times New Roman"/>
          <w:b w:val="0"/>
          <w:sz w:val="22"/>
        </w:rPr>
      </w:pPr>
    </w:p>
    <w:p w14:paraId="7A6E85D3" w14:textId="77777777" w:rsidR="00F71F4E" w:rsidRPr="00672B42" w:rsidRDefault="00F71F4E" w:rsidP="00461423">
      <w:pPr>
        <w:spacing w:after="0" w:line="276" w:lineRule="auto"/>
        <w:contextualSpacing/>
        <w:jc w:val="both"/>
        <w:rPr>
          <w:rFonts w:ascii="Cambria" w:hAnsi="Cambria" w:cs="Times New Roman"/>
          <w:b w:val="0"/>
          <w:sz w:val="22"/>
        </w:rPr>
      </w:pPr>
    </w:p>
    <w:p w14:paraId="0C7E2584" w14:textId="77777777" w:rsidR="00F71F4E" w:rsidRPr="00672B42" w:rsidRDefault="00F71F4E" w:rsidP="00461423">
      <w:pPr>
        <w:spacing w:after="0" w:line="276" w:lineRule="auto"/>
        <w:contextualSpacing/>
        <w:jc w:val="both"/>
        <w:rPr>
          <w:rFonts w:ascii="Cambria" w:hAnsi="Cambria" w:cs="Times New Roman"/>
          <w:b w:val="0"/>
          <w:sz w:val="22"/>
        </w:rPr>
      </w:pPr>
    </w:p>
    <w:p w14:paraId="53150ECE" w14:textId="77777777" w:rsidR="00F71F4E" w:rsidRPr="00672B42" w:rsidRDefault="00F71F4E" w:rsidP="00461423">
      <w:pPr>
        <w:spacing w:after="0" w:line="276" w:lineRule="auto"/>
        <w:contextualSpacing/>
        <w:jc w:val="both"/>
        <w:rPr>
          <w:rFonts w:ascii="Cambria" w:hAnsi="Cambria" w:cs="Times New Roman"/>
          <w:b w:val="0"/>
          <w:sz w:val="22"/>
        </w:rPr>
      </w:pPr>
    </w:p>
    <w:p w14:paraId="31DA41A4" w14:textId="77777777" w:rsidR="00F71F4E" w:rsidRPr="00672B42" w:rsidRDefault="00F71F4E" w:rsidP="00461423">
      <w:pPr>
        <w:spacing w:after="0" w:line="276" w:lineRule="auto"/>
        <w:contextualSpacing/>
        <w:jc w:val="both"/>
        <w:rPr>
          <w:rFonts w:ascii="Cambria" w:hAnsi="Cambria" w:cs="Times New Roman"/>
          <w:b w:val="0"/>
          <w:sz w:val="22"/>
        </w:rPr>
      </w:pPr>
    </w:p>
    <w:p w14:paraId="473E2A95" w14:textId="77777777" w:rsidR="00F71F4E" w:rsidRPr="00672B42" w:rsidRDefault="00F71F4E" w:rsidP="00461423">
      <w:pPr>
        <w:spacing w:after="0" w:line="276" w:lineRule="auto"/>
        <w:contextualSpacing/>
        <w:jc w:val="both"/>
        <w:rPr>
          <w:rFonts w:ascii="Cambria" w:hAnsi="Cambria" w:cs="Times New Roman"/>
          <w:b w:val="0"/>
          <w:sz w:val="22"/>
        </w:rPr>
      </w:pPr>
    </w:p>
    <w:p w14:paraId="5BCB7F81" w14:textId="77777777" w:rsidR="00F71F4E" w:rsidRPr="00672B42" w:rsidRDefault="00F71F4E" w:rsidP="00461423">
      <w:pPr>
        <w:spacing w:after="0" w:line="276" w:lineRule="auto"/>
        <w:contextualSpacing/>
        <w:jc w:val="both"/>
        <w:rPr>
          <w:rFonts w:ascii="Cambria" w:hAnsi="Cambria" w:cs="Times New Roman"/>
          <w:b w:val="0"/>
          <w:sz w:val="22"/>
        </w:rPr>
      </w:pPr>
    </w:p>
    <w:p w14:paraId="4F02235F" w14:textId="77777777" w:rsidR="00F71F4E" w:rsidRPr="00672B42" w:rsidRDefault="00F71F4E" w:rsidP="00461423">
      <w:pPr>
        <w:spacing w:after="0" w:line="276" w:lineRule="auto"/>
        <w:contextualSpacing/>
        <w:jc w:val="both"/>
        <w:rPr>
          <w:rFonts w:ascii="Cambria" w:hAnsi="Cambria" w:cs="Times New Roman"/>
          <w:b w:val="0"/>
          <w:sz w:val="22"/>
        </w:rPr>
      </w:pPr>
    </w:p>
    <w:p w14:paraId="3194948F" w14:textId="77777777" w:rsidR="00F71F4E" w:rsidRPr="00672B42" w:rsidRDefault="00F71F4E" w:rsidP="00461423">
      <w:pPr>
        <w:spacing w:after="0" w:line="276" w:lineRule="auto"/>
        <w:contextualSpacing/>
        <w:jc w:val="both"/>
        <w:rPr>
          <w:rFonts w:ascii="Cambria" w:hAnsi="Cambria" w:cs="Times New Roman"/>
          <w:b w:val="0"/>
          <w:sz w:val="22"/>
        </w:rPr>
      </w:pPr>
    </w:p>
    <w:p w14:paraId="17C499AE" w14:textId="77777777" w:rsidR="00F71F4E" w:rsidRPr="00672B42" w:rsidRDefault="00F71F4E" w:rsidP="00461423">
      <w:pPr>
        <w:spacing w:after="0" w:line="276" w:lineRule="auto"/>
        <w:contextualSpacing/>
        <w:jc w:val="both"/>
        <w:rPr>
          <w:rFonts w:ascii="Cambria" w:hAnsi="Cambria" w:cs="Times New Roman"/>
          <w:b w:val="0"/>
          <w:sz w:val="22"/>
        </w:rPr>
      </w:pPr>
    </w:p>
    <w:p w14:paraId="2EEC80DF" w14:textId="77777777" w:rsidR="00F71F4E" w:rsidRPr="00672B42" w:rsidRDefault="00F71F4E" w:rsidP="00461423">
      <w:pPr>
        <w:spacing w:after="0" w:line="276" w:lineRule="auto"/>
        <w:contextualSpacing/>
        <w:jc w:val="both"/>
        <w:rPr>
          <w:rFonts w:ascii="Cambria" w:hAnsi="Cambria" w:cs="Times New Roman"/>
          <w:b w:val="0"/>
          <w:sz w:val="22"/>
        </w:rPr>
      </w:pPr>
    </w:p>
    <w:p w14:paraId="46AFE5A2" w14:textId="77777777" w:rsidR="00F71F4E" w:rsidRPr="00672B42" w:rsidRDefault="00F71F4E" w:rsidP="00461423">
      <w:pPr>
        <w:spacing w:after="0" w:line="276" w:lineRule="auto"/>
        <w:contextualSpacing/>
        <w:jc w:val="both"/>
        <w:rPr>
          <w:rFonts w:ascii="Cambria" w:hAnsi="Cambria" w:cs="Times New Roman"/>
          <w:b w:val="0"/>
          <w:sz w:val="22"/>
        </w:rPr>
      </w:pPr>
    </w:p>
    <w:p w14:paraId="30819121" w14:textId="77777777" w:rsidR="00F71F4E" w:rsidRPr="00672B42" w:rsidRDefault="00F71F4E" w:rsidP="00461423">
      <w:pPr>
        <w:spacing w:after="0" w:line="276" w:lineRule="auto"/>
        <w:contextualSpacing/>
        <w:jc w:val="both"/>
        <w:rPr>
          <w:rFonts w:ascii="Cambria" w:hAnsi="Cambria" w:cs="Times New Roman"/>
          <w:b w:val="0"/>
          <w:sz w:val="22"/>
        </w:rPr>
      </w:pPr>
    </w:p>
    <w:p w14:paraId="020BA900" w14:textId="77777777" w:rsidR="00F71F4E" w:rsidRPr="00672B42" w:rsidRDefault="00F71F4E" w:rsidP="00461423">
      <w:pPr>
        <w:spacing w:after="0" w:line="276" w:lineRule="auto"/>
        <w:contextualSpacing/>
        <w:jc w:val="both"/>
        <w:rPr>
          <w:rFonts w:ascii="Cambria" w:hAnsi="Cambria" w:cs="Times New Roman"/>
          <w:b w:val="0"/>
          <w:sz w:val="22"/>
        </w:rPr>
      </w:pPr>
    </w:p>
    <w:p w14:paraId="20C1C069" w14:textId="77777777" w:rsidR="00F71F4E" w:rsidRPr="00672B42" w:rsidRDefault="00F71F4E" w:rsidP="00461423">
      <w:pPr>
        <w:spacing w:after="0" w:line="276" w:lineRule="auto"/>
        <w:contextualSpacing/>
        <w:jc w:val="both"/>
        <w:rPr>
          <w:rFonts w:ascii="Cambria" w:hAnsi="Cambria" w:cs="Times New Roman"/>
          <w:b w:val="0"/>
          <w:sz w:val="22"/>
        </w:rPr>
      </w:pPr>
    </w:p>
    <w:p w14:paraId="2FB319DC" w14:textId="77777777" w:rsidR="00F71F4E" w:rsidRPr="00672B42" w:rsidRDefault="00F71F4E" w:rsidP="00461423">
      <w:pPr>
        <w:spacing w:after="0" w:line="276" w:lineRule="auto"/>
        <w:contextualSpacing/>
        <w:jc w:val="both"/>
        <w:rPr>
          <w:rFonts w:ascii="Cambria" w:hAnsi="Cambria" w:cs="Times New Roman"/>
          <w:b w:val="0"/>
          <w:sz w:val="22"/>
        </w:rPr>
      </w:pPr>
    </w:p>
    <w:p w14:paraId="1722EF7A" w14:textId="77777777" w:rsidR="00F71F4E" w:rsidRPr="00672B42" w:rsidRDefault="00F71F4E" w:rsidP="00461423">
      <w:pPr>
        <w:spacing w:after="0" w:line="276" w:lineRule="auto"/>
        <w:contextualSpacing/>
        <w:jc w:val="both"/>
        <w:rPr>
          <w:rFonts w:ascii="Cambria" w:hAnsi="Cambria" w:cs="Times New Roman"/>
          <w:b w:val="0"/>
          <w:sz w:val="22"/>
        </w:rPr>
      </w:pPr>
    </w:p>
    <w:p w14:paraId="5840EF3B" w14:textId="77777777" w:rsidR="00F71F4E" w:rsidRPr="00672B42" w:rsidRDefault="00F71F4E" w:rsidP="00461423">
      <w:pPr>
        <w:spacing w:after="0" w:line="276" w:lineRule="auto"/>
        <w:contextualSpacing/>
        <w:jc w:val="both"/>
        <w:rPr>
          <w:rFonts w:ascii="Cambria" w:hAnsi="Cambria" w:cs="Times New Roman"/>
          <w:b w:val="0"/>
          <w:sz w:val="22"/>
        </w:rPr>
      </w:pPr>
    </w:p>
    <w:p w14:paraId="3A64B84C" w14:textId="77777777" w:rsidR="00F71F4E" w:rsidRPr="00672B42" w:rsidRDefault="00F71F4E" w:rsidP="00461423">
      <w:pPr>
        <w:spacing w:after="0" w:line="276" w:lineRule="auto"/>
        <w:contextualSpacing/>
        <w:jc w:val="both"/>
        <w:rPr>
          <w:rFonts w:ascii="Cambria" w:hAnsi="Cambria" w:cs="Times New Roman"/>
          <w:b w:val="0"/>
          <w:sz w:val="22"/>
        </w:rPr>
      </w:pPr>
    </w:p>
    <w:p w14:paraId="05A23416" w14:textId="77777777" w:rsidR="00F71F4E" w:rsidRPr="00672B42" w:rsidRDefault="00F71F4E" w:rsidP="00461423">
      <w:pPr>
        <w:spacing w:after="0" w:line="276" w:lineRule="auto"/>
        <w:contextualSpacing/>
        <w:jc w:val="both"/>
        <w:rPr>
          <w:rFonts w:ascii="Cambria" w:hAnsi="Cambria" w:cs="Times New Roman"/>
          <w:b w:val="0"/>
          <w:sz w:val="22"/>
        </w:rPr>
      </w:pPr>
    </w:p>
    <w:p w14:paraId="49F453D7" w14:textId="77777777" w:rsidR="00F71F4E" w:rsidRPr="00672B42" w:rsidRDefault="00F71F4E" w:rsidP="00461423">
      <w:pPr>
        <w:spacing w:after="0" w:line="276" w:lineRule="auto"/>
        <w:contextualSpacing/>
        <w:jc w:val="both"/>
        <w:rPr>
          <w:rFonts w:ascii="Cambria" w:hAnsi="Cambria" w:cs="Times New Roman"/>
          <w:b w:val="0"/>
          <w:sz w:val="22"/>
        </w:rPr>
      </w:pPr>
    </w:p>
    <w:p w14:paraId="0C2F36B3" w14:textId="77777777" w:rsidR="00F71F4E" w:rsidRPr="00672B42" w:rsidRDefault="00F71F4E" w:rsidP="00461423">
      <w:pPr>
        <w:spacing w:after="0" w:line="276" w:lineRule="auto"/>
        <w:contextualSpacing/>
        <w:jc w:val="both"/>
        <w:rPr>
          <w:rFonts w:ascii="Cambria" w:hAnsi="Cambria" w:cs="Times New Roman"/>
          <w:b w:val="0"/>
          <w:sz w:val="22"/>
        </w:rPr>
      </w:pPr>
    </w:p>
    <w:p w14:paraId="0C29DC38" w14:textId="77777777" w:rsidR="00F71F4E" w:rsidRPr="00672B42" w:rsidRDefault="00F71F4E" w:rsidP="00461423">
      <w:pPr>
        <w:spacing w:after="0" w:line="276" w:lineRule="auto"/>
        <w:contextualSpacing/>
        <w:jc w:val="both"/>
        <w:rPr>
          <w:rFonts w:ascii="Cambria" w:hAnsi="Cambria" w:cs="Times New Roman"/>
          <w:b w:val="0"/>
          <w:sz w:val="22"/>
        </w:rPr>
      </w:pPr>
    </w:p>
    <w:p w14:paraId="2DBFA77C" w14:textId="77777777" w:rsidR="00F71F4E" w:rsidRPr="00672B42" w:rsidRDefault="00F71F4E" w:rsidP="00461423">
      <w:pPr>
        <w:spacing w:after="0" w:line="276" w:lineRule="auto"/>
        <w:contextualSpacing/>
        <w:jc w:val="both"/>
        <w:rPr>
          <w:rFonts w:ascii="Cambria" w:hAnsi="Cambria" w:cs="Times New Roman"/>
          <w:b w:val="0"/>
          <w:sz w:val="22"/>
        </w:rPr>
      </w:pPr>
    </w:p>
    <w:p w14:paraId="21B316A6" w14:textId="77777777" w:rsidR="00F71F4E" w:rsidRPr="00672B42" w:rsidRDefault="00F71F4E" w:rsidP="00461423">
      <w:pPr>
        <w:spacing w:after="0" w:line="276" w:lineRule="auto"/>
        <w:contextualSpacing/>
        <w:jc w:val="both"/>
        <w:rPr>
          <w:rFonts w:ascii="Cambria" w:hAnsi="Cambria" w:cs="Times New Roman"/>
          <w:b w:val="0"/>
          <w:sz w:val="22"/>
        </w:rPr>
      </w:pPr>
    </w:p>
    <w:p w14:paraId="25A532FD" w14:textId="77777777" w:rsidR="00F71F4E" w:rsidRPr="00672B42" w:rsidRDefault="00F71F4E" w:rsidP="00461423">
      <w:pPr>
        <w:spacing w:after="0" w:line="276" w:lineRule="auto"/>
        <w:contextualSpacing/>
        <w:jc w:val="both"/>
        <w:rPr>
          <w:rFonts w:ascii="Cambria" w:hAnsi="Cambria" w:cs="Times New Roman"/>
          <w:b w:val="0"/>
          <w:sz w:val="22"/>
        </w:rPr>
      </w:pPr>
    </w:p>
    <w:p w14:paraId="570B3D5A" w14:textId="77777777" w:rsidR="00F71F4E" w:rsidRPr="00672B42" w:rsidRDefault="00F71F4E" w:rsidP="00461423">
      <w:pPr>
        <w:spacing w:after="0" w:line="276" w:lineRule="auto"/>
        <w:contextualSpacing/>
        <w:jc w:val="both"/>
        <w:rPr>
          <w:rFonts w:ascii="Cambria" w:hAnsi="Cambria" w:cs="Times New Roman"/>
          <w:b w:val="0"/>
          <w:sz w:val="22"/>
        </w:rPr>
      </w:pPr>
    </w:p>
    <w:p w14:paraId="07858C14" w14:textId="77777777" w:rsidR="00F71F4E" w:rsidRPr="00672B42" w:rsidRDefault="00F71F4E" w:rsidP="00461423">
      <w:pPr>
        <w:spacing w:after="0" w:line="276" w:lineRule="auto"/>
        <w:contextualSpacing/>
        <w:jc w:val="both"/>
        <w:rPr>
          <w:rFonts w:ascii="Cambria" w:hAnsi="Cambria" w:cs="Times New Roman"/>
          <w:b w:val="0"/>
          <w:sz w:val="22"/>
        </w:rPr>
      </w:pPr>
    </w:p>
    <w:p w14:paraId="376BED1D" w14:textId="77777777" w:rsidR="00F71F4E" w:rsidRPr="00672B42" w:rsidRDefault="00F71F4E" w:rsidP="00461423">
      <w:pPr>
        <w:spacing w:after="0" w:line="276" w:lineRule="auto"/>
        <w:contextualSpacing/>
        <w:jc w:val="both"/>
        <w:rPr>
          <w:rFonts w:ascii="Cambria" w:hAnsi="Cambria" w:cs="Times New Roman"/>
          <w:b w:val="0"/>
          <w:sz w:val="22"/>
        </w:rPr>
      </w:pPr>
    </w:p>
    <w:p w14:paraId="7E7761D8" w14:textId="77777777" w:rsidR="00F71F4E" w:rsidRPr="00672B42" w:rsidRDefault="00F71F4E" w:rsidP="00461423">
      <w:pPr>
        <w:spacing w:after="0" w:line="276" w:lineRule="auto"/>
        <w:contextualSpacing/>
        <w:jc w:val="both"/>
        <w:rPr>
          <w:rFonts w:ascii="Cambria" w:hAnsi="Cambria" w:cs="Times New Roman"/>
          <w:b w:val="0"/>
          <w:sz w:val="22"/>
        </w:rPr>
      </w:pPr>
    </w:p>
    <w:p w14:paraId="00BD8BF7" w14:textId="77777777" w:rsidR="00F71F4E" w:rsidRPr="00672B42" w:rsidRDefault="00F71F4E" w:rsidP="00461423">
      <w:pPr>
        <w:spacing w:after="0" w:line="276" w:lineRule="auto"/>
        <w:contextualSpacing/>
        <w:jc w:val="both"/>
        <w:rPr>
          <w:rFonts w:ascii="Cambria" w:hAnsi="Cambria" w:cs="Times New Roman"/>
          <w:b w:val="0"/>
          <w:sz w:val="22"/>
        </w:rPr>
      </w:pPr>
    </w:p>
    <w:p w14:paraId="14E51645" w14:textId="77777777" w:rsidR="00F71F4E" w:rsidRPr="00672B42" w:rsidRDefault="00F71F4E" w:rsidP="00461423">
      <w:pPr>
        <w:spacing w:after="0" w:line="276" w:lineRule="auto"/>
        <w:contextualSpacing/>
        <w:jc w:val="both"/>
        <w:rPr>
          <w:rFonts w:ascii="Cambria" w:hAnsi="Cambria" w:cs="Times New Roman"/>
          <w:b w:val="0"/>
          <w:sz w:val="22"/>
        </w:rPr>
      </w:pPr>
    </w:p>
    <w:p w14:paraId="512B2653" w14:textId="77777777" w:rsidR="00F71F4E" w:rsidRPr="00672B42" w:rsidRDefault="00F71F4E" w:rsidP="00461423">
      <w:pPr>
        <w:spacing w:after="0" w:line="276" w:lineRule="auto"/>
        <w:contextualSpacing/>
        <w:jc w:val="both"/>
        <w:rPr>
          <w:rFonts w:ascii="Cambria" w:hAnsi="Cambria" w:cs="Times New Roman"/>
          <w:b w:val="0"/>
          <w:sz w:val="22"/>
        </w:rPr>
      </w:pPr>
    </w:p>
    <w:p w14:paraId="244E0B3D" w14:textId="77777777" w:rsidR="00F71F4E" w:rsidRPr="00672B42" w:rsidRDefault="00F71F4E" w:rsidP="00461423">
      <w:pPr>
        <w:spacing w:after="0" w:line="276" w:lineRule="auto"/>
        <w:contextualSpacing/>
        <w:jc w:val="both"/>
        <w:rPr>
          <w:rFonts w:ascii="Cambria" w:hAnsi="Cambria" w:cs="Times New Roman"/>
          <w:b w:val="0"/>
          <w:sz w:val="22"/>
        </w:rPr>
      </w:pPr>
    </w:p>
    <w:p w14:paraId="080752FD" w14:textId="77777777" w:rsidR="00F71F4E" w:rsidRPr="00672B42" w:rsidRDefault="00F71F4E" w:rsidP="00461423">
      <w:pPr>
        <w:spacing w:after="0" w:line="276" w:lineRule="auto"/>
        <w:contextualSpacing/>
        <w:jc w:val="both"/>
        <w:rPr>
          <w:rFonts w:ascii="Cambria" w:hAnsi="Cambria" w:cs="Times New Roman"/>
          <w:b w:val="0"/>
          <w:sz w:val="22"/>
        </w:rPr>
      </w:pPr>
    </w:p>
    <w:p w14:paraId="6424467A" w14:textId="77777777" w:rsidR="00F71F4E" w:rsidRPr="00672B42" w:rsidRDefault="00F71F4E" w:rsidP="00461423">
      <w:pPr>
        <w:spacing w:after="0" w:line="276" w:lineRule="auto"/>
        <w:contextualSpacing/>
        <w:jc w:val="both"/>
        <w:rPr>
          <w:rFonts w:ascii="Cambria" w:hAnsi="Cambria" w:cs="Times New Roman"/>
          <w:b w:val="0"/>
          <w:sz w:val="22"/>
        </w:rPr>
      </w:pPr>
    </w:p>
    <w:p w14:paraId="3BB60B98" w14:textId="77777777" w:rsidR="00F71F4E" w:rsidRPr="00672B42" w:rsidRDefault="00F71F4E" w:rsidP="00461423">
      <w:pPr>
        <w:spacing w:after="0" w:line="276" w:lineRule="auto"/>
        <w:contextualSpacing/>
        <w:jc w:val="both"/>
        <w:rPr>
          <w:rFonts w:ascii="Cambria" w:hAnsi="Cambria" w:cs="Times New Roman"/>
          <w:b w:val="0"/>
          <w:sz w:val="22"/>
        </w:rPr>
      </w:pPr>
    </w:p>
    <w:p w14:paraId="3DF9F0DD" w14:textId="77777777" w:rsidR="00F71F4E" w:rsidRPr="00672B42" w:rsidRDefault="00F71F4E" w:rsidP="00461423">
      <w:pPr>
        <w:spacing w:after="0" w:line="276" w:lineRule="auto"/>
        <w:contextualSpacing/>
        <w:jc w:val="both"/>
        <w:rPr>
          <w:rFonts w:ascii="Cambria" w:hAnsi="Cambria" w:cs="Times New Roman"/>
          <w:b w:val="0"/>
          <w:sz w:val="22"/>
        </w:rPr>
      </w:pPr>
    </w:p>
    <w:p w14:paraId="0BB4B44D" w14:textId="77777777" w:rsidR="00F71F4E" w:rsidRPr="00672B42" w:rsidRDefault="00F71F4E" w:rsidP="00461423">
      <w:pPr>
        <w:spacing w:after="0" w:line="276" w:lineRule="auto"/>
        <w:contextualSpacing/>
        <w:jc w:val="both"/>
        <w:rPr>
          <w:rFonts w:ascii="Cambria" w:hAnsi="Cambria" w:cs="Times New Roman"/>
          <w:b w:val="0"/>
          <w:sz w:val="22"/>
        </w:rPr>
      </w:pPr>
    </w:p>
    <w:p w14:paraId="7454ACB4" w14:textId="77777777" w:rsidR="00F71F4E" w:rsidRPr="00672B42" w:rsidRDefault="00F71F4E" w:rsidP="00461423">
      <w:pPr>
        <w:spacing w:after="0" w:line="276" w:lineRule="auto"/>
        <w:contextualSpacing/>
        <w:jc w:val="both"/>
        <w:rPr>
          <w:rFonts w:ascii="Cambria" w:hAnsi="Cambria" w:cs="Times New Roman"/>
          <w:b w:val="0"/>
          <w:sz w:val="22"/>
        </w:rPr>
      </w:pPr>
    </w:p>
    <w:p w14:paraId="10F44990" w14:textId="77777777" w:rsidR="00F71F4E" w:rsidRPr="00672B42" w:rsidRDefault="00F71F4E" w:rsidP="00461423">
      <w:pPr>
        <w:spacing w:after="0" w:line="276" w:lineRule="auto"/>
        <w:contextualSpacing/>
        <w:jc w:val="both"/>
        <w:rPr>
          <w:rFonts w:ascii="Cambria" w:hAnsi="Cambria" w:cs="Times New Roman"/>
          <w:b w:val="0"/>
          <w:sz w:val="22"/>
        </w:rPr>
      </w:pPr>
    </w:p>
    <w:p w14:paraId="2C2646B7" w14:textId="77777777" w:rsidR="00F71F4E" w:rsidRPr="00672B42" w:rsidRDefault="00F71F4E" w:rsidP="00461423">
      <w:pPr>
        <w:spacing w:after="0" w:line="276" w:lineRule="auto"/>
        <w:contextualSpacing/>
        <w:jc w:val="both"/>
        <w:rPr>
          <w:rFonts w:ascii="Cambria" w:hAnsi="Cambria" w:cs="Times New Roman"/>
          <w:b w:val="0"/>
          <w:sz w:val="22"/>
        </w:rPr>
      </w:pPr>
    </w:p>
    <w:p w14:paraId="14EB6CBA" w14:textId="77777777" w:rsidR="00F71F4E" w:rsidRPr="00672B42" w:rsidRDefault="00F71F4E" w:rsidP="00461423">
      <w:pPr>
        <w:spacing w:after="0" w:line="276" w:lineRule="auto"/>
        <w:contextualSpacing/>
        <w:jc w:val="both"/>
        <w:rPr>
          <w:rFonts w:ascii="Cambria" w:hAnsi="Cambria" w:cs="Times New Roman"/>
          <w:b w:val="0"/>
          <w:sz w:val="22"/>
        </w:rPr>
      </w:pPr>
    </w:p>
    <w:p w14:paraId="25FF849D" w14:textId="77777777" w:rsidR="003D1A00" w:rsidRPr="00672B42" w:rsidRDefault="003D1A00" w:rsidP="00461423">
      <w:pPr>
        <w:spacing w:after="0" w:line="276" w:lineRule="auto"/>
        <w:contextualSpacing/>
        <w:jc w:val="both"/>
        <w:rPr>
          <w:rFonts w:ascii="Cambria" w:hAnsi="Cambria" w:cs="Times New Roman"/>
          <w:b w:val="0"/>
          <w:sz w:val="22"/>
        </w:rPr>
      </w:pPr>
    </w:p>
    <w:p w14:paraId="76265133" w14:textId="765D7996" w:rsidR="003D1A00" w:rsidRPr="00672B42" w:rsidRDefault="00F715A3" w:rsidP="00235C7C">
      <w:pPr>
        <w:spacing w:after="0" w:line="276" w:lineRule="auto"/>
        <w:contextualSpacing/>
        <w:jc w:val="center"/>
        <w:rPr>
          <w:rFonts w:ascii="Cambria" w:hAnsi="Cambria" w:cs="Times New Roman"/>
          <w:b w:val="0"/>
          <w:sz w:val="28"/>
          <w:szCs w:val="28"/>
        </w:rPr>
      </w:pPr>
      <w:r w:rsidRPr="00672B42">
        <w:rPr>
          <w:rFonts w:ascii="Cambria" w:eastAsia="Times New Roman" w:hAnsi="Cambria" w:cs="Times New Roman"/>
          <w:bCs/>
          <w:i/>
          <w:color w:val="C00000"/>
          <w:kern w:val="0"/>
          <w:sz w:val="28"/>
          <w:szCs w:val="28"/>
          <w:lang w:eastAsia="fr-FR"/>
        </w:rPr>
        <w:t>J3031519/J3031619</w:t>
      </w:r>
      <w:r w:rsidR="003D1A00" w:rsidRPr="00672B42">
        <w:rPr>
          <w:rFonts w:ascii="Cambria" w:eastAsia="Times New Roman" w:hAnsi="Cambria" w:cs="Times New Roman"/>
          <w:bCs/>
          <w:i/>
          <w:color w:val="C00000"/>
          <w:kern w:val="0"/>
          <w:sz w:val="28"/>
          <w:szCs w:val="28"/>
          <w:lang w:eastAsia="fr-FR"/>
        </w:rPr>
        <w:t xml:space="preserve"> : Les mondes méditerranéen et atlantique à l’époque moderne</w:t>
      </w:r>
    </w:p>
    <w:p w14:paraId="114C6B45" w14:textId="77777777" w:rsidR="00A0175F" w:rsidRPr="00672B42" w:rsidRDefault="00A0175F" w:rsidP="00A0175F">
      <w:pPr>
        <w:spacing w:after="0" w:line="240" w:lineRule="auto"/>
        <w:rPr>
          <w:rFonts w:ascii="Cambria" w:eastAsia="Calibri" w:hAnsi="Cambria" w:cs="Times New Roman"/>
          <w:b w:val="0"/>
          <w:kern w:val="0"/>
          <w:sz w:val="22"/>
          <w:lang w:eastAsia="en-US"/>
        </w:rPr>
      </w:pPr>
    </w:p>
    <w:p w14:paraId="432B515B" w14:textId="14386B45" w:rsidR="00235C7C" w:rsidRPr="004C20B2" w:rsidRDefault="00A0175F" w:rsidP="00235C7C">
      <w:pPr>
        <w:spacing w:after="0" w:line="240" w:lineRule="auto"/>
        <w:jc w:val="center"/>
        <w:rPr>
          <w:rFonts w:ascii="Cambria" w:eastAsia="Calibri" w:hAnsi="Cambria" w:cs="Times New Roman"/>
          <w:bCs/>
          <w:kern w:val="0"/>
          <w:sz w:val="22"/>
          <w:lang w:eastAsia="en-US"/>
        </w:rPr>
      </w:pPr>
      <w:r w:rsidRPr="004C20B2">
        <w:rPr>
          <w:rFonts w:ascii="Cambria" w:eastAsia="Calibri" w:hAnsi="Cambria" w:cs="Times New Roman"/>
          <w:bCs/>
          <w:kern w:val="0"/>
          <w:sz w:val="22"/>
          <w:lang w:eastAsia="en-US"/>
        </w:rPr>
        <w:t>Jean-François Chauvard (CM)</w:t>
      </w:r>
      <w:r w:rsidR="00235C7C" w:rsidRPr="004C20B2">
        <w:rPr>
          <w:rFonts w:ascii="Cambria" w:eastAsia="Calibri" w:hAnsi="Cambria" w:cs="Times New Roman"/>
          <w:bCs/>
          <w:kern w:val="0"/>
          <w:sz w:val="22"/>
          <w:lang w:eastAsia="en-US"/>
        </w:rPr>
        <w:t>/ Gilles Narcy (TD S1)</w:t>
      </w:r>
    </w:p>
    <w:p w14:paraId="1D78BCD6" w14:textId="6FDCDCDC" w:rsidR="00A0175F" w:rsidRPr="004C20B2" w:rsidRDefault="00A0175F" w:rsidP="00A0175F">
      <w:pPr>
        <w:spacing w:after="0" w:line="240" w:lineRule="auto"/>
        <w:jc w:val="center"/>
        <w:rPr>
          <w:rFonts w:ascii="Cambria" w:eastAsia="Calibri" w:hAnsi="Cambria" w:cs="Times New Roman"/>
          <w:bCs/>
          <w:kern w:val="0"/>
          <w:sz w:val="22"/>
          <w:lang w:eastAsia="en-US"/>
        </w:rPr>
      </w:pPr>
    </w:p>
    <w:p w14:paraId="3BBBFA67" w14:textId="1BB328A7" w:rsidR="00A0175F" w:rsidRPr="004C20B2" w:rsidRDefault="00A0175F" w:rsidP="00A0175F">
      <w:pPr>
        <w:spacing w:after="0" w:line="240" w:lineRule="auto"/>
        <w:jc w:val="center"/>
        <w:rPr>
          <w:rFonts w:ascii="Cambria" w:eastAsia="Calibri" w:hAnsi="Cambria" w:cs="Times New Roman"/>
          <w:bCs/>
          <w:kern w:val="0"/>
          <w:sz w:val="22"/>
          <w:lang w:eastAsia="en-US"/>
        </w:rPr>
      </w:pPr>
      <w:r w:rsidRPr="004C20B2">
        <w:rPr>
          <w:rFonts w:ascii="Cambria" w:eastAsia="Calibri" w:hAnsi="Cambria" w:cs="Times New Roman"/>
          <w:bCs/>
          <w:kern w:val="0"/>
          <w:sz w:val="22"/>
          <w:lang w:eastAsia="en-US"/>
        </w:rPr>
        <w:t xml:space="preserve"> Guillaume Calafat (TD S</w:t>
      </w:r>
      <w:r w:rsidR="00235C7C" w:rsidRPr="004C20B2">
        <w:rPr>
          <w:rFonts w:ascii="Cambria" w:eastAsia="Calibri" w:hAnsi="Cambria" w:cs="Times New Roman"/>
          <w:bCs/>
          <w:kern w:val="0"/>
          <w:sz w:val="22"/>
          <w:lang w:eastAsia="en-US"/>
        </w:rPr>
        <w:t>2</w:t>
      </w:r>
      <w:r w:rsidRPr="004C20B2">
        <w:rPr>
          <w:rFonts w:ascii="Cambria" w:eastAsia="Calibri" w:hAnsi="Cambria" w:cs="Times New Roman"/>
          <w:bCs/>
          <w:kern w:val="0"/>
          <w:sz w:val="22"/>
          <w:lang w:eastAsia="en-US"/>
        </w:rPr>
        <w:t xml:space="preserve">) </w:t>
      </w:r>
    </w:p>
    <w:p w14:paraId="59629B69" w14:textId="77777777" w:rsidR="00A0175F" w:rsidRPr="004C20B2" w:rsidRDefault="00A0175F" w:rsidP="00A0175F">
      <w:pPr>
        <w:spacing w:after="0" w:line="240" w:lineRule="auto"/>
        <w:jc w:val="both"/>
        <w:rPr>
          <w:rFonts w:ascii="Cambria" w:eastAsia="Calibri" w:hAnsi="Cambria" w:cs="Times New Roman"/>
          <w:b w:val="0"/>
          <w:kern w:val="0"/>
          <w:sz w:val="22"/>
          <w:lang w:eastAsia="en-US"/>
        </w:rPr>
      </w:pPr>
    </w:p>
    <w:p w14:paraId="00602357" w14:textId="7B0E70D1" w:rsidR="00235C7C" w:rsidRPr="004C20B2" w:rsidRDefault="00235C7C" w:rsidP="00235C7C">
      <w:pPr>
        <w:jc w:val="both"/>
        <w:rPr>
          <w:rFonts w:ascii="Cambria" w:hAnsi="Cambria"/>
          <w:b w:val="0"/>
          <w:i/>
          <w:sz w:val="22"/>
        </w:rPr>
      </w:pPr>
      <w:r w:rsidRPr="004C20B2">
        <w:rPr>
          <w:rFonts w:ascii="Cambria" w:hAnsi="Cambria"/>
          <w:i/>
          <w:sz w:val="22"/>
        </w:rPr>
        <w:t>Voyager et observer. Pérégrinations en Italie et en Méditerranée</w:t>
      </w:r>
    </w:p>
    <w:p w14:paraId="3FAA6F85" w14:textId="0BB1B8E3" w:rsidR="00235C7C" w:rsidRPr="009F5C0D" w:rsidRDefault="006353C8" w:rsidP="00235C7C">
      <w:pPr>
        <w:jc w:val="both"/>
        <w:rPr>
          <w:rFonts w:ascii="Cambria" w:hAnsi="Cambria"/>
          <w:b w:val="0"/>
          <w:color w:val="C00000"/>
          <w:sz w:val="22"/>
        </w:rPr>
      </w:pPr>
      <w:r w:rsidRPr="00EF4448">
        <w:rPr>
          <w:rFonts w:ascii="Cambria" w:hAnsi="Cambria"/>
          <w:color w:val="C00000"/>
          <w:sz w:val="22"/>
          <w:u w:val="single"/>
        </w:rPr>
        <w:t xml:space="preserve">Sujet du cours </w:t>
      </w:r>
      <w:r w:rsidR="00235C7C" w:rsidRPr="00EF4448">
        <w:rPr>
          <w:rFonts w:ascii="Cambria" w:hAnsi="Cambria"/>
          <w:color w:val="C00000"/>
          <w:sz w:val="22"/>
          <w:u w:val="single"/>
        </w:rPr>
        <w:t>semestre</w:t>
      </w:r>
      <w:r w:rsidRPr="00EF4448">
        <w:rPr>
          <w:rFonts w:ascii="Cambria" w:hAnsi="Cambria"/>
          <w:color w:val="C00000"/>
          <w:sz w:val="22"/>
          <w:u w:val="single"/>
        </w:rPr>
        <w:t xml:space="preserve"> 1</w:t>
      </w:r>
      <w:r w:rsidR="00235C7C" w:rsidRPr="009F5C0D">
        <w:rPr>
          <w:rFonts w:ascii="Cambria" w:hAnsi="Cambria"/>
          <w:color w:val="C00000"/>
          <w:sz w:val="22"/>
        </w:rPr>
        <w:t xml:space="preserve"> : Sur les traces de Montaigne en Italie </w:t>
      </w:r>
    </w:p>
    <w:p w14:paraId="22D66BE9" w14:textId="2E225682" w:rsidR="00235C7C" w:rsidRPr="004C20B2" w:rsidRDefault="00235C7C" w:rsidP="00235C7C">
      <w:pPr>
        <w:jc w:val="both"/>
        <w:rPr>
          <w:rFonts w:ascii="Cambria" w:hAnsi="Cambria"/>
          <w:b w:val="0"/>
          <w:bCs/>
          <w:sz w:val="22"/>
        </w:rPr>
      </w:pPr>
      <w:r w:rsidRPr="004C20B2">
        <w:rPr>
          <w:rFonts w:ascii="Cambria" w:hAnsi="Cambria"/>
          <w:b w:val="0"/>
          <w:bCs/>
          <w:sz w:val="22"/>
        </w:rPr>
        <w:t>De septembre 1580 à novembre 1581, Montaigne voyage en Allemagne, en Suisse et en Italie. Ses pérégrinations nous sont connues par un journal, d’abord rédigé par un secrétaire anonyme, puis par Montaigne lui-même en italien. Ce témoignage exceptionnel fera l’objet d’une double lecture : outre les motivations qui ont poussé Montaigne sur les routes d’Europe, on s’attachera à l’étude des conditions matérielles du voyage, de l’état des chemins à l’inconfort des auberges. Il nous mènera à Venise, Bologne, Florence, Rome, Lucques et Milan, laissant de côté Naples et Gênes. On tirera, ensuite, prétexte du regard de Montaigne sur les lieux, les personnes et les us et coutumes pour dresser le tableau de l’Italie de la fin du XVI</w:t>
      </w:r>
      <w:r w:rsidRPr="004C20B2">
        <w:rPr>
          <w:rFonts w:ascii="Cambria" w:hAnsi="Cambria"/>
          <w:b w:val="0"/>
          <w:bCs/>
          <w:sz w:val="22"/>
          <w:vertAlign w:val="superscript"/>
        </w:rPr>
        <w:t>e</w:t>
      </w:r>
      <w:r w:rsidRPr="004C20B2">
        <w:rPr>
          <w:rFonts w:ascii="Cambria" w:hAnsi="Cambria"/>
          <w:b w:val="0"/>
          <w:bCs/>
          <w:sz w:val="22"/>
        </w:rPr>
        <w:t xml:space="preserve"> siècle, délivrée des guerres, portée par son dynamisme économique et engagée dans la Réforme catholique. Comme Montaigne lui-même, on se posera à Rome pour faire le portrait d’une ville cosmopolite, capitale du catholicisme triomphant. Sa curiosité pour autrui invite à traiter de questions qui n’ont rien d’anecdotique : le goût de l’antique, l’aspect des villes et les jardins, les fêtes populaires et la vie de cour, l’Index et le contrôle ecclésiastique, les différents systèmes politiques.</w:t>
      </w:r>
    </w:p>
    <w:p w14:paraId="16F6988C" w14:textId="54910E2E" w:rsidR="00235C7C" w:rsidRPr="009F5C0D" w:rsidRDefault="006B3460" w:rsidP="00235C7C">
      <w:pPr>
        <w:jc w:val="both"/>
        <w:rPr>
          <w:rFonts w:ascii="Cambria" w:hAnsi="Cambria"/>
          <w:color w:val="C00000"/>
          <w:sz w:val="22"/>
        </w:rPr>
      </w:pPr>
      <w:r w:rsidRPr="00EF4448">
        <w:rPr>
          <w:rFonts w:ascii="Cambria" w:hAnsi="Cambria"/>
          <w:color w:val="C00000"/>
          <w:sz w:val="22"/>
          <w:u w:val="single"/>
        </w:rPr>
        <w:t>Sujet du cours semestre 2</w:t>
      </w:r>
      <w:r w:rsidRPr="009F5C0D">
        <w:rPr>
          <w:rFonts w:ascii="Cambria" w:hAnsi="Cambria"/>
          <w:color w:val="C00000"/>
          <w:sz w:val="22"/>
        </w:rPr>
        <w:t> </w:t>
      </w:r>
      <w:r w:rsidR="00235C7C" w:rsidRPr="009F5C0D">
        <w:rPr>
          <w:rFonts w:ascii="Cambria" w:hAnsi="Cambria"/>
          <w:color w:val="C00000"/>
          <w:sz w:val="22"/>
        </w:rPr>
        <w:t>: À la suite d’Hanna Dyâb d’Alep à Paris</w:t>
      </w:r>
    </w:p>
    <w:p w14:paraId="294EA8B1"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Chrétien maronite d’Alep, Hanna Dyâb effectue en compagnie du médecin et antiquaire Paul Lucas un voyage qui le conduit à Chypre, en Égypte, en Tunisie, puis à Livourne, Gênes, Marseille et finalement Paris et Versailles où il est présenté à Louis XIV et rencontre l’orientaliste Antoine Galland avant de revenir en 1710 en Syrie par Smyrne et Constantinople. Son récit, écrit en arabe au soir de sa vie, livre le regard d’un jeune chrétien oriental sur la </w:t>
      </w:r>
    </w:p>
    <w:p w14:paraId="2636C39C" w14:textId="77777777" w:rsidR="00235C7C" w:rsidRPr="004C20B2" w:rsidRDefault="00235C7C" w:rsidP="00235C7C">
      <w:pPr>
        <w:jc w:val="both"/>
        <w:rPr>
          <w:rFonts w:ascii="Cambria" w:hAnsi="Cambria"/>
          <w:b w:val="0"/>
          <w:bCs/>
          <w:sz w:val="22"/>
        </w:rPr>
      </w:pPr>
    </w:p>
    <w:p w14:paraId="41941A84" w14:textId="77777777" w:rsidR="00235C7C" w:rsidRPr="004C20B2" w:rsidRDefault="00235C7C" w:rsidP="00235C7C">
      <w:pPr>
        <w:jc w:val="both"/>
        <w:rPr>
          <w:rFonts w:ascii="Cambria" w:hAnsi="Cambria"/>
          <w:b w:val="0"/>
          <w:bCs/>
          <w:sz w:val="22"/>
        </w:rPr>
      </w:pPr>
    </w:p>
    <w:p w14:paraId="07385200" w14:textId="77777777" w:rsidR="00235C7C" w:rsidRPr="004C20B2" w:rsidRDefault="00235C7C" w:rsidP="00235C7C">
      <w:pPr>
        <w:jc w:val="both"/>
        <w:rPr>
          <w:rFonts w:ascii="Cambria" w:hAnsi="Cambria"/>
          <w:b w:val="0"/>
          <w:bCs/>
          <w:sz w:val="22"/>
        </w:rPr>
      </w:pPr>
    </w:p>
    <w:p w14:paraId="26658F6C" w14:textId="33C58D18" w:rsidR="00235C7C" w:rsidRPr="004C20B2" w:rsidRDefault="00235C7C" w:rsidP="00235C7C">
      <w:pPr>
        <w:jc w:val="both"/>
        <w:rPr>
          <w:rFonts w:ascii="Cambria" w:hAnsi="Cambria"/>
          <w:b w:val="0"/>
          <w:bCs/>
          <w:sz w:val="22"/>
        </w:rPr>
      </w:pPr>
      <w:r w:rsidRPr="004C20B2">
        <w:rPr>
          <w:rFonts w:ascii="Cambria" w:hAnsi="Cambria"/>
          <w:b w:val="0"/>
          <w:bCs/>
          <w:sz w:val="22"/>
        </w:rPr>
        <w:t>Méditerranée et la France du début du XVIII</w:t>
      </w:r>
      <w:r w:rsidRPr="004C20B2">
        <w:rPr>
          <w:rFonts w:ascii="Cambria" w:hAnsi="Cambria"/>
          <w:b w:val="0"/>
          <w:bCs/>
          <w:sz w:val="22"/>
          <w:vertAlign w:val="superscript"/>
        </w:rPr>
        <w:t>e</w:t>
      </w:r>
      <w:r w:rsidRPr="004C20B2">
        <w:rPr>
          <w:rFonts w:ascii="Cambria" w:hAnsi="Cambria"/>
          <w:b w:val="0"/>
          <w:bCs/>
          <w:sz w:val="22"/>
        </w:rPr>
        <w:t xml:space="preserve"> siècle. Il appelle des approfondissements sur l’histoire de l’Empire ottoman, le statut des non-musulmans au Levant, l’encadrement spirituel et la protection politique des maronites, les conditions de circulation et d’identification en Méditerranée, les risques épidémiques et la menace corsaire ainsi que la perception des mœurs et des manières de l’Occident chrétien par un observateur qui est lui-même un objet d’exotisme.</w:t>
      </w:r>
    </w:p>
    <w:p w14:paraId="139E1A3A" w14:textId="77777777" w:rsidR="006B3460" w:rsidRDefault="006B3460" w:rsidP="00235C7C">
      <w:pPr>
        <w:spacing w:line="300" w:lineRule="exact"/>
        <w:jc w:val="both"/>
        <w:rPr>
          <w:rFonts w:ascii="Cambria" w:hAnsi="Cambria"/>
          <w:sz w:val="22"/>
        </w:rPr>
      </w:pPr>
    </w:p>
    <w:p w14:paraId="0FBBF635" w14:textId="3CC2AE1B" w:rsidR="00235C7C" w:rsidRPr="004C20B2" w:rsidRDefault="00235C7C" w:rsidP="00235C7C">
      <w:pPr>
        <w:spacing w:line="300" w:lineRule="exact"/>
        <w:jc w:val="both"/>
        <w:rPr>
          <w:rFonts w:ascii="Cambria" w:hAnsi="Cambria"/>
          <w:sz w:val="22"/>
        </w:rPr>
      </w:pPr>
      <w:r w:rsidRPr="004C20B2">
        <w:rPr>
          <w:rFonts w:ascii="Cambria" w:hAnsi="Cambria"/>
          <w:sz w:val="22"/>
        </w:rPr>
        <w:t>Bibliographie </w:t>
      </w:r>
    </w:p>
    <w:p w14:paraId="38E0FC96" w14:textId="77777777" w:rsidR="00235C7C" w:rsidRPr="004C20B2" w:rsidRDefault="00235C7C" w:rsidP="00235C7C">
      <w:pPr>
        <w:jc w:val="both"/>
        <w:rPr>
          <w:rFonts w:ascii="Cambria" w:hAnsi="Cambria"/>
          <w:sz w:val="22"/>
        </w:rPr>
      </w:pPr>
      <w:r w:rsidRPr="004C20B2">
        <w:rPr>
          <w:rFonts w:ascii="Cambria" w:hAnsi="Cambria"/>
          <w:sz w:val="22"/>
        </w:rPr>
        <w:t>Sources</w:t>
      </w:r>
    </w:p>
    <w:p w14:paraId="0111EAB2" w14:textId="77777777" w:rsidR="006353C8" w:rsidRDefault="00235C7C" w:rsidP="00235C7C">
      <w:pPr>
        <w:jc w:val="both"/>
        <w:rPr>
          <w:rFonts w:ascii="Cambria" w:hAnsi="Cambria"/>
          <w:sz w:val="22"/>
        </w:rPr>
      </w:pPr>
      <w:r w:rsidRPr="004C20B2">
        <w:rPr>
          <w:rFonts w:ascii="Cambria" w:hAnsi="Cambria"/>
          <w:b w:val="0"/>
          <w:bCs/>
          <w:sz w:val="22"/>
        </w:rPr>
        <w:t xml:space="preserve">Michel de Montaigne, </w:t>
      </w:r>
      <w:r w:rsidRPr="004C20B2">
        <w:rPr>
          <w:rFonts w:ascii="Cambria" w:hAnsi="Cambria"/>
          <w:b w:val="0"/>
          <w:bCs/>
          <w:i/>
          <w:iCs/>
          <w:sz w:val="22"/>
        </w:rPr>
        <w:t>Journal de voyage</w:t>
      </w:r>
      <w:r w:rsidRPr="004C20B2">
        <w:rPr>
          <w:rFonts w:ascii="Cambria" w:hAnsi="Cambria"/>
          <w:b w:val="0"/>
          <w:bCs/>
          <w:sz w:val="22"/>
        </w:rPr>
        <w:t>, édition présentée, établie et annotée par Fausta Garavini, Paris, Gallimard, « Folio classique », 2025 (1</w:t>
      </w:r>
      <w:r w:rsidRPr="004C20B2">
        <w:rPr>
          <w:rFonts w:ascii="Cambria" w:hAnsi="Cambria"/>
          <w:b w:val="0"/>
          <w:bCs/>
          <w:sz w:val="22"/>
          <w:vertAlign w:val="superscript"/>
        </w:rPr>
        <w:t>ère</w:t>
      </w:r>
      <w:r w:rsidRPr="004C20B2">
        <w:rPr>
          <w:rFonts w:ascii="Cambria" w:hAnsi="Cambria"/>
          <w:b w:val="0"/>
          <w:bCs/>
          <w:sz w:val="22"/>
        </w:rPr>
        <w:t xml:space="preserve"> éd. 1983) </w:t>
      </w:r>
      <w:r w:rsidRPr="004C20B2">
        <w:rPr>
          <w:rFonts w:ascii="Cambria" w:hAnsi="Cambria"/>
          <w:sz w:val="22"/>
        </w:rPr>
        <w:t>(à lire au début du S1)</w:t>
      </w:r>
      <w:r w:rsidR="006353C8">
        <w:rPr>
          <w:rFonts w:ascii="Cambria" w:hAnsi="Cambria"/>
          <w:sz w:val="22"/>
        </w:rPr>
        <w:t xml:space="preserve"> </w:t>
      </w:r>
    </w:p>
    <w:p w14:paraId="2A46DC36" w14:textId="27656537" w:rsidR="00235C7C" w:rsidRPr="006B3460" w:rsidRDefault="006353C8" w:rsidP="00235C7C">
      <w:pPr>
        <w:jc w:val="both"/>
        <w:rPr>
          <w:rFonts w:ascii="Cambria" w:hAnsi="Cambria"/>
          <w:b w:val="0"/>
          <w:bCs/>
          <w:sz w:val="22"/>
        </w:rPr>
      </w:pPr>
      <w:r w:rsidRPr="006B3460">
        <w:rPr>
          <w:rFonts w:ascii="Cambria" w:hAnsi="Cambria"/>
          <w:b w:val="0"/>
          <w:bCs/>
          <w:sz w:val="22"/>
        </w:rPr>
        <w:t>Montaigne, Journal de voyage, édité par Frank Lestringant, Paris, les Belles Lettres.</w:t>
      </w:r>
    </w:p>
    <w:p w14:paraId="3263B0A0" w14:textId="33DA6C07" w:rsidR="00235C7C" w:rsidRPr="004C20B2" w:rsidRDefault="00235C7C" w:rsidP="00235C7C">
      <w:pPr>
        <w:jc w:val="both"/>
        <w:rPr>
          <w:rFonts w:ascii="Cambria" w:hAnsi="Cambria"/>
          <w:b w:val="0"/>
          <w:bCs/>
          <w:sz w:val="22"/>
        </w:rPr>
      </w:pPr>
      <w:r w:rsidRPr="004C20B2">
        <w:rPr>
          <w:rFonts w:ascii="Cambria" w:hAnsi="Cambria"/>
          <w:b w:val="0"/>
          <w:bCs/>
          <w:sz w:val="22"/>
        </w:rPr>
        <w:t xml:space="preserve">Montaigne, </w:t>
      </w:r>
      <w:r w:rsidRPr="004C20B2">
        <w:rPr>
          <w:rFonts w:ascii="Cambria" w:hAnsi="Cambria"/>
          <w:b w:val="0"/>
          <w:bCs/>
          <w:i/>
          <w:iCs/>
          <w:sz w:val="22"/>
        </w:rPr>
        <w:t>Journal de voyage en Italie par la Suisse et l’Allemagne</w:t>
      </w:r>
      <w:r w:rsidRPr="004C20B2">
        <w:rPr>
          <w:rFonts w:ascii="Cambria" w:hAnsi="Cambria"/>
          <w:b w:val="0"/>
          <w:bCs/>
          <w:sz w:val="22"/>
        </w:rPr>
        <w:t>, nouvelle adaptation établie par Nina Mueggler et Laura Piccina, Paris, Bouquins / Mollat, 2023</w:t>
      </w:r>
    </w:p>
    <w:p w14:paraId="357BCA42" w14:textId="77777777" w:rsidR="00235C7C" w:rsidRPr="004C20B2" w:rsidRDefault="00235C7C" w:rsidP="00235C7C">
      <w:pPr>
        <w:jc w:val="both"/>
        <w:rPr>
          <w:rFonts w:ascii="Cambria" w:hAnsi="Cambria"/>
          <w:sz w:val="22"/>
        </w:rPr>
      </w:pPr>
      <w:r w:rsidRPr="004C20B2">
        <w:rPr>
          <w:rFonts w:ascii="Cambria" w:hAnsi="Cambria"/>
          <w:b w:val="0"/>
          <w:bCs/>
          <w:sz w:val="22"/>
        </w:rPr>
        <w:t xml:space="preserve">Hanna Dyâb, </w:t>
      </w:r>
      <w:r w:rsidRPr="004C20B2">
        <w:rPr>
          <w:rFonts w:ascii="Cambria" w:hAnsi="Cambria"/>
          <w:b w:val="0"/>
          <w:bCs/>
          <w:i/>
          <w:iCs/>
          <w:sz w:val="22"/>
        </w:rPr>
        <w:t>D’Alep à Paris. Les pérégrinations d’un jeune syrien au temps de Louis XIV</w:t>
      </w:r>
      <w:r w:rsidRPr="004C20B2">
        <w:rPr>
          <w:rFonts w:ascii="Cambria" w:hAnsi="Cambria"/>
          <w:b w:val="0"/>
          <w:bCs/>
          <w:sz w:val="22"/>
        </w:rPr>
        <w:t>, récit traduit de l’arabe (Syrie) et annoté par Paule Fhamé-Thiéry, Bernard Heyberger et Jérôme Lentin, Arles, Actes Sud, 2015 (</w:t>
      </w:r>
      <w:r w:rsidRPr="004C20B2">
        <w:rPr>
          <w:rFonts w:ascii="Cambria" w:hAnsi="Cambria"/>
          <w:sz w:val="22"/>
        </w:rPr>
        <w:t>à lire au début du S2)</w:t>
      </w:r>
    </w:p>
    <w:p w14:paraId="690B2189"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Paul Lucas, </w:t>
      </w:r>
      <w:r w:rsidRPr="004C20B2">
        <w:rPr>
          <w:rFonts w:ascii="Cambria" w:hAnsi="Cambria"/>
          <w:b w:val="0"/>
          <w:bCs/>
          <w:i/>
          <w:iCs/>
          <w:sz w:val="22"/>
        </w:rPr>
        <w:t>Deuxième voyage du sieur Paul Lucas dans le Levant : octobre 1704-septembre 1708</w:t>
      </w:r>
      <w:r w:rsidRPr="004C20B2">
        <w:rPr>
          <w:rFonts w:ascii="Cambria" w:hAnsi="Cambria"/>
          <w:b w:val="0"/>
          <w:bCs/>
          <w:sz w:val="22"/>
        </w:rPr>
        <w:t>, édition critique par H. Duranton, Paris, Classiques Garnier, 2023.</w:t>
      </w:r>
    </w:p>
    <w:p w14:paraId="4660DAFF" w14:textId="77777777" w:rsidR="00235C7C" w:rsidRPr="004C20B2" w:rsidRDefault="00235C7C" w:rsidP="00235C7C">
      <w:pPr>
        <w:jc w:val="both"/>
        <w:rPr>
          <w:rFonts w:ascii="Cambria" w:hAnsi="Cambria"/>
          <w:b w:val="0"/>
          <w:bCs/>
          <w:sz w:val="22"/>
        </w:rPr>
      </w:pPr>
    </w:p>
    <w:p w14:paraId="40505875" w14:textId="77777777" w:rsidR="00235C7C" w:rsidRPr="004C20B2" w:rsidRDefault="00235C7C" w:rsidP="00235C7C">
      <w:pPr>
        <w:jc w:val="both"/>
        <w:rPr>
          <w:rFonts w:ascii="Cambria" w:hAnsi="Cambria"/>
          <w:sz w:val="22"/>
        </w:rPr>
      </w:pPr>
      <w:r w:rsidRPr="004C20B2">
        <w:rPr>
          <w:rFonts w:ascii="Cambria" w:hAnsi="Cambria"/>
          <w:sz w:val="22"/>
        </w:rPr>
        <w:t>Voyage</w:t>
      </w:r>
    </w:p>
    <w:p w14:paraId="655E5758" w14:textId="77777777" w:rsidR="00235C7C" w:rsidRPr="004C20B2" w:rsidRDefault="00235C7C" w:rsidP="00235C7C">
      <w:pPr>
        <w:jc w:val="both"/>
        <w:rPr>
          <w:rFonts w:ascii="Cambria" w:hAnsi="Cambria"/>
          <w:b w:val="0"/>
          <w:bCs/>
          <w:sz w:val="22"/>
        </w:rPr>
      </w:pPr>
      <w:r w:rsidRPr="004C20B2">
        <w:rPr>
          <w:rFonts w:ascii="Cambria" w:hAnsi="Cambria"/>
          <w:b w:val="0"/>
          <w:bCs/>
          <w:i/>
          <w:iCs/>
          <w:sz w:val="22"/>
        </w:rPr>
        <w:t>Voyager à la Renaissance</w:t>
      </w:r>
      <w:r w:rsidRPr="004C20B2">
        <w:rPr>
          <w:rFonts w:ascii="Cambria" w:hAnsi="Cambria"/>
          <w:b w:val="0"/>
          <w:bCs/>
          <w:sz w:val="22"/>
        </w:rPr>
        <w:t>, Actes du colloque de Tours 1983, sous la direction de J. Céard et J.-C. Margoni, Maisonneuve et Larose, 1987.</w:t>
      </w:r>
    </w:p>
    <w:p w14:paraId="6F49B8D0" w14:textId="77777777" w:rsidR="00235C7C" w:rsidRPr="004C20B2" w:rsidRDefault="00235C7C" w:rsidP="00235C7C">
      <w:pPr>
        <w:pStyle w:val="Titre1"/>
        <w:shd w:val="clear" w:color="auto" w:fill="FFFFFF"/>
        <w:spacing w:after="0"/>
        <w:rPr>
          <w:rFonts w:ascii="Cambria" w:hAnsi="Cambria"/>
          <w:b w:val="0"/>
          <w:bCs/>
          <w:color w:val="000000" w:themeColor="text1"/>
          <w:sz w:val="22"/>
        </w:rPr>
      </w:pPr>
      <w:r w:rsidRPr="004C20B2">
        <w:rPr>
          <w:rFonts w:ascii="Cambria" w:hAnsi="Cambria"/>
          <w:b w:val="0"/>
          <w:bCs/>
          <w:color w:val="000000" w:themeColor="text1"/>
          <w:sz w:val="22"/>
        </w:rPr>
        <w:t xml:space="preserve">G. Bertrand, </w:t>
      </w:r>
      <w:r w:rsidRPr="004C20B2">
        <w:rPr>
          <w:rFonts w:ascii="Cambria" w:hAnsi="Cambria"/>
          <w:b w:val="0"/>
          <w:bCs/>
          <w:i/>
          <w:iCs/>
          <w:color w:val="000000" w:themeColor="text1"/>
          <w:sz w:val="22"/>
        </w:rPr>
        <w:t>Le Grand Tour revisité. Pour une archéologie du tourisme : le voyage des Français en Italie, milieu XVIII</w:t>
      </w:r>
      <w:r w:rsidRPr="004C20B2">
        <w:rPr>
          <w:rFonts w:ascii="Cambria" w:hAnsi="Cambria"/>
          <w:b w:val="0"/>
          <w:bCs/>
          <w:i/>
          <w:iCs/>
          <w:color w:val="000000" w:themeColor="text1"/>
          <w:sz w:val="22"/>
          <w:vertAlign w:val="superscript"/>
        </w:rPr>
        <w:t>e</w:t>
      </w:r>
      <w:r w:rsidRPr="004C20B2">
        <w:rPr>
          <w:rFonts w:ascii="Cambria" w:hAnsi="Cambria"/>
          <w:b w:val="0"/>
          <w:bCs/>
          <w:i/>
          <w:iCs/>
          <w:color w:val="000000" w:themeColor="text1"/>
          <w:sz w:val="22"/>
        </w:rPr>
        <w:t> – début XIX</w:t>
      </w:r>
      <w:r w:rsidRPr="004C20B2">
        <w:rPr>
          <w:rFonts w:ascii="Cambria" w:hAnsi="Cambria"/>
          <w:b w:val="0"/>
          <w:bCs/>
          <w:i/>
          <w:iCs/>
          <w:color w:val="000000" w:themeColor="text1"/>
          <w:sz w:val="22"/>
          <w:vertAlign w:val="superscript"/>
        </w:rPr>
        <w:t>e</w:t>
      </w:r>
      <w:r w:rsidRPr="004C20B2">
        <w:rPr>
          <w:rFonts w:ascii="Cambria" w:hAnsi="Cambria"/>
          <w:b w:val="0"/>
          <w:bCs/>
          <w:i/>
          <w:iCs/>
          <w:color w:val="000000" w:themeColor="text1"/>
          <w:sz w:val="22"/>
        </w:rPr>
        <w:t> siècle</w:t>
      </w:r>
      <w:r w:rsidRPr="004C20B2">
        <w:rPr>
          <w:rFonts w:ascii="Cambria" w:hAnsi="Cambria"/>
          <w:b w:val="0"/>
          <w:bCs/>
          <w:color w:val="000000" w:themeColor="text1"/>
          <w:sz w:val="22"/>
        </w:rPr>
        <w:t>, Rome, Publications de l’École française de Rome, 2008 (en ligne).</w:t>
      </w:r>
    </w:p>
    <w:p w14:paraId="7A43E856" w14:textId="77777777" w:rsidR="00235C7C" w:rsidRPr="004C20B2" w:rsidRDefault="00235C7C" w:rsidP="00235C7C">
      <w:pPr>
        <w:pStyle w:val="Titre1"/>
        <w:shd w:val="clear" w:color="auto" w:fill="FFFFFF"/>
        <w:spacing w:after="0"/>
        <w:rPr>
          <w:rFonts w:ascii="Cambria" w:hAnsi="Cambria"/>
          <w:b w:val="0"/>
          <w:bCs/>
          <w:color w:val="000000" w:themeColor="text1"/>
          <w:sz w:val="22"/>
        </w:rPr>
      </w:pPr>
      <w:r w:rsidRPr="004C20B2">
        <w:rPr>
          <w:rFonts w:ascii="Cambria" w:hAnsi="Cambria"/>
          <w:b w:val="0"/>
          <w:bCs/>
          <w:color w:val="000000" w:themeColor="text1"/>
          <w:sz w:val="22"/>
        </w:rPr>
        <w:t>G. Holtz, J-C. Laborie, F. Lestringant (éd.), </w:t>
      </w:r>
      <w:r w:rsidRPr="004C20B2">
        <w:rPr>
          <w:rFonts w:ascii="Cambria" w:hAnsi="Cambria"/>
          <w:b w:val="0"/>
          <w:bCs/>
          <w:i/>
          <w:iCs/>
          <w:color w:val="000000" w:themeColor="text1"/>
          <w:sz w:val="22"/>
        </w:rPr>
        <w:t>Voyageurs de la Renaissance</w:t>
      </w:r>
      <w:r w:rsidRPr="004C20B2">
        <w:rPr>
          <w:rFonts w:ascii="Cambria" w:hAnsi="Cambria"/>
          <w:b w:val="0"/>
          <w:bCs/>
          <w:color w:val="000000" w:themeColor="text1"/>
          <w:sz w:val="22"/>
        </w:rPr>
        <w:t>, Paris, Gallimard, « Folio classique », 2019</w:t>
      </w:r>
    </w:p>
    <w:p w14:paraId="1A353749" w14:textId="77777777" w:rsidR="00235C7C" w:rsidRPr="004C20B2" w:rsidRDefault="00235C7C" w:rsidP="00235C7C">
      <w:pPr>
        <w:pStyle w:val="Titre1"/>
        <w:shd w:val="clear" w:color="auto" w:fill="FFFFFF"/>
        <w:spacing w:after="0"/>
        <w:rPr>
          <w:rFonts w:ascii="Cambria" w:hAnsi="Cambria"/>
          <w:b w:val="0"/>
          <w:bCs/>
          <w:i/>
          <w:iCs/>
          <w:color w:val="000000" w:themeColor="text1"/>
          <w:sz w:val="22"/>
        </w:rPr>
      </w:pPr>
      <w:r w:rsidRPr="004C20B2">
        <w:rPr>
          <w:rFonts w:ascii="Cambria" w:hAnsi="Cambria"/>
          <w:b w:val="0"/>
          <w:bCs/>
          <w:sz w:val="22"/>
        </w:rPr>
        <w:t xml:space="preserve">J.-Y. Boriaud, </w:t>
      </w:r>
      <w:r w:rsidRPr="004C20B2">
        <w:rPr>
          <w:rStyle w:val="Accentuation"/>
          <w:rFonts w:ascii="Cambria" w:hAnsi="Cambria"/>
          <w:b w:val="0"/>
          <w:bCs/>
          <w:sz w:val="22"/>
        </w:rPr>
        <w:t>Le Voyage à la Renaissance, Rennes, PUR, 1997.</w:t>
      </w:r>
    </w:p>
    <w:p w14:paraId="0696B1BB" w14:textId="77777777" w:rsidR="00235C7C" w:rsidRPr="004C20B2" w:rsidRDefault="00235C7C" w:rsidP="00235C7C">
      <w:pPr>
        <w:jc w:val="both"/>
        <w:rPr>
          <w:rFonts w:ascii="Cambria" w:hAnsi="Cambria"/>
          <w:b w:val="0"/>
          <w:bCs/>
          <w:sz w:val="22"/>
        </w:rPr>
      </w:pPr>
    </w:p>
    <w:p w14:paraId="5E2D0DFA" w14:textId="77777777" w:rsidR="00235C7C" w:rsidRPr="004C20B2" w:rsidRDefault="00235C7C" w:rsidP="00235C7C">
      <w:pPr>
        <w:jc w:val="both"/>
        <w:rPr>
          <w:rFonts w:ascii="Cambria" w:hAnsi="Cambria"/>
          <w:sz w:val="22"/>
        </w:rPr>
      </w:pPr>
      <w:r w:rsidRPr="004C20B2">
        <w:rPr>
          <w:rFonts w:ascii="Cambria" w:hAnsi="Cambria"/>
          <w:sz w:val="22"/>
        </w:rPr>
        <w:t>Italie</w:t>
      </w:r>
    </w:p>
    <w:p w14:paraId="017E0EC2"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F. Brizay, </w:t>
      </w:r>
      <w:r w:rsidRPr="004C20B2">
        <w:rPr>
          <w:rFonts w:ascii="Cambria" w:hAnsi="Cambria"/>
          <w:b w:val="0"/>
          <w:bCs/>
          <w:i/>
          <w:iCs/>
          <w:sz w:val="22"/>
        </w:rPr>
        <w:t>L’Italie à l’époque moderne</w:t>
      </w:r>
      <w:r w:rsidRPr="004C20B2">
        <w:rPr>
          <w:rFonts w:ascii="Cambria" w:hAnsi="Cambria"/>
          <w:b w:val="0"/>
          <w:bCs/>
          <w:sz w:val="22"/>
        </w:rPr>
        <w:t>, Paris, Belin Sup, 2001.</w:t>
      </w:r>
    </w:p>
    <w:p w14:paraId="5C08E145"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D. Carrangeot, E. Chapron, H. Chauvineau, </w:t>
      </w:r>
      <w:r w:rsidRPr="004C20B2">
        <w:rPr>
          <w:rFonts w:ascii="Cambria" w:hAnsi="Cambria"/>
          <w:b w:val="0"/>
          <w:bCs/>
          <w:i/>
          <w:sz w:val="22"/>
        </w:rPr>
        <w:t>Histoire de l’Italie du XV</w:t>
      </w:r>
      <w:r w:rsidRPr="004C20B2">
        <w:rPr>
          <w:rFonts w:ascii="Cambria" w:hAnsi="Cambria"/>
          <w:b w:val="0"/>
          <w:bCs/>
          <w:i/>
          <w:sz w:val="22"/>
          <w:vertAlign w:val="superscript"/>
        </w:rPr>
        <w:t>e</w:t>
      </w:r>
      <w:r w:rsidRPr="004C20B2">
        <w:rPr>
          <w:rFonts w:ascii="Cambria" w:hAnsi="Cambria"/>
          <w:b w:val="0"/>
          <w:bCs/>
          <w:i/>
          <w:sz w:val="22"/>
        </w:rPr>
        <w:t xml:space="preserve"> au XVIII</w:t>
      </w:r>
      <w:r w:rsidRPr="004C20B2">
        <w:rPr>
          <w:rFonts w:ascii="Cambria" w:hAnsi="Cambria"/>
          <w:b w:val="0"/>
          <w:bCs/>
          <w:i/>
          <w:sz w:val="22"/>
          <w:vertAlign w:val="superscript"/>
        </w:rPr>
        <w:t>e</w:t>
      </w:r>
      <w:r w:rsidRPr="004C20B2">
        <w:rPr>
          <w:rFonts w:ascii="Cambria" w:hAnsi="Cambria"/>
          <w:b w:val="0"/>
          <w:bCs/>
          <w:i/>
          <w:sz w:val="22"/>
        </w:rPr>
        <w:t xml:space="preserve"> siècle</w:t>
      </w:r>
      <w:r w:rsidRPr="004C20B2">
        <w:rPr>
          <w:rFonts w:ascii="Cambria" w:hAnsi="Cambria"/>
          <w:b w:val="0"/>
          <w:bCs/>
          <w:sz w:val="22"/>
        </w:rPr>
        <w:t>, Paris, Armand Colin, 2015</w:t>
      </w:r>
    </w:p>
    <w:p w14:paraId="5BB70821"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J. Delumeau, </w:t>
      </w:r>
      <w:r w:rsidRPr="004C20B2">
        <w:rPr>
          <w:rFonts w:ascii="Cambria" w:hAnsi="Cambria"/>
          <w:b w:val="0"/>
          <w:bCs/>
          <w:i/>
          <w:sz w:val="22"/>
        </w:rPr>
        <w:t>L’Italie de Botticelli à Bonaparte</w:t>
      </w:r>
      <w:r w:rsidRPr="004C20B2">
        <w:rPr>
          <w:rFonts w:ascii="Cambria" w:hAnsi="Cambria"/>
          <w:b w:val="0"/>
          <w:bCs/>
          <w:sz w:val="22"/>
        </w:rPr>
        <w:t>, Paris, Armand Colin, 2022 (1</w:t>
      </w:r>
      <w:r w:rsidRPr="004C20B2">
        <w:rPr>
          <w:rFonts w:ascii="Cambria" w:hAnsi="Cambria"/>
          <w:b w:val="0"/>
          <w:bCs/>
          <w:sz w:val="22"/>
          <w:vertAlign w:val="superscript"/>
        </w:rPr>
        <w:t>ère</w:t>
      </w:r>
      <w:r w:rsidRPr="004C20B2">
        <w:rPr>
          <w:rFonts w:ascii="Cambria" w:hAnsi="Cambria"/>
          <w:b w:val="0"/>
          <w:bCs/>
          <w:sz w:val="22"/>
        </w:rPr>
        <w:t xml:space="preserve"> 1974)</w:t>
      </w:r>
    </w:p>
    <w:p w14:paraId="17BFCD28" w14:textId="77777777" w:rsidR="00235C7C" w:rsidRPr="004C20B2" w:rsidRDefault="00235C7C" w:rsidP="00235C7C">
      <w:pPr>
        <w:jc w:val="both"/>
        <w:rPr>
          <w:rFonts w:ascii="Cambria" w:hAnsi="Cambria"/>
          <w:b w:val="0"/>
          <w:bCs/>
          <w:sz w:val="22"/>
        </w:rPr>
      </w:pPr>
      <w:r w:rsidRPr="004C20B2">
        <w:rPr>
          <w:rFonts w:ascii="Cambria" w:hAnsi="Cambria"/>
          <w:b w:val="0"/>
          <w:bCs/>
          <w:i/>
          <w:iCs/>
          <w:sz w:val="22"/>
        </w:rPr>
        <w:t>Le temps des Italies XII</w:t>
      </w:r>
      <w:r w:rsidRPr="004C20B2">
        <w:rPr>
          <w:rFonts w:ascii="Cambria" w:hAnsi="Cambria"/>
          <w:b w:val="0"/>
          <w:bCs/>
          <w:i/>
          <w:iCs/>
          <w:sz w:val="22"/>
          <w:vertAlign w:val="superscript"/>
        </w:rPr>
        <w:t>e</w:t>
      </w:r>
      <w:r w:rsidRPr="004C20B2">
        <w:rPr>
          <w:rFonts w:ascii="Cambria" w:hAnsi="Cambria"/>
          <w:b w:val="0"/>
          <w:bCs/>
          <w:i/>
          <w:iCs/>
          <w:sz w:val="22"/>
        </w:rPr>
        <w:t>-XIXe siècle</w:t>
      </w:r>
      <w:r w:rsidRPr="004C20B2">
        <w:rPr>
          <w:rFonts w:ascii="Cambria" w:hAnsi="Cambria"/>
          <w:b w:val="0"/>
          <w:bCs/>
          <w:sz w:val="22"/>
        </w:rPr>
        <w:t>, dirigé par J. Boutier, S. Landi et J.-C.Waquet, Rome - Paris, École française de Rome - Passés recomposés, 2023</w:t>
      </w:r>
    </w:p>
    <w:p w14:paraId="342E31FA" w14:textId="77777777" w:rsidR="00235C7C" w:rsidRPr="004C20B2" w:rsidRDefault="00235C7C" w:rsidP="00235C7C">
      <w:pPr>
        <w:jc w:val="both"/>
        <w:rPr>
          <w:rFonts w:ascii="Cambria" w:hAnsi="Cambria"/>
          <w:b w:val="0"/>
          <w:bCs/>
          <w:color w:val="202122"/>
          <w:sz w:val="22"/>
        </w:rPr>
      </w:pPr>
      <w:r w:rsidRPr="004C20B2">
        <w:rPr>
          <w:rFonts w:ascii="Cambria" w:hAnsi="Cambria"/>
          <w:b w:val="0"/>
          <w:bCs/>
          <w:sz w:val="22"/>
        </w:rPr>
        <w:t xml:space="preserve">Y.-M. Hilaire (dir.), </w:t>
      </w:r>
      <w:r w:rsidRPr="004C20B2">
        <w:rPr>
          <w:rStyle w:val="CitationHTML"/>
          <w:rFonts w:ascii="Cambria" w:hAnsi="Cambria"/>
          <w:b w:val="0"/>
          <w:bCs/>
          <w:color w:val="202122"/>
          <w:sz w:val="22"/>
        </w:rPr>
        <w:t>Histoire de la papauté : 2000 ans de missions et de tribulations</w:t>
      </w:r>
      <w:r w:rsidRPr="004C20B2">
        <w:rPr>
          <w:rStyle w:val="ouvrage"/>
          <w:rFonts w:ascii="Cambria" w:hAnsi="Cambria"/>
          <w:b w:val="0"/>
          <w:bCs/>
          <w:color w:val="202122"/>
          <w:sz w:val="22"/>
        </w:rPr>
        <w:t>, Paris, Folio, coll. « histoire », 2003</w:t>
      </w:r>
    </w:p>
    <w:p w14:paraId="2FDC8D31" w14:textId="5BD9D4B3" w:rsidR="00235C7C" w:rsidRPr="004C20B2" w:rsidRDefault="00235C7C" w:rsidP="00235C7C">
      <w:pPr>
        <w:jc w:val="both"/>
        <w:rPr>
          <w:rFonts w:ascii="Cambria" w:hAnsi="Cambria"/>
          <w:b w:val="0"/>
          <w:bCs/>
          <w:sz w:val="22"/>
        </w:rPr>
      </w:pPr>
      <w:r w:rsidRPr="004C20B2">
        <w:rPr>
          <w:rStyle w:val="lev"/>
          <w:rFonts w:ascii="Cambria" w:hAnsi="Cambria"/>
          <w:sz w:val="22"/>
        </w:rPr>
        <w:t>A. Tallon</w:t>
      </w:r>
      <w:r w:rsidRPr="004C20B2">
        <w:rPr>
          <w:rFonts w:ascii="Cambria" w:hAnsi="Cambria"/>
          <w:b w:val="0"/>
          <w:bCs/>
          <w:sz w:val="22"/>
        </w:rPr>
        <w:t xml:space="preserve">, </w:t>
      </w:r>
      <w:r w:rsidRPr="004C20B2">
        <w:rPr>
          <w:rStyle w:val="Accentuation"/>
          <w:rFonts w:ascii="Cambria" w:hAnsi="Cambria"/>
          <w:b w:val="0"/>
          <w:bCs/>
          <w:sz w:val="22"/>
        </w:rPr>
        <w:t>Le Concile de Trente</w:t>
      </w:r>
      <w:r w:rsidRPr="004C20B2">
        <w:rPr>
          <w:rFonts w:ascii="Cambria" w:hAnsi="Cambria"/>
          <w:b w:val="0"/>
          <w:bCs/>
          <w:sz w:val="22"/>
        </w:rPr>
        <w:t>, Paris, Le Cerf, 2000</w:t>
      </w:r>
    </w:p>
    <w:p w14:paraId="2A0CC5A6" w14:textId="77777777" w:rsidR="00235C7C" w:rsidRPr="004C20B2" w:rsidRDefault="00235C7C" w:rsidP="00235C7C">
      <w:pPr>
        <w:jc w:val="both"/>
        <w:rPr>
          <w:rFonts w:ascii="Cambria" w:hAnsi="Cambria"/>
          <w:sz w:val="22"/>
        </w:rPr>
      </w:pPr>
      <w:r w:rsidRPr="004C20B2">
        <w:rPr>
          <w:rFonts w:ascii="Cambria" w:hAnsi="Cambria"/>
          <w:sz w:val="22"/>
        </w:rPr>
        <w:t>Méditerranée</w:t>
      </w:r>
    </w:p>
    <w:p w14:paraId="47073663"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D. Abulafia, </w:t>
      </w:r>
      <w:r w:rsidRPr="004C20B2">
        <w:rPr>
          <w:rFonts w:ascii="Cambria" w:hAnsi="Cambria"/>
          <w:b w:val="0"/>
          <w:bCs/>
          <w:i/>
          <w:sz w:val="22"/>
        </w:rPr>
        <w:t>La Grande Mer. Une histoire de la Méditerranée et des Méditerranéens</w:t>
      </w:r>
      <w:r w:rsidRPr="004C20B2">
        <w:rPr>
          <w:rFonts w:ascii="Cambria" w:hAnsi="Cambria"/>
          <w:b w:val="0"/>
          <w:bCs/>
          <w:sz w:val="22"/>
        </w:rPr>
        <w:t>, Paris, Les Belles Lettres, 2022</w:t>
      </w:r>
    </w:p>
    <w:p w14:paraId="7ABE5FEF" w14:textId="77777777" w:rsidR="00235C7C" w:rsidRPr="004C20B2" w:rsidRDefault="00235C7C" w:rsidP="00235C7C">
      <w:pPr>
        <w:widowControl w:val="0"/>
        <w:autoSpaceDE w:val="0"/>
        <w:autoSpaceDN w:val="0"/>
        <w:adjustRightInd w:val="0"/>
        <w:jc w:val="both"/>
        <w:rPr>
          <w:rFonts w:ascii="Cambria" w:eastAsia="Calibri" w:hAnsi="Cambria"/>
          <w:b w:val="0"/>
          <w:bCs/>
          <w:sz w:val="22"/>
        </w:rPr>
      </w:pPr>
      <w:r w:rsidRPr="004C20B2">
        <w:rPr>
          <w:rFonts w:ascii="Cambria" w:eastAsia="Calibri" w:hAnsi="Cambria"/>
          <w:b w:val="0"/>
          <w:bCs/>
          <w:sz w:val="22"/>
        </w:rPr>
        <w:t xml:space="preserve">O. Bouquet, </w:t>
      </w:r>
      <w:r w:rsidRPr="004C20B2">
        <w:rPr>
          <w:rFonts w:ascii="Cambria" w:eastAsia="Calibri" w:hAnsi="Cambria"/>
          <w:b w:val="0"/>
          <w:bCs/>
          <w:i/>
          <w:sz w:val="22"/>
        </w:rPr>
        <w:t>Pourquoi l’Empire ottoman ? Six siècles d’histoire</w:t>
      </w:r>
      <w:r w:rsidRPr="004C20B2">
        <w:rPr>
          <w:rFonts w:ascii="Cambria" w:eastAsia="Calibri" w:hAnsi="Cambria"/>
          <w:b w:val="0"/>
          <w:bCs/>
          <w:sz w:val="22"/>
        </w:rPr>
        <w:t>, Gallimard, Folio Histoire, 2022.</w:t>
      </w:r>
    </w:p>
    <w:p w14:paraId="74734A35"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F. Braudel, </w:t>
      </w:r>
      <w:r w:rsidRPr="004C20B2">
        <w:rPr>
          <w:rFonts w:ascii="Cambria" w:hAnsi="Cambria"/>
          <w:b w:val="0"/>
          <w:bCs/>
          <w:i/>
          <w:iCs/>
          <w:sz w:val="22"/>
        </w:rPr>
        <w:t>La Méditerranée et le monde méditerranéen à l’époque de Philippe II</w:t>
      </w:r>
      <w:r w:rsidRPr="004C20B2">
        <w:rPr>
          <w:rFonts w:ascii="Cambria" w:hAnsi="Cambria"/>
          <w:b w:val="0"/>
          <w:bCs/>
          <w:sz w:val="22"/>
        </w:rPr>
        <w:t>, Paris, A. Colin, 1966, 2 vol. (éd. poche 1993)</w:t>
      </w:r>
    </w:p>
    <w:p w14:paraId="05F2D329"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G. Calafat et M. Grenet, </w:t>
      </w:r>
      <w:r w:rsidRPr="004C20B2">
        <w:rPr>
          <w:rFonts w:ascii="Cambria" w:hAnsi="Cambria"/>
          <w:b w:val="0"/>
          <w:bCs/>
          <w:i/>
          <w:sz w:val="22"/>
        </w:rPr>
        <w:t>Méditerranées. Une histoire des mobilités humaines (1492-1750),</w:t>
      </w:r>
      <w:r w:rsidRPr="004C20B2">
        <w:rPr>
          <w:rFonts w:ascii="Cambria" w:hAnsi="Cambria"/>
          <w:b w:val="0"/>
          <w:bCs/>
          <w:sz w:val="22"/>
        </w:rPr>
        <w:t xml:space="preserve"> Paris, Points Seuil, 2023</w:t>
      </w:r>
    </w:p>
    <w:p w14:paraId="4F9B81C4"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J. Carpentier et F. Lebrun (éd.), </w:t>
      </w:r>
      <w:r w:rsidRPr="004C20B2">
        <w:rPr>
          <w:rFonts w:ascii="Cambria" w:hAnsi="Cambria"/>
          <w:b w:val="0"/>
          <w:bCs/>
          <w:i/>
          <w:iCs/>
          <w:sz w:val="22"/>
        </w:rPr>
        <w:t>Histoire de la Méditerranée</w:t>
      </w:r>
      <w:r w:rsidRPr="004C20B2">
        <w:rPr>
          <w:rFonts w:ascii="Cambria" w:hAnsi="Cambria"/>
          <w:b w:val="0"/>
          <w:bCs/>
          <w:sz w:val="22"/>
        </w:rPr>
        <w:t>, 2</w:t>
      </w:r>
      <w:r w:rsidRPr="004C20B2">
        <w:rPr>
          <w:rFonts w:ascii="Cambria" w:hAnsi="Cambria"/>
          <w:b w:val="0"/>
          <w:bCs/>
          <w:sz w:val="22"/>
          <w:vertAlign w:val="superscript"/>
        </w:rPr>
        <w:t>ème</w:t>
      </w:r>
      <w:r w:rsidRPr="004C20B2">
        <w:rPr>
          <w:rFonts w:ascii="Cambria" w:hAnsi="Cambria"/>
          <w:b w:val="0"/>
          <w:bCs/>
          <w:sz w:val="22"/>
        </w:rPr>
        <w:t xml:space="preserve"> éd., Paris, Éditions du Seuil, 2001</w:t>
      </w:r>
    </w:p>
    <w:p w14:paraId="1BCE2D0C" w14:textId="77777777" w:rsidR="00235C7C" w:rsidRPr="004C20B2" w:rsidRDefault="00235C7C" w:rsidP="00235C7C">
      <w:pPr>
        <w:pStyle w:val="Notedebasdepage"/>
        <w:jc w:val="both"/>
        <w:rPr>
          <w:rFonts w:ascii="Cambria" w:hAnsi="Cambria"/>
          <w:bCs/>
          <w:sz w:val="22"/>
          <w:szCs w:val="22"/>
        </w:rPr>
      </w:pPr>
      <w:r w:rsidRPr="004C20B2">
        <w:rPr>
          <w:rFonts w:ascii="Cambria" w:hAnsi="Cambria"/>
          <w:bCs/>
          <w:sz w:val="22"/>
          <w:szCs w:val="22"/>
        </w:rPr>
        <w:t xml:space="preserve">J. Dakhlia et B. Vincent (dir.), </w:t>
      </w:r>
      <w:r w:rsidRPr="004C20B2">
        <w:rPr>
          <w:rFonts w:ascii="Cambria" w:hAnsi="Cambria"/>
          <w:bCs/>
          <w:i/>
          <w:iCs/>
          <w:sz w:val="22"/>
          <w:szCs w:val="22"/>
        </w:rPr>
        <w:t>Les musulmans dans l’histoire de l’Europe</w:t>
      </w:r>
      <w:r w:rsidRPr="004C20B2">
        <w:rPr>
          <w:rFonts w:ascii="Cambria" w:hAnsi="Cambria"/>
          <w:bCs/>
          <w:sz w:val="22"/>
          <w:szCs w:val="22"/>
        </w:rPr>
        <w:t xml:space="preserve">, vol. 1 : </w:t>
      </w:r>
      <w:r w:rsidRPr="004C20B2">
        <w:rPr>
          <w:rFonts w:ascii="Cambria" w:hAnsi="Cambria"/>
          <w:bCs/>
          <w:i/>
          <w:iCs/>
          <w:sz w:val="22"/>
          <w:szCs w:val="22"/>
        </w:rPr>
        <w:t>Une intégration invisible</w:t>
      </w:r>
      <w:r w:rsidRPr="004C20B2">
        <w:rPr>
          <w:rFonts w:ascii="Cambria" w:hAnsi="Cambria"/>
          <w:bCs/>
          <w:sz w:val="22"/>
          <w:szCs w:val="22"/>
        </w:rPr>
        <w:t xml:space="preserve">, vol. 2 : </w:t>
      </w:r>
      <w:r w:rsidRPr="004C20B2">
        <w:rPr>
          <w:rFonts w:ascii="Cambria" w:hAnsi="Cambria"/>
          <w:bCs/>
          <w:i/>
          <w:iCs/>
          <w:sz w:val="22"/>
          <w:szCs w:val="22"/>
        </w:rPr>
        <w:t>Passages et contacts en Méditerranée</w:t>
      </w:r>
      <w:r w:rsidRPr="004C20B2">
        <w:rPr>
          <w:rFonts w:ascii="Cambria" w:hAnsi="Cambria"/>
          <w:bCs/>
          <w:sz w:val="22"/>
          <w:szCs w:val="22"/>
        </w:rPr>
        <w:t>,Paris, Albin Michel, 2011-2013.</w:t>
      </w:r>
    </w:p>
    <w:p w14:paraId="4FA2EDF7" w14:textId="77777777" w:rsidR="00235C7C" w:rsidRPr="004C20B2" w:rsidRDefault="00235C7C" w:rsidP="00235C7C">
      <w:pPr>
        <w:pStyle w:val="Notedebasdepage"/>
        <w:jc w:val="both"/>
        <w:rPr>
          <w:rFonts w:ascii="Cambria" w:hAnsi="Cambria"/>
          <w:bCs/>
          <w:i/>
          <w:iCs/>
          <w:sz w:val="22"/>
          <w:szCs w:val="22"/>
        </w:rPr>
      </w:pPr>
      <w:r w:rsidRPr="004C20B2">
        <w:rPr>
          <w:rFonts w:ascii="Cambria" w:hAnsi="Cambria"/>
          <w:bCs/>
          <w:sz w:val="22"/>
          <w:szCs w:val="22"/>
        </w:rPr>
        <w:t xml:space="preserve">B. Heyberger, </w:t>
      </w:r>
      <w:r w:rsidRPr="004C20B2">
        <w:rPr>
          <w:rFonts w:ascii="Cambria" w:hAnsi="Cambria"/>
          <w:bCs/>
          <w:i/>
          <w:iCs/>
          <w:sz w:val="22"/>
          <w:szCs w:val="22"/>
        </w:rPr>
        <w:t>Les chrétiens du Proche-Orient au temps de la Réforme catholique</w:t>
      </w:r>
      <w:r w:rsidRPr="004C20B2">
        <w:rPr>
          <w:rFonts w:ascii="Cambria" w:hAnsi="Cambria"/>
          <w:bCs/>
          <w:sz w:val="22"/>
          <w:szCs w:val="22"/>
        </w:rPr>
        <w:t xml:space="preserve"> : Syrie, Liban, Palestine, </w:t>
      </w:r>
      <w:r w:rsidRPr="004C20B2">
        <w:rPr>
          <w:rFonts w:ascii="Cambria" w:hAnsi="Cambria"/>
          <w:bCs/>
          <w:smallCaps/>
          <w:sz w:val="22"/>
          <w:szCs w:val="22"/>
        </w:rPr>
        <w:t>xvii</w:t>
      </w:r>
      <w:r w:rsidRPr="004C20B2">
        <w:rPr>
          <w:rFonts w:ascii="Cambria" w:hAnsi="Cambria"/>
          <w:bCs/>
          <w:sz w:val="22"/>
          <w:szCs w:val="22"/>
          <w:vertAlign w:val="superscript"/>
        </w:rPr>
        <w:t>e</w:t>
      </w:r>
      <w:r w:rsidRPr="004C20B2">
        <w:rPr>
          <w:rFonts w:ascii="Cambria" w:hAnsi="Cambria"/>
          <w:bCs/>
          <w:sz w:val="22"/>
          <w:szCs w:val="22"/>
        </w:rPr>
        <w:t xml:space="preserve"> -</w:t>
      </w:r>
      <w:r w:rsidRPr="004C20B2">
        <w:rPr>
          <w:rFonts w:ascii="Cambria" w:hAnsi="Cambria"/>
          <w:bCs/>
          <w:smallCaps/>
          <w:sz w:val="22"/>
          <w:szCs w:val="22"/>
        </w:rPr>
        <w:t>xviii</w:t>
      </w:r>
      <w:r w:rsidRPr="004C20B2">
        <w:rPr>
          <w:rFonts w:ascii="Cambria" w:hAnsi="Cambria"/>
          <w:bCs/>
          <w:sz w:val="22"/>
          <w:szCs w:val="22"/>
          <w:vertAlign w:val="superscript"/>
        </w:rPr>
        <w:t>e</w:t>
      </w:r>
      <w:r w:rsidRPr="004C20B2">
        <w:rPr>
          <w:rFonts w:ascii="Cambria" w:hAnsi="Cambria"/>
          <w:bCs/>
          <w:sz w:val="22"/>
          <w:szCs w:val="22"/>
        </w:rPr>
        <w:t> siècle, Rome, EFR, 2014.</w:t>
      </w:r>
    </w:p>
    <w:p w14:paraId="388FF6F2" w14:textId="77777777" w:rsidR="00235C7C" w:rsidRPr="004C20B2" w:rsidRDefault="00235C7C" w:rsidP="00235C7C">
      <w:pPr>
        <w:autoSpaceDE w:val="0"/>
        <w:autoSpaceDN w:val="0"/>
        <w:adjustRightInd w:val="0"/>
        <w:jc w:val="both"/>
        <w:rPr>
          <w:rFonts w:ascii="Cambria" w:hAnsi="Cambria"/>
          <w:b w:val="0"/>
          <w:bCs/>
          <w:sz w:val="22"/>
        </w:rPr>
      </w:pPr>
      <w:r w:rsidRPr="004C20B2">
        <w:rPr>
          <w:rFonts w:ascii="Cambria" w:hAnsi="Cambria"/>
          <w:b w:val="0"/>
          <w:bCs/>
          <w:sz w:val="22"/>
        </w:rPr>
        <w:t xml:space="preserve">C. Moatti et W. Kaiser (dir.), </w:t>
      </w:r>
      <w:r w:rsidRPr="004C20B2">
        <w:rPr>
          <w:rFonts w:ascii="Cambria" w:hAnsi="Cambria"/>
          <w:b w:val="0"/>
          <w:bCs/>
          <w:i/>
          <w:sz w:val="22"/>
        </w:rPr>
        <w:t>Gens de passage en Méditerranée de l’Antiquité à l’époque moderne. Procédures de contrôle et d’identification,</w:t>
      </w:r>
      <w:r w:rsidRPr="004C20B2">
        <w:rPr>
          <w:rFonts w:ascii="Cambria" w:hAnsi="Cambria"/>
          <w:b w:val="0"/>
          <w:bCs/>
          <w:sz w:val="22"/>
        </w:rPr>
        <w:t xml:space="preserve"> Paris, Maisonneuve &amp; Larose, 2007</w:t>
      </w:r>
    </w:p>
    <w:p w14:paraId="06017011"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R. Mantran (dir.), </w:t>
      </w:r>
      <w:r w:rsidRPr="004C20B2">
        <w:rPr>
          <w:rFonts w:ascii="Cambria" w:hAnsi="Cambria"/>
          <w:b w:val="0"/>
          <w:bCs/>
          <w:i/>
          <w:sz w:val="22"/>
        </w:rPr>
        <w:t>Histoire de l’Empire ottoman</w:t>
      </w:r>
      <w:r w:rsidRPr="004C20B2">
        <w:rPr>
          <w:rFonts w:ascii="Cambria" w:hAnsi="Cambria"/>
          <w:b w:val="0"/>
          <w:bCs/>
          <w:sz w:val="22"/>
        </w:rPr>
        <w:t>, Paris, Fayard, 2014 [1989]</w:t>
      </w:r>
    </w:p>
    <w:p w14:paraId="003500F7" w14:textId="77777777" w:rsidR="00235C7C" w:rsidRPr="004C20B2" w:rsidRDefault="00235C7C" w:rsidP="00235C7C">
      <w:pPr>
        <w:tabs>
          <w:tab w:val="left" w:pos="851"/>
          <w:tab w:val="left" w:pos="1747"/>
        </w:tabs>
        <w:jc w:val="both"/>
        <w:rPr>
          <w:rFonts w:ascii="Cambria" w:hAnsi="Cambria"/>
          <w:b w:val="0"/>
          <w:bCs/>
          <w:sz w:val="22"/>
        </w:rPr>
      </w:pPr>
    </w:p>
    <w:p w14:paraId="0C72AD78" w14:textId="77777777" w:rsidR="00235C7C" w:rsidRPr="004C20B2" w:rsidRDefault="00235C7C" w:rsidP="00235C7C">
      <w:pPr>
        <w:jc w:val="both"/>
        <w:rPr>
          <w:rFonts w:ascii="Cambria" w:hAnsi="Cambria"/>
          <w:b w:val="0"/>
          <w:bCs/>
          <w:sz w:val="22"/>
        </w:rPr>
      </w:pPr>
    </w:p>
    <w:p w14:paraId="26758EBE" w14:textId="77777777" w:rsidR="00235C7C" w:rsidRPr="004C20B2" w:rsidRDefault="00235C7C" w:rsidP="00235C7C">
      <w:pPr>
        <w:jc w:val="both"/>
        <w:rPr>
          <w:rFonts w:ascii="Cambria" w:hAnsi="Cambria"/>
          <w:b w:val="0"/>
          <w:bCs/>
          <w:sz w:val="22"/>
        </w:rPr>
      </w:pPr>
    </w:p>
    <w:p w14:paraId="20BC5289" w14:textId="77777777" w:rsidR="00A0175F" w:rsidRPr="004C20B2" w:rsidRDefault="00A0175F" w:rsidP="00BD3370">
      <w:pPr>
        <w:jc w:val="both"/>
        <w:rPr>
          <w:rFonts w:ascii="Cambria" w:hAnsi="Cambria"/>
          <w:b w:val="0"/>
          <w:bCs/>
          <w:sz w:val="22"/>
        </w:rPr>
      </w:pPr>
    </w:p>
    <w:p w14:paraId="517BDA99" w14:textId="77777777" w:rsidR="00A0175F" w:rsidRDefault="00A0175F" w:rsidP="00BD3370">
      <w:pPr>
        <w:jc w:val="both"/>
        <w:rPr>
          <w:rFonts w:ascii="Cambria" w:hAnsi="Cambria"/>
          <w:b w:val="0"/>
          <w:bCs/>
          <w:sz w:val="22"/>
        </w:rPr>
      </w:pPr>
    </w:p>
    <w:p w14:paraId="1975A4C8" w14:textId="77777777" w:rsidR="004C20B2" w:rsidRDefault="004C20B2" w:rsidP="00BD3370">
      <w:pPr>
        <w:jc w:val="both"/>
        <w:rPr>
          <w:rFonts w:ascii="Cambria" w:hAnsi="Cambria"/>
          <w:b w:val="0"/>
          <w:bCs/>
          <w:sz w:val="22"/>
        </w:rPr>
      </w:pPr>
    </w:p>
    <w:p w14:paraId="78885C5C" w14:textId="77777777" w:rsidR="006B3460" w:rsidRDefault="006B3460" w:rsidP="00BD3370">
      <w:pPr>
        <w:jc w:val="both"/>
        <w:rPr>
          <w:rFonts w:ascii="Cambria" w:hAnsi="Cambria"/>
          <w:b w:val="0"/>
          <w:bCs/>
          <w:sz w:val="22"/>
        </w:rPr>
      </w:pPr>
    </w:p>
    <w:p w14:paraId="5F113FB3" w14:textId="77777777" w:rsidR="006B3460" w:rsidRDefault="006B3460" w:rsidP="00BD3370">
      <w:pPr>
        <w:jc w:val="both"/>
        <w:rPr>
          <w:rFonts w:ascii="Cambria" w:hAnsi="Cambria"/>
          <w:b w:val="0"/>
          <w:bCs/>
          <w:sz w:val="22"/>
        </w:rPr>
      </w:pPr>
    </w:p>
    <w:p w14:paraId="031EC36F" w14:textId="77777777" w:rsidR="004C20B2" w:rsidRPr="004C20B2" w:rsidRDefault="004C20B2" w:rsidP="00BD3370">
      <w:pPr>
        <w:jc w:val="both"/>
        <w:rPr>
          <w:rFonts w:ascii="Cambria" w:hAnsi="Cambria"/>
          <w:b w:val="0"/>
          <w:bCs/>
          <w:sz w:val="22"/>
        </w:rPr>
      </w:pPr>
    </w:p>
    <w:p w14:paraId="5851E4D6" w14:textId="77777777" w:rsidR="00A0175F" w:rsidRPr="004C20B2" w:rsidRDefault="00A0175F" w:rsidP="00BD3370">
      <w:pPr>
        <w:jc w:val="both"/>
        <w:rPr>
          <w:rFonts w:ascii="Cambria" w:hAnsi="Cambria"/>
          <w:b w:val="0"/>
          <w:bCs/>
          <w:sz w:val="22"/>
        </w:rPr>
      </w:pPr>
    </w:p>
    <w:p w14:paraId="0DDCD57A" w14:textId="77777777" w:rsidR="00A0175F" w:rsidRPr="00672B42" w:rsidRDefault="00A0175F" w:rsidP="00BD3370">
      <w:pPr>
        <w:jc w:val="both"/>
        <w:rPr>
          <w:rFonts w:ascii="Cambria" w:hAnsi="Cambria"/>
          <w:b w:val="0"/>
          <w:bCs/>
          <w:sz w:val="22"/>
        </w:rPr>
      </w:pPr>
    </w:p>
    <w:p w14:paraId="7A4D3E45" w14:textId="77777777" w:rsidR="00915E58" w:rsidRPr="00672B42" w:rsidRDefault="00915E58" w:rsidP="00BD3370">
      <w:pPr>
        <w:spacing w:after="0" w:line="240" w:lineRule="auto"/>
        <w:rPr>
          <w:rFonts w:ascii="Cambria" w:eastAsia="Times New Roman" w:hAnsi="Cambria"/>
          <w:bCs/>
          <w:i/>
          <w:color w:val="C00000"/>
          <w:kern w:val="0"/>
          <w:sz w:val="28"/>
          <w:szCs w:val="28"/>
          <w:lang w:eastAsia="fr-FR"/>
        </w:rPr>
      </w:pPr>
    </w:p>
    <w:p w14:paraId="005AE42B" w14:textId="77777777" w:rsidR="00625379" w:rsidRPr="00672B42" w:rsidRDefault="001A2C40" w:rsidP="00625379">
      <w:pPr>
        <w:spacing w:after="0" w:line="240" w:lineRule="auto"/>
        <w:jc w:val="center"/>
        <w:rPr>
          <w:rFonts w:ascii="Cambria" w:eastAsia="Times New Roman" w:hAnsi="Cambria"/>
          <w:bCs/>
          <w:i/>
          <w:color w:val="C00000"/>
          <w:kern w:val="0"/>
          <w:sz w:val="28"/>
          <w:szCs w:val="28"/>
          <w:lang w:eastAsia="fr-FR"/>
        </w:rPr>
      </w:pPr>
      <w:r w:rsidRPr="00672B42">
        <w:rPr>
          <w:rFonts w:ascii="Cambria" w:eastAsia="Times New Roman" w:hAnsi="Cambria"/>
          <w:bCs/>
          <w:i/>
          <w:color w:val="C00000"/>
          <w:kern w:val="0"/>
          <w:sz w:val="28"/>
          <w:szCs w:val="28"/>
          <w:lang w:eastAsia="fr-FR"/>
        </w:rPr>
        <w:t>J3031719/J3031819</w:t>
      </w:r>
      <w:r w:rsidR="00CF23B8" w:rsidRPr="00672B42">
        <w:rPr>
          <w:rFonts w:ascii="Cambria" w:eastAsia="Times New Roman" w:hAnsi="Cambria"/>
          <w:bCs/>
          <w:i/>
          <w:color w:val="C00000"/>
          <w:kern w:val="0"/>
          <w:sz w:val="28"/>
          <w:szCs w:val="28"/>
          <w:lang w:eastAsia="fr-FR"/>
        </w:rPr>
        <w:t xml:space="preserve"> : </w:t>
      </w:r>
      <w:r w:rsidR="00625379" w:rsidRPr="00672B42">
        <w:rPr>
          <w:rFonts w:ascii="Cambria" w:eastAsia="Times New Roman" w:hAnsi="Cambria"/>
          <w:bCs/>
          <w:i/>
          <w:color w:val="C00000"/>
          <w:kern w:val="0"/>
          <w:sz w:val="28"/>
          <w:szCs w:val="28"/>
          <w:lang w:eastAsia="fr-FR"/>
        </w:rPr>
        <w:t>Histoire moderne de l’Allemagne et de l’Europe centrale</w:t>
      </w:r>
    </w:p>
    <w:p w14:paraId="39EFE5EA" w14:textId="77777777" w:rsidR="00625379" w:rsidRPr="00672B42" w:rsidRDefault="00625379" w:rsidP="00625379">
      <w:pPr>
        <w:spacing w:after="0" w:line="240" w:lineRule="auto"/>
        <w:jc w:val="both"/>
        <w:rPr>
          <w:rFonts w:ascii="Cambria" w:eastAsia="Times New Roman" w:hAnsi="Cambria"/>
          <w:bCs/>
          <w:kern w:val="0"/>
          <w:sz w:val="28"/>
          <w:szCs w:val="28"/>
          <w:lang w:eastAsia="fr-FR"/>
        </w:rPr>
      </w:pPr>
    </w:p>
    <w:p w14:paraId="435426DD" w14:textId="7936666C" w:rsidR="00625379" w:rsidRPr="00734BC8" w:rsidRDefault="00625379" w:rsidP="00625379">
      <w:pPr>
        <w:spacing w:after="0" w:line="240" w:lineRule="auto"/>
        <w:jc w:val="center"/>
        <w:rPr>
          <w:rFonts w:ascii="Cambria" w:eastAsia="Times New Roman" w:hAnsi="Cambria" w:cs="Times New Roman"/>
          <w:kern w:val="0"/>
          <w:sz w:val="22"/>
          <w:lang w:eastAsia="fr-FR"/>
        </w:rPr>
      </w:pPr>
      <w:r w:rsidRPr="00734BC8">
        <w:rPr>
          <w:rFonts w:ascii="Cambria" w:eastAsia="Times New Roman" w:hAnsi="Cambria" w:cs="Times New Roman"/>
          <w:kern w:val="0"/>
          <w:sz w:val="22"/>
          <w:lang w:eastAsia="fr-FR"/>
        </w:rPr>
        <w:t xml:space="preserve">Christine Lebeau (CM), </w:t>
      </w:r>
      <w:r w:rsidR="0011493D" w:rsidRPr="00734BC8">
        <w:rPr>
          <w:rFonts w:ascii="Cambria" w:eastAsia="Times New Roman" w:hAnsi="Cambria" w:cs="Times New Roman"/>
          <w:kern w:val="0"/>
          <w:sz w:val="22"/>
          <w:lang w:eastAsia="fr-FR"/>
        </w:rPr>
        <w:t>Sébastien Schick</w:t>
      </w:r>
      <w:r w:rsidRPr="00734BC8">
        <w:rPr>
          <w:rFonts w:ascii="Cambria" w:eastAsia="Times New Roman" w:hAnsi="Cambria" w:cs="Times New Roman"/>
          <w:kern w:val="0"/>
          <w:sz w:val="22"/>
          <w:lang w:eastAsia="fr-FR"/>
        </w:rPr>
        <w:t xml:space="preserve"> (TD)</w:t>
      </w:r>
    </w:p>
    <w:p w14:paraId="0E63C0E2" w14:textId="77777777" w:rsidR="00625379" w:rsidRPr="00734BC8" w:rsidRDefault="00625379" w:rsidP="00625379">
      <w:pPr>
        <w:spacing w:after="0" w:line="240" w:lineRule="auto"/>
        <w:jc w:val="both"/>
        <w:rPr>
          <w:rFonts w:ascii="Cambria" w:eastAsia="Times New Roman" w:hAnsi="Cambria" w:cs="Times New Roman"/>
          <w:b w:val="0"/>
          <w:kern w:val="0"/>
          <w:sz w:val="22"/>
          <w:lang w:eastAsia="fr-FR"/>
        </w:rPr>
      </w:pPr>
    </w:p>
    <w:p w14:paraId="23EB545A" w14:textId="3BCC6655" w:rsidR="0090719F" w:rsidRPr="00734BC8" w:rsidRDefault="006E5B90" w:rsidP="00734B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Cambria" w:hAnsi="Cambria" w:cs="Times New Roman"/>
          <w:color w:val="C00000"/>
          <w:sz w:val="22"/>
        </w:rPr>
      </w:pPr>
      <w:r w:rsidRPr="00734BC8">
        <w:rPr>
          <w:rFonts w:ascii="Cambria" w:hAnsi="Cambria" w:cs="Times New Roman"/>
          <w:color w:val="C00000"/>
          <w:sz w:val="22"/>
          <w:u w:val="single"/>
        </w:rPr>
        <w:t>Sujet du cours</w:t>
      </w:r>
      <w:r w:rsidRPr="00734BC8">
        <w:rPr>
          <w:rFonts w:ascii="Cambria" w:hAnsi="Cambria" w:cs="Times New Roman"/>
          <w:color w:val="C00000"/>
          <w:sz w:val="22"/>
        </w:rPr>
        <w:t xml:space="preserve"> : </w:t>
      </w:r>
      <w:r w:rsidR="006B0A92" w:rsidRPr="00734BC8">
        <w:rPr>
          <w:rFonts w:ascii="Cambria" w:hAnsi="Cambria" w:cs="Times New Roman"/>
          <w:color w:val="C00000"/>
          <w:sz w:val="22"/>
        </w:rPr>
        <w:t>Histoires d’empires en Europe (</w:t>
      </w:r>
      <w:r w:rsidR="00344F7A" w:rsidRPr="00734BC8">
        <w:rPr>
          <w:rFonts w:ascii="Cambria" w:hAnsi="Cambria" w:cs="Times New Roman"/>
          <w:color w:val="C00000"/>
          <w:sz w:val="22"/>
        </w:rPr>
        <w:t xml:space="preserve">début </w:t>
      </w:r>
      <w:r w:rsidR="006B0A92" w:rsidRPr="00734BC8">
        <w:rPr>
          <w:rFonts w:ascii="Cambria" w:hAnsi="Cambria" w:cs="Times New Roman"/>
          <w:color w:val="C00000"/>
          <w:sz w:val="22"/>
        </w:rPr>
        <w:t>XVIIe-</w:t>
      </w:r>
      <w:r w:rsidR="00344F7A" w:rsidRPr="00734BC8">
        <w:rPr>
          <w:rFonts w:ascii="Cambria" w:hAnsi="Cambria" w:cs="Times New Roman"/>
          <w:color w:val="C00000"/>
          <w:sz w:val="22"/>
        </w:rPr>
        <w:t xml:space="preserve">milieu </w:t>
      </w:r>
      <w:r w:rsidR="006B0A92" w:rsidRPr="00734BC8">
        <w:rPr>
          <w:rFonts w:ascii="Cambria" w:hAnsi="Cambria" w:cs="Times New Roman"/>
          <w:color w:val="C00000"/>
          <w:sz w:val="22"/>
        </w:rPr>
        <w:t>X</w:t>
      </w:r>
      <w:r w:rsidR="00427C33" w:rsidRPr="00734BC8">
        <w:rPr>
          <w:rFonts w:ascii="Cambria" w:hAnsi="Cambria" w:cs="Times New Roman"/>
          <w:color w:val="C00000"/>
          <w:sz w:val="22"/>
        </w:rPr>
        <w:t>IX</w:t>
      </w:r>
      <w:r w:rsidR="006B0A92" w:rsidRPr="00734BC8">
        <w:rPr>
          <w:rFonts w:ascii="Cambria" w:hAnsi="Cambria" w:cs="Times New Roman"/>
          <w:color w:val="C00000"/>
          <w:sz w:val="22"/>
        </w:rPr>
        <w:t xml:space="preserve">e siècles) </w:t>
      </w:r>
    </w:p>
    <w:p w14:paraId="3CDC247F" w14:textId="77777777" w:rsidR="00903705" w:rsidRPr="00734BC8" w:rsidRDefault="00903705" w:rsidP="00B712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Cambria" w:hAnsi="Cambria" w:cs="Times New Roman"/>
          <w:color w:val="C00000"/>
          <w:sz w:val="22"/>
        </w:rPr>
      </w:pPr>
    </w:p>
    <w:p w14:paraId="160FC7A8"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A l’époque moderne, l’empire est d’abord autorité souveraine (le roi de France est « empereur en son royaume ») et ne peut être limité aux formes extra-européennes de domination. Le cours portera sur les formes de la domination politique, sociale et culturelle au croisement des empires (Saint-Empire, Empire des Habsbourg, empire ottoman) dans un espace qui aujourd’hui correspond à treize États européens. </w:t>
      </w:r>
    </w:p>
    <w:p w14:paraId="766B2C07"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2C855067" w14:textId="763096E2" w:rsidR="006E5B90"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color w:val="C00000"/>
          <w:sz w:val="22"/>
        </w:rPr>
      </w:pPr>
      <w:r w:rsidRPr="00734BC8">
        <w:rPr>
          <w:rFonts w:ascii="Cambria" w:hAnsi="Cambria" w:cs="Times New Roman"/>
          <w:color w:val="C00000"/>
          <w:sz w:val="22"/>
          <w:u w:val="single"/>
        </w:rPr>
        <w:t>Semestre 1</w:t>
      </w:r>
      <w:r w:rsidR="00AA586F" w:rsidRPr="00734BC8">
        <w:rPr>
          <w:rFonts w:ascii="Cambria" w:hAnsi="Cambria" w:cs="Times New Roman"/>
          <w:color w:val="C00000"/>
          <w:sz w:val="22"/>
        </w:rPr>
        <w:t> :</w:t>
      </w:r>
      <w:r w:rsidR="00114B79" w:rsidRPr="00734BC8">
        <w:rPr>
          <w:rFonts w:ascii="Cambria" w:hAnsi="Cambria" w:cs="Times New Roman"/>
          <w:color w:val="C00000"/>
          <w:sz w:val="22"/>
        </w:rPr>
        <w:t xml:space="preserve"> L’Empire des religions ?</w:t>
      </w:r>
    </w:p>
    <w:p w14:paraId="0441D629" w14:textId="77777777" w:rsidR="00114B79" w:rsidRPr="00734BC8" w:rsidRDefault="00114B79" w:rsidP="009F5C0D">
      <w:pPr>
        <w:pStyle w:val="p1"/>
        <w:ind w:left="0" w:firstLine="0"/>
        <w:jc w:val="both"/>
        <w:rPr>
          <w:rFonts w:ascii="Cambria" w:hAnsi="Cambria"/>
          <w:sz w:val="22"/>
          <w:szCs w:val="22"/>
        </w:rPr>
      </w:pPr>
      <w:r w:rsidRPr="00734BC8">
        <w:rPr>
          <w:rFonts w:ascii="Cambria" w:hAnsi="Cambria"/>
          <w:sz w:val="22"/>
          <w:szCs w:val="22"/>
        </w:rPr>
        <w:t xml:space="preserve">Le Saint-Empire romain germanique à l’époque moderne est, avec les Cantons suisses, l’espace politique européen qui, le plus tôt, a établi une coexistence religieuse, non pas une tolérance, ni un privilège </w:t>
      </w:r>
      <w:r w:rsidRPr="00734BC8">
        <w:rPr>
          <w:rStyle w:val="s1"/>
          <w:rFonts w:ascii="Cambria" w:hAnsi="Cambria"/>
          <w:sz w:val="22"/>
          <w:szCs w:val="22"/>
        </w:rPr>
        <w:t xml:space="preserve">accordé à une minorité religieuse, mais un ordre juridique fondé sur la parité </w:t>
      </w:r>
      <w:r w:rsidRPr="00734BC8">
        <w:rPr>
          <w:rFonts w:ascii="Cambria" w:hAnsi="Cambria"/>
          <w:sz w:val="22"/>
          <w:szCs w:val="22"/>
        </w:rPr>
        <w:t>en droit du catholicisme et du protestantisme qui continuait par conséquent d’exclure d’autres formes « hérétiques » de christianisme, telles que le hussitisme ou l’anabaptisme, ou d’autres religions comme le judaïsme ou la religion musulmane.</w:t>
      </w:r>
      <w:r w:rsidRPr="00734BC8">
        <w:rPr>
          <w:rStyle w:val="apple-converted-space"/>
          <w:rFonts w:ascii="Cambria" w:hAnsi="Cambria"/>
          <w:sz w:val="22"/>
          <w:szCs w:val="22"/>
        </w:rPr>
        <w:t xml:space="preserve"> Le cours s’attachera à étudier les implications politiques, sociales et culturelles de choix religieux, formulés mais aussi renouvelés et adaptés par des acteurs multiples, entre les XVIe et XVIIIe siècles, aussi bien dans le Saint-Empire que dans une partie de l’Europe centrale (« États de l’empereur »).   </w:t>
      </w:r>
      <w:r w:rsidRPr="00734BC8">
        <w:rPr>
          <w:rFonts w:ascii="Cambria" w:hAnsi="Cambria"/>
          <w:sz w:val="22"/>
          <w:szCs w:val="22"/>
        </w:rPr>
        <w:t xml:space="preserve">  </w:t>
      </w:r>
    </w:p>
    <w:p w14:paraId="73039540"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3570E75C" w14:textId="77777777" w:rsidR="006E5B90"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color w:val="C00000"/>
          <w:sz w:val="22"/>
        </w:rPr>
      </w:pPr>
      <w:r w:rsidRPr="00734BC8">
        <w:rPr>
          <w:rFonts w:ascii="Cambria" w:hAnsi="Cambria" w:cs="Times New Roman"/>
          <w:color w:val="C00000"/>
          <w:sz w:val="22"/>
          <w:u w:val="single"/>
        </w:rPr>
        <w:t>Semestre 2</w:t>
      </w:r>
      <w:r w:rsidR="00AA586F" w:rsidRPr="00734BC8">
        <w:rPr>
          <w:rFonts w:ascii="Cambria" w:hAnsi="Cambria" w:cs="Times New Roman"/>
          <w:color w:val="C00000"/>
          <w:sz w:val="22"/>
        </w:rPr>
        <w:t> :</w:t>
      </w:r>
      <w:r w:rsidRPr="00734BC8">
        <w:rPr>
          <w:rFonts w:ascii="Cambria" w:hAnsi="Cambria" w:cs="Times New Roman"/>
          <w:color w:val="C00000"/>
          <w:sz w:val="22"/>
        </w:rPr>
        <w:t xml:space="preserve"> Histoires de frontières</w:t>
      </w:r>
      <w:r w:rsidRPr="00734BC8">
        <w:rPr>
          <w:rFonts w:ascii="Cambria" w:hAnsi="Cambria" w:cs="Times New Roman"/>
          <w:b w:val="0"/>
          <w:color w:val="C00000"/>
          <w:sz w:val="22"/>
        </w:rPr>
        <w:t xml:space="preserve"> </w:t>
      </w:r>
      <w:r w:rsidRPr="00734BC8">
        <w:rPr>
          <w:rFonts w:ascii="Cambria" w:hAnsi="Cambria" w:cs="Times New Roman"/>
          <w:bCs/>
          <w:color w:val="C00000"/>
          <w:sz w:val="22"/>
        </w:rPr>
        <w:t>(Saint-Empire, Monarchie des Habsbourg, empire ottoman 1699-1774)</w:t>
      </w:r>
      <w:r w:rsidRPr="00734BC8">
        <w:rPr>
          <w:rFonts w:ascii="Cambria" w:hAnsi="Cambria" w:cs="Times New Roman"/>
          <w:b w:val="0"/>
          <w:color w:val="C00000"/>
          <w:sz w:val="22"/>
        </w:rPr>
        <w:t xml:space="preserve"> </w:t>
      </w:r>
    </w:p>
    <w:p w14:paraId="0BA8EB64" w14:textId="77777777" w:rsidR="00235C7C" w:rsidRPr="00734BC8" w:rsidRDefault="006B0A92" w:rsidP="009F5C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L’actuelle crise des réfugiés nous rappelle que l’Europe moderne est un espace complexe traversé de multiples frontières, comme si des murs </w:t>
      </w:r>
    </w:p>
    <w:p w14:paraId="44C66A51" w14:textId="77777777" w:rsidR="00235C7C" w:rsidRPr="00734BC8" w:rsidRDefault="00235C7C"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560"/>
        <w:jc w:val="both"/>
        <w:rPr>
          <w:rFonts w:ascii="Cambria" w:hAnsi="Cambria" w:cs="Times New Roman"/>
          <w:b w:val="0"/>
          <w:sz w:val="22"/>
        </w:rPr>
      </w:pPr>
    </w:p>
    <w:p w14:paraId="384BC1D4" w14:textId="77777777" w:rsidR="00235C7C" w:rsidRPr="00734BC8" w:rsidRDefault="00235C7C"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560"/>
        <w:jc w:val="both"/>
        <w:rPr>
          <w:rFonts w:ascii="Cambria" w:hAnsi="Cambria" w:cs="Times New Roman"/>
          <w:b w:val="0"/>
          <w:sz w:val="22"/>
        </w:rPr>
      </w:pPr>
    </w:p>
    <w:p w14:paraId="6B81B66D" w14:textId="0AE96EC9" w:rsidR="0090719F" w:rsidRPr="00734BC8" w:rsidRDefault="006B0A92" w:rsidP="009F5C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devaient encore et toujours être érigés en son centre. Ces frontières sont à la fois des barrières et des zones de contact qui changent aussi de nature à l’époque moderne avec l’affirmation de l’État et la définition des nations qui remettent en question les diversités impériales. Le cours s’intéressera aux multiples expressions et pratiques de la frontière qui, au-delà de l’affirmation des dominations politiques, constitue autant d’espaces sociaux, religieux et culturels originaux dont les définitions et significations varient suivant les acteurs. On s’appuiera sur des cas emblématiques entre Rhin et Danube, entre Chrétienté et Islam, pour étudier finalement le fonctionnement des sociétés d’Ancien Régime à partir des mécanismes d’inclusion et d’exclusion. </w:t>
      </w:r>
    </w:p>
    <w:p w14:paraId="6A406F4D"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44FAD8FB" w14:textId="426957BE"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sz w:val="22"/>
        </w:rPr>
        <w:t>Bibliographie</w:t>
      </w:r>
      <w:r w:rsidR="008B11A9" w:rsidRPr="00734BC8">
        <w:rPr>
          <w:rFonts w:ascii="Cambria" w:hAnsi="Cambria" w:cs="Times New Roman"/>
          <w:sz w:val="22"/>
        </w:rPr>
        <w:t xml:space="preserve"> </w:t>
      </w:r>
      <w:r w:rsidR="00471BD8" w:rsidRPr="00734BC8">
        <w:rPr>
          <w:rFonts w:ascii="Cambria" w:hAnsi="Cambria" w:cs="Times New Roman"/>
          <w:sz w:val="22"/>
        </w:rPr>
        <w:t>générale</w:t>
      </w:r>
      <w:r w:rsidR="00471BD8" w:rsidRPr="00734BC8">
        <w:rPr>
          <w:rFonts w:ascii="Cambria" w:hAnsi="Cambria" w:cs="Times New Roman"/>
          <w:b w:val="0"/>
          <w:sz w:val="22"/>
        </w:rPr>
        <w:t xml:space="preserve"> :</w:t>
      </w:r>
      <w:r w:rsidRPr="00734BC8">
        <w:rPr>
          <w:rFonts w:ascii="Cambria" w:hAnsi="Cambria" w:cs="Times New Roman"/>
          <w:b w:val="0"/>
          <w:sz w:val="22"/>
        </w:rPr>
        <w:t xml:space="preserve"> </w:t>
      </w:r>
    </w:p>
    <w:p w14:paraId="6C7CC67C" w14:textId="695545B2" w:rsidR="00114B79" w:rsidRPr="00734BC8" w:rsidRDefault="006B0A92"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rPr>
      </w:pPr>
      <w:r w:rsidRPr="00734BC8">
        <w:rPr>
          <w:rFonts w:ascii="Cambria" w:hAnsi="Cambria" w:cs="Times New Roman"/>
          <w:sz w:val="22"/>
        </w:rPr>
        <w:t xml:space="preserve">Semestre 1 </w:t>
      </w:r>
    </w:p>
    <w:p w14:paraId="09D7801B" w14:textId="77777777" w:rsidR="00114B79" w:rsidRPr="00734BC8" w:rsidRDefault="00114B79" w:rsidP="00114B79">
      <w:pPr>
        <w:jc w:val="both"/>
        <w:rPr>
          <w:rFonts w:ascii="Cambria" w:hAnsi="Cambria"/>
          <w:b w:val="0"/>
          <w:bCs/>
          <w:sz w:val="22"/>
        </w:rPr>
      </w:pPr>
      <w:r w:rsidRPr="00734BC8">
        <w:rPr>
          <w:rFonts w:ascii="Cambria" w:hAnsi="Cambria"/>
          <w:b w:val="0"/>
          <w:bCs/>
          <w:sz w:val="22"/>
        </w:rPr>
        <w:t xml:space="preserve">CHAUNU Pierre, </w:t>
      </w:r>
      <w:r w:rsidRPr="00734BC8">
        <w:rPr>
          <w:rFonts w:ascii="Cambria" w:hAnsi="Cambria"/>
          <w:b w:val="0"/>
          <w:bCs/>
          <w:i/>
          <w:iCs/>
          <w:sz w:val="22"/>
        </w:rPr>
        <w:t>Le temps des Réformes. Histoire religieuse et système de civilisation. La crise de la chrétienté. L'éclatement (1250-1550),</w:t>
      </w:r>
      <w:r w:rsidRPr="00734BC8">
        <w:rPr>
          <w:rFonts w:ascii="Cambria" w:hAnsi="Cambria"/>
          <w:b w:val="0"/>
          <w:bCs/>
          <w:sz w:val="22"/>
        </w:rPr>
        <w:t xml:space="preserve"> rééd. Paris, 2003.</w:t>
      </w:r>
    </w:p>
    <w:p w14:paraId="2B5A456E" w14:textId="77777777" w:rsidR="00114B79" w:rsidRPr="00734BC8" w:rsidRDefault="00114B79" w:rsidP="00114B79">
      <w:pPr>
        <w:widowControl w:val="0"/>
        <w:autoSpaceDE w:val="0"/>
        <w:autoSpaceDN w:val="0"/>
        <w:adjustRightInd w:val="0"/>
        <w:jc w:val="both"/>
        <w:rPr>
          <w:rFonts w:ascii="Cambria" w:hAnsi="Cambria"/>
          <w:b w:val="0"/>
          <w:bCs/>
          <w:sz w:val="22"/>
          <w:lang w:val="de-DE" w:eastAsia="de-DE"/>
        </w:rPr>
      </w:pPr>
      <w:r w:rsidRPr="00734BC8">
        <w:rPr>
          <w:rFonts w:ascii="Cambria" w:hAnsi="Cambria"/>
          <w:b w:val="0"/>
          <w:bCs/>
          <w:sz w:val="22"/>
          <w:lang w:val="de-DE" w:eastAsia="de-DE"/>
        </w:rPr>
        <w:t xml:space="preserve">EVANS, R.J.W., </w:t>
      </w:r>
      <w:r w:rsidRPr="00734BC8">
        <w:rPr>
          <w:rFonts w:ascii="Cambria" w:hAnsi="Cambria"/>
          <w:b w:val="0"/>
          <w:bCs/>
          <w:i/>
          <w:sz w:val="22"/>
          <w:lang w:val="de-DE" w:eastAsia="de-DE"/>
        </w:rPr>
        <w:t>The Making of the Habsburg Monarchy, 1550-1700 : an Interpretation</w:t>
      </w:r>
      <w:r w:rsidRPr="00734BC8">
        <w:rPr>
          <w:rFonts w:ascii="Cambria" w:hAnsi="Cambria"/>
          <w:b w:val="0"/>
          <w:bCs/>
          <w:sz w:val="22"/>
          <w:lang w:val="de-DE" w:eastAsia="de-DE"/>
        </w:rPr>
        <w:t>, Oxford, 1979.</w:t>
      </w:r>
    </w:p>
    <w:p w14:paraId="41265A96" w14:textId="77777777" w:rsidR="00114B79" w:rsidRPr="00734BC8" w:rsidRDefault="00114B79" w:rsidP="00114B79">
      <w:pPr>
        <w:jc w:val="both"/>
        <w:rPr>
          <w:rFonts w:ascii="Cambria" w:hAnsi="Cambria"/>
          <w:b w:val="0"/>
          <w:bCs/>
          <w:sz w:val="22"/>
        </w:rPr>
      </w:pPr>
      <w:r w:rsidRPr="00734BC8">
        <w:rPr>
          <w:rFonts w:ascii="Cambria" w:hAnsi="Cambria"/>
          <w:b w:val="0"/>
          <w:bCs/>
          <w:sz w:val="22"/>
        </w:rPr>
        <w:t xml:space="preserve">GANTET Claire, LEBEAU Christine, </w:t>
      </w:r>
      <w:r w:rsidRPr="00734BC8">
        <w:rPr>
          <w:rFonts w:ascii="Cambria" w:hAnsi="Cambria"/>
          <w:b w:val="0"/>
          <w:bCs/>
          <w:i/>
          <w:sz w:val="22"/>
        </w:rPr>
        <w:t>Le Saint-Empire, 1500-1800</w:t>
      </w:r>
      <w:r w:rsidRPr="00734BC8">
        <w:rPr>
          <w:rFonts w:ascii="Cambria" w:hAnsi="Cambria"/>
          <w:b w:val="0"/>
          <w:bCs/>
          <w:sz w:val="22"/>
        </w:rPr>
        <w:t>, Paris, Armand Colin, 2018.</w:t>
      </w:r>
    </w:p>
    <w:p w14:paraId="776E0D39" w14:textId="77777777" w:rsidR="00114B79" w:rsidRPr="00734BC8" w:rsidRDefault="00114B79" w:rsidP="00114B79">
      <w:pPr>
        <w:jc w:val="both"/>
        <w:rPr>
          <w:rFonts w:ascii="Cambria" w:hAnsi="Cambria"/>
          <w:b w:val="0"/>
          <w:bCs/>
          <w:color w:val="202122"/>
          <w:sz w:val="22"/>
          <w:shd w:val="clear" w:color="auto" w:fill="FFFFFF"/>
          <w:lang w:val="en-US"/>
        </w:rPr>
      </w:pPr>
      <w:r w:rsidRPr="00734BC8">
        <w:rPr>
          <w:rFonts w:ascii="Cambria" w:hAnsi="Cambria"/>
          <w:b w:val="0"/>
          <w:bCs/>
          <w:color w:val="212529"/>
          <w:sz w:val="22"/>
          <w:shd w:val="clear" w:color="auto" w:fill="F4F4F4"/>
          <w:lang w:val="en-US"/>
        </w:rPr>
        <w:t xml:space="preserve">ISRAEL Jonathan, </w:t>
      </w:r>
      <w:hyperlink r:id="rId22" w:history="1">
        <w:r w:rsidRPr="00734BC8">
          <w:rPr>
            <w:rStyle w:val="Lienhypertexte"/>
            <w:rFonts w:ascii="Cambria" w:hAnsi="Cambria"/>
            <w:b w:val="0"/>
            <w:bCs/>
            <w:i/>
            <w:iCs/>
            <w:sz w:val="22"/>
            <w:lang w:val="en-US"/>
          </w:rPr>
          <w:t>Radical Enlightenment: Philosophy and the Making of Modernity, 1650–1750</w:t>
        </w:r>
      </w:hyperlink>
      <w:r w:rsidRPr="00734BC8">
        <w:rPr>
          <w:rFonts w:ascii="Cambria" w:hAnsi="Cambria"/>
          <w:b w:val="0"/>
          <w:bCs/>
          <w:color w:val="202122"/>
          <w:sz w:val="22"/>
          <w:shd w:val="clear" w:color="auto" w:fill="FFFFFF"/>
          <w:lang w:val="en-US"/>
        </w:rPr>
        <w:t>, 2001.</w:t>
      </w:r>
    </w:p>
    <w:p w14:paraId="53FE30A7" w14:textId="77777777" w:rsidR="00114B79" w:rsidRPr="00734BC8" w:rsidRDefault="00114B79" w:rsidP="00114B79">
      <w:pPr>
        <w:widowControl w:val="0"/>
        <w:autoSpaceDE w:val="0"/>
        <w:autoSpaceDN w:val="0"/>
        <w:adjustRightInd w:val="0"/>
        <w:jc w:val="both"/>
        <w:rPr>
          <w:rFonts w:ascii="Cambria" w:hAnsi="Cambria"/>
          <w:b w:val="0"/>
          <w:bCs/>
          <w:sz w:val="22"/>
          <w:lang w:val="de-DE" w:eastAsia="de-DE"/>
        </w:rPr>
      </w:pPr>
      <w:r w:rsidRPr="00734BC8">
        <w:rPr>
          <w:rFonts w:ascii="Cambria" w:hAnsi="Cambria"/>
          <w:b w:val="0"/>
          <w:bCs/>
          <w:sz w:val="22"/>
          <w:lang w:val="de-DE" w:eastAsia="de-DE"/>
        </w:rPr>
        <w:t xml:space="preserve">STOLLBERG-RILINGER Barbara, </w:t>
      </w:r>
      <w:r w:rsidRPr="00734BC8">
        <w:rPr>
          <w:rFonts w:ascii="Cambria" w:hAnsi="Cambria"/>
          <w:b w:val="0"/>
          <w:bCs/>
          <w:i/>
          <w:iCs/>
          <w:sz w:val="22"/>
          <w:lang w:val="de-DE" w:eastAsia="de-DE"/>
        </w:rPr>
        <w:t>Le Saint Empire romain germanique. De la fin du Moyen-Âge à 1806</w:t>
      </w:r>
      <w:r w:rsidRPr="00734BC8">
        <w:rPr>
          <w:rFonts w:ascii="Cambria" w:hAnsi="Cambria"/>
          <w:b w:val="0"/>
          <w:bCs/>
          <w:sz w:val="22"/>
          <w:lang w:val="de-DE" w:eastAsia="de-DE"/>
        </w:rPr>
        <w:t>, Paris, Passés composés, 2024.</w:t>
      </w:r>
    </w:p>
    <w:p w14:paraId="35A1F5A8" w14:textId="77777777" w:rsidR="0010279A" w:rsidRPr="00734BC8" w:rsidRDefault="0010279A"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lang w:val="de-DE"/>
        </w:rPr>
      </w:pPr>
    </w:p>
    <w:p w14:paraId="6E2AFB09" w14:textId="46012980"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rPr>
      </w:pPr>
      <w:r w:rsidRPr="00734BC8">
        <w:rPr>
          <w:rFonts w:ascii="Cambria" w:hAnsi="Cambria" w:cs="Times New Roman"/>
          <w:sz w:val="22"/>
        </w:rPr>
        <w:t xml:space="preserve">Semestre 2 </w:t>
      </w:r>
    </w:p>
    <w:p w14:paraId="01ED89AD"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ÁGOSTON, Gábor -"La frontière militaire ottomane en Hongrie", in : Histoire, économie et société 35.3 (2015), p. 36–53.</w:t>
      </w:r>
    </w:p>
    <w:p w14:paraId="10C759A3"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lang w:val="en-US"/>
        </w:rPr>
      </w:pPr>
      <w:r w:rsidRPr="00734BC8">
        <w:rPr>
          <w:rFonts w:ascii="Cambria" w:hAnsi="Cambria" w:cs="Times New Roman"/>
          <w:b w:val="0"/>
          <w:sz w:val="22"/>
        </w:rPr>
        <w:t xml:space="preserve"> </w:t>
      </w:r>
      <w:r w:rsidRPr="00734BC8">
        <w:rPr>
          <w:rFonts w:ascii="Cambria" w:hAnsi="Cambria" w:cs="Times New Roman"/>
          <w:b w:val="0"/>
          <w:sz w:val="22"/>
          <w:lang w:val="en-US"/>
        </w:rPr>
        <w:t xml:space="preserve">- « A Flexible Empire : Authority and its Limits on the Ottoman Frontieres », in : Ottoman Borderlands. Issues, Personalities and Political Changes, Kemal Karpat et Robert W. Zens, Madison/Wisc. 2003, p. 15-29. </w:t>
      </w:r>
    </w:p>
    <w:p w14:paraId="4AC68700"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CERUTTI Simona, Étrangers. Étude d’une condition d’incertitude dans une société d’Ancien Régime, Paris, 2012. </w:t>
      </w:r>
    </w:p>
    <w:p w14:paraId="3D35F21A"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DO PAÇO David, L’Orient à Vienne au XVIIIe siècle, Oxford, 2015. </w:t>
      </w:r>
    </w:p>
    <w:p w14:paraId="5995A6E3"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 « Le fantôme de la frontière hongroise », in : La Vie des idées, 2015, </w:t>
      </w:r>
      <w:hyperlink r:id="rId23" w:history="1">
        <w:r w:rsidR="0090719F" w:rsidRPr="00734BC8">
          <w:rPr>
            <w:rStyle w:val="Lienhypertexte"/>
            <w:rFonts w:ascii="Cambria" w:hAnsi="Cambria" w:cs="Times New Roman"/>
            <w:b w:val="0"/>
            <w:sz w:val="22"/>
          </w:rPr>
          <w:t>http://www.laviedesidees.fr/Le-fantome-de-la-frontiere-hongroise.html</w:t>
        </w:r>
      </w:hyperlink>
      <w:r w:rsidRPr="00734BC8">
        <w:rPr>
          <w:rFonts w:ascii="Cambria" w:hAnsi="Cambria" w:cs="Times New Roman"/>
          <w:b w:val="0"/>
          <w:sz w:val="22"/>
        </w:rPr>
        <w:t xml:space="preserve">. </w:t>
      </w:r>
    </w:p>
    <w:p w14:paraId="5D302B54"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FEBVRE Lucien, « Frontière : étude de vocabulaire historique », Bulletin du Centre international de synthèse, n° 5, p. 31-44, in Revue de synthèse historique, juin 1928. </w:t>
      </w:r>
    </w:p>
    <w:p w14:paraId="1BFB1FB1"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FRANÇOIS Étienne, Protestants et catholiques. Identités et pluralisme à Augsbourg 1648-1806, Paris, 1993. </w:t>
      </w:r>
    </w:p>
    <w:p w14:paraId="0BFB8B8A"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GANTET Claire, LEBEAU Christine, Le Saint-Empire, 1500-1800, Paris, 2018. NORDMAN Daniel, Frontières de France. De l’espace au territoire, XVIe-XIXe siècles, Paris, 1999. </w:t>
      </w:r>
    </w:p>
    <w:p w14:paraId="4C24F67D"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SAHLINS Peter, Frontières et identités nationales. La France et l'Espagne dans les Pyrénées depuis le XVIIème siècle, Paris, 1996. </w:t>
      </w:r>
    </w:p>
    <w:p w14:paraId="4110EC95" w14:textId="77777777" w:rsidR="008E42C8"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i/>
          <w:color w:val="C00000"/>
          <w:sz w:val="22"/>
          <w:lang w:eastAsia="fr-FR"/>
        </w:rPr>
      </w:pPr>
      <w:r w:rsidRPr="00734BC8">
        <w:rPr>
          <w:rFonts w:ascii="Cambria" w:hAnsi="Cambria" w:cs="Times New Roman"/>
          <w:b w:val="0"/>
          <w:sz w:val="22"/>
        </w:rPr>
        <w:t>SONKAJÄRVI Hanna, Qu’est-ce qu’un étranger ? Frontières et identifications à Strasbourg (1681-1789), Strasbourg, Presses Universitaires de Strasbourg, 2008</w:t>
      </w:r>
    </w:p>
    <w:p w14:paraId="4150DB6F" w14:textId="77777777" w:rsidR="009A7FD8" w:rsidRPr="00734BC8" w:rsidRDefault="009A7FD8"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color w:val="C00000"/>
          <w:sz w:val="22"/>
          <w:lang w:eastAsia="fr-FR"/>
        </w:rPr>
      </w:pPr>
    </w:p>
    <w:p w14:paraId="55FEF9DB" w14:textId="77777777" w:rsidR="009A7FD8" w:rsidRPr="00734BC8" w:rsidRDefault="009A7FD8"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2"/>
          <w:lang w:eastAsia="fr-FR"/>
        </w:rPr>
      </w:pPr>
    </w:p>
    <w:p w14:paraId="31C419CE" w14:textId="77777777" w:rsidR="0090719F" w:rsidRPr="00734BC8"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lang w:eastAsia="fr-FR"/>
        </w:rPr>
      </w:pPr>
    </w:p>
    <w:p w14:paraId="4B1EC61B" w14:textId="77777777" w:rsidR="0090719F" w:rsidRPr="00734BC8"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lang w:eastAsia="fr-FR"/>
        </w:rPr>
      </w:pPr>
    </w:p>
    <w:p w14:paraId="76A2E494"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227FBBF"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2F1C38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FE5DBAA"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029049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0A2DE9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343163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FB8D688"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10B1E6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29A777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AE6CBF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32C204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EDFBB5C"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823714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2BE1EEA"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2B4DA97"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F3295B1"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2A5820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27A9232"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3477CD3"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88CA3D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6753163"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8F4801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6E336D2"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5BAD3C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B5C648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28A191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6F247A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7B47F08"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27A1ED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FCE14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D5B918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CEB9481"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A763EFE" w14:textId="77777777" w:rsidR="00322EF1" w:rsidRPr="00672B42" w:rsidRDefault="00322EF1"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489C36CB"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06FC9EE6"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D1D3438"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3C96ECA"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AC96D2D"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5310DBB" w14:textId="77777777" w:rsidR="002455A3" w:rsidRDefault="002455A3"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7760EDC" w14:textId="77777777" w:rsidR="00734BC8" w:rsidRPr="00672B42" w:rsidRDefault="00734BC8"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A309388" w14:textId="77777777" w:rsidR="002455A3" w:rsidRPr="00672B42" w:rsidRDefault="002455A3"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55B6075" w14:textId="4BD62BA5" w:rsidR="009D0264" w:rsidRPr="00672B42" w:rsidRDefault="00FC7984"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672B42">
        <w:rPr>
          <w:rFonts w:ascii="Cambria" w:hAnsi="Cambria"/>
          <w:i/>
          <w:color w:val="C00000"/>
          <w:sz w:val="28"/>
          <w:szCs w:val="28"/>
          <w:lang w:eastAsia="fr-FR"/>
        </w:rPr>
        <w:t>J3031919</w:t>
      </w:r>
      <w:r w:rsidR="009D0264" w:rsidRPr="00672B42">
        <w:rPr>
          <w:rFonts w:ascii="Cambria" w:hAnsi="Cambria"/>
          <w:i/>
          <w:color w:val="C00000"/>
          <w:sz w:val="28"/>
          <w:szCs w:val="28"/>
          <w:lang w:eastAsia="fr-FR"/>
        </w:rPr>
        <w:t>/</w:t>
      </w:r>
      <w:r w:rsidR="00AB5FE6" w:rsidRPr="00672B42">
        <w:rPr>
          <w:rFonts w:ascii="Cambria" w:hAnsi="Cambria"/>
          <w:i/>
          <w:color w:val="C00000"/>
          <w:sz w:val="28"/>
          <w:szCs w:val="28"/>
          <w:lang w:eastAsia="fr-FR"/>
        </w:rPr>
        <w:t>J30</w:t>
      </w:r>
      <w:r w:rsidR="00A520C8" w:rsidRPr="00672B42">
        <w:rPr>
          <w:rFonts w:ascii="Cambria" w:hAnsi="Cambria"/>
          <w:i/>
          <w:color w:val="C00000"/>
          <w:sz w:val="28"/>
          <w:szCs w:val="28"/>
          <w:lang w:eastAsia="fr-FR"/>
        </w:rPr>
        <w:t>32</w:t>
      </w:r>
      <w:r w:rsidR="006D386F" w:rsidRPr="00672B42">
        <w:rPr>
          <w:rFonts w:ascii="Cambria" w:hAnsi="Cambria"/>
          <w:i/>
          <w:color w:val="C00000"/>
          <w:sz w:val="28"/>
          <w:szCs w:val="28"/>
          <w:lang w:eastAsia="fr-FR"/>
        </w:rPr>
        <w:t>0</w:t>
      </w:r>
      <w:r w:rsidR="00A520C8" w:rsidRPr="00672B42">
        <w:rPr>
          <w:rFonts w:ascii="Cambria" w:hAnsi="Cambria"/>
          <w:i/>
          <w:color w:val="C00000"/>
          <w:sz w:val="28"/>
          <w:szCs w:val="28"/>
          <w:lang w:eastAsia="fr-FR"/>
        </w:rPr>
        <w:t>19</w:t>
      </w:r>
      <w:r w:rsidR="009D0264" w:rsidRPr="00672B42">
        <w:rPr>
          <w:rFonts w:ascii="Cambria" w:hAnsi="Cambria"/>
          <w:i/>
          <w:color w:val="C00000"/>
          <w:sz w:val="28"/>
          <w:szCs w:val="28"/>
          <w:lang w:eastAsia="fr-FR"/>
        </w:rPr>
        <w:t xml:space="preserve"> : Renaissance, Humanisme, Réforme</w:t>
      </w:r>
    </w:p>
    <w:p w14:paraId="6D90153C"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2"/>
        </w:rPr>
      </w:pPr>
    </w:p>
    <w:p w14:paraId="4B8B897F" w14:textId="44B28B44" w:rsidR="009D0264" w:rsidRPr="00672B42" w:rsidRDefault="00FC5267"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672B42">
        <w:rPr>
          <w:rFonts w:ascii="Cambria" w:hAnsi="Cambria" w:cs="Times New Roman"/>
          <w:sz w:val="22"/>
        </w:rPr>
        <w:t>Oury Goldman (</w:t>
      </w:r>
      <w:r w:rsidR="00067D41" w:rsidRPr="00672B42">
        <w:rPr>
          <w:rFonts w:ascii="Cambria" w:hAnsi="Cambria" w:cs="Times New Roman"/>
          <w:sz w:val="22"/>
        </w:rPr>
        <w:t>CM</w:t>
      </w:r>
      <w:r w:rsidR="003D7B43" w:rsidRPr="00672B42">
        <w:rPr>
          <w:rFonts w:ascii="Cambria" w:hAnsi="Cambria" w:cs="Times New Roman"/>
          <w:sz w:val="22"/>
        </w:rPr>
        <w:t xml:space="preserve"> S1</w:t>
      </w:r>
      <w:r w:rsidR="00067D41" w:rsidRPr="00672B42">
        <w:rPr>
          <w:rFonts w:ascii="Cambria" w:hAnsi="Cambria" w:cs="Times New Roman"/>
          <w:sz w:val="22"/>
        </w:rPr>
        <w:t>/</w:t>
      </w:r>
      <w:r w:rsidRPr="00672B42">
        <w:rPr>
          <w:rFonts w:ascii="Cambria" w:hAnsi="Cambria" w:cs="Times New Roman"/>
          <w:sz w:val="22"/>
        </w:rPr>
        <w:t>TD</w:t>
      </w:r>
      <w:r w:rsidR="00067D41" w:rsidRPr="00672B42">
        <w:rPr>
          <w:rFonts w:ascii="Cambria" w:hAnsi="Cambria" w:cs="Times New Roman"/>
          <w:sz w:val="22"/>
        </w:rPr>
        <w:t xml:space="preserve"> S1</w:t>
      </w:r>
      <w:r w:rsidR="003D7B43" w:rsidRPr="00672B42">
        <w:rPr>
          <w:rFonts w:ascii="Cambria" w:hAnsi="Cambria" w:cs="Times New Roman"/>
          <w:sz w:val="22"/>
        </w:rPr>
        <w:t>et S2</w:t>
      </w:r>
      <w:r w:rsidRPr="00672B42">
        <w:rPr>
          <w:rFonts w:ascii="Cambria" w:hAnsi="Cambria" w:cs="Times New Roman"/>
          <w:sz w:val="22"/>
        </w:rPr>
        <w:t>)</w:t>
      </w:r>
      <w:r w:rsidR="00067D41" w:rsidRPr="00672B42">
        <w:rPr>
          <w:rFonts w:ascii="Cambria" w:hAnsi="Cambria" w:cs="Times New Roman"/>
          <w:sz w:val="22"/>
        </w:rPr>
        <w:t>, Jean-Marie Le Gall (CM</w:t>
      </w:r>
      <w:r w:rsidR="003D7B43" w:rsidRPr="00672B42">
        <w:rPr>
          <w:rFonts w:ascii="Cambria" w:hAnsi="Cambria" w:cs="Times New Roman"/>
          <w:sz w:val="22"/>
        </w:rPr>
        <w:t xml:space="preserve"> S2</w:t>
      </w:r>
      <w:r w:rsidR="00067D41" w:rsidRPr="00672B42">
        <w:rPr>
          <w:rFonts w:ascii="Cambria" w:hAnsi="Cambria" w:cs="Times New Roman"/>
          <w:sz w:val="22"/>
        </w:rPr>
        <w:t>/TD S2)</w:t>
      </w:r>
    </w:p>
    <w:p w14:paraId="432699CA"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p>
    <w:p w14:paraId="3AE6AD41"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color w:val="B71E42" w:themeColor="accent1"/>
          <w:sz w:val="22"/>
        </w:rPr>
      </w:pPr>
    </w:p>
    <w:p w14:paraId="3E916C68" w14:textId="683C7332" w:rsidR="007B2056" w:rsidRPr="00734BC8" w:rsidRDefault="009D0264" w:rsidP="00734B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color w:val="C00000"/>
          <w:sz w:val="22"/>
        </w:rPr>
      </w:pPr>
      <w:r w:rsidRPr="00734BC8">
        <w:rPr>
          <w:rFonts w:ascii="Cambria" w:hAnsi="Cambria" w:cs="Times New Roman"/>
          <w:color w:val="C00000"/>
          <w:sz w:val="22"/>
          <w:u w:val="single"/>
        </w:rPr>
        <w:t>Sujet du cours</w:t>
      </w:r>
      <w:r w:rsidRPr="00734BC8">
        <w:rPr>
          <w:rFonts w:ascii="Cambria" w:hAnsi="Cambria" w:cs="Times New Roman"/>
          <w:color w:val="C00000"/>
          <w:sz w:val="22"/>
        </w:rPr>
        <w:t> :</w:t>
      </w:r>
      <w:r w:rsidR="00C71515" w:rsidRPr="00734BC8">
        <w:rPr>
          <w:rFonts w:ascii="Cambria" w:hAnsi="Cambria" w:cs="Times New Roman"/>
          <w:color w:val="C00000"/>
          <w:sz w:val="22"/>
        </w:rPr>
        <w:t xml:space="preserve"> </w:t>
      </w:r>
      <w:r w:rsidR="00C71515" w:rsidRPr="00734BC8">
        <w:rPr>
          <w:rFonts w:ascii="Cambria" w:hAnsi="Cambria"/>
          <w:color w:val="C00000"/>
          <w:sz w:val="22"/>
        </w:rPr>
        <w:t>Le livre et l'imprimé à la Renaissance (XVIe-début XVIIe)</w:t>
      </w:r>
    </w:p>
    <w:p w14:paraId="3DBD25DB" w14:textId="32204472" w:rsidR="008C1F11" w:rsidRPr="00672B42" w:rsidRDefault="008C1F11"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7BE53B58" w14:textId="5C637BB4" w:rsidR="007F4963" w:rsidRPr="00672B42" w:rsidRDefault="00A40705" w:rsidP="00A40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bCs/>
          <w:sz w:val="22"/>
        </w:rPr>
      </w:pPr>
      <w:r w:rsidRPr="00672B42">
        <w:rPr>
          <w:rFonts w:ascii="Cambria" w:hAnsi="Cambria" w:cs="Times New Roman"/>
          <w:b w:val="0"/>
          <w:bCs/>
          <w:sz w:val="22"/>
        </w:rPr>
        <w:t>L’invention de la presse typographique par Gutenberg au milieu du XVe siècle a entraîné une « révolution de l’imprimé » dans l’Europe de la Renaissance. Outre la transformation de la production, commercialisation et consommation des livres, l’imprimerie à caractères mobiles a modifié, entre autres, les pratiques et les méthodes de gouvernement, le travail et les échanges intellectuels ou encore la culture visuelle et la vie spirituelle des individus de l’époque moderne. Le cours explore quelques facettes de ces bouleversements des sociétés européennes de la fin du XVe au début du XVIIe siècle, en examinant les aspects socio-économiques de l’industrie du livre, les multiples mobilisations de l’imprimé par différentes couches sociales, tout en s’attachant à comprendre les moyens par lesquels les individus et les institutions ont tenté de contrôler et de canaliser cette technologie aux conséquences multiformes.</w:t>
      </w:r>
    </w:p>
    <w:p w14:paraId="24228D57" w14:textId="77777777" w:rsidR="007F4963" w:rsidRPr="00672B42" w:rsidRDefault="007F4963"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Cambria" w:hAnsi="Cambria" w:cs="Times New Roman"/>
          <w:b w:val="0"/>
          <w:sz w:val="22"/>
        </w:rPr>
      </w:pPr>
    </w:p>
    <w:p w14:paraId="717FF1AF" w14:textId="77777777" w:rsidR="007F4963" w:rsidRPr="00672B42" w:rsidRDefault="007F4963"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Cambria" w:hAnsi="Cambria" w:cs="Times New Roman"/>
          <w:i/>
          <w:sz w:val="22"/>
        </w:rPr>
      </w:pPr>
    </w:p>
    <w:p w14:paraId="193C78CF" w14:textId="77777777" w:rsidR="007B2056" w:rsidRPr="00672B42" w:rsidRDefault="007B2056" w:rsidP="007B2056">
      <w:pPr>
        <w:spacing w:after="240" w:line="240" w:lineRule="auto"/>
        <w:jc w:val="center"/>
        <w:rPr>
          <w:rFonts w:ascii="Cambria" w:eastAsia="Times New Roman" w:hAnsi="Cambria" w:cs="Times New Roman"/>
          <w:b w:val="0"/>
          <w:kern w:val="0"/>
          <w:szCs w:val="24"/>
          <w:lang w:eastAsia="fr-FR"/>
        </w:rPr>
      </w:pPr>
      <w:r w:rsidRPr="00672B42">
        <w:rPr>
          <w:rFonts w:ascii="Cambria" w:eastAsia="Times New Roman" w:hAnsi="Cambria" w:cs="Times"/>
          <w:bCs/>
          <w:kern w:val="0"/>
          <w:szCs w:val="24"/>
          <w:lang w:eastAsia="fr-FR"/>
        </w:rPr>
        <w:t>Bibliographie indicative</w:t>
      </w:r>
    </w:p>
    <w:p w14:paraId="3FF35E3D"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Cs/>
          <w:kern w:val="0"/>
          <w:sz w:val="22"/>
          <w:lang w:eastAsia="fr-FR"/>
        </w:rPr>
        <w:t xml:space="preserve">Ouvrages généraux, synthèses et manuels </w:t>
      </w:r>
    </w:p>
    <w:p w14:paraId="7673229C"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Barbier, Frédéric, </w:t>
      </w:r>
      <w:r w:rsidRPr="00672B42">
        <w:rPr>
          <w:rFonts w:ascii="Cambria" w:eastAsia="Times New Roman" w:hAnsi="Cambria" w:cs="Times"/>
          <w:b w:val="0"/>
          <w:i/>
          <w:iCs/>
          <w:kern w:val="0"/>
          <w:sz w:val="22"/>
          <w:lang w:eastAsia="fr-FR"/>
        </w:rPr>
        <w:t>L’Europe de Gutenberg : le livre et l’invention de la modernité occidentale, XIIe-XVIe siècle</w:t>
      </w:r>
      <w:r w:rsidRPr="00672B42">
        <w:rPr>
          <w:rFonts w:ascii="Cambria" w:eastAsia="Times New Roman" w:hAnsi="Cambria" w:cs="Times"/>
          <w:b w:val="0"/>
          <w:kern w:val="0"/>
          <w:sz w:val="22"/>
          <w:lang w:eastAsia="fr-FR"/>
        </w:rPr>
        <w:t>, Paris, Belin 2006.</w:t>
      </w:r>
    </w:p>
    <w:p w14:paraId="3A03B81A"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Barbier, Frédéric, </w:t>
      </w:r>
      <w:r w:rsidRPr="00672B42">
        <w:rPr>
          <w:rFonts w:ascii="Cambria" w:eastAsia="Times New Roman" w:hAnsi="Cambria" w:cs="Times"/>
          <w:b w:val="0"/>
          <w:i/>
          <w:iCs/>
          <w:kern w:val="0"/>
          <w:sz w:val="22"/>
          <w:lang w:eastAsia="fr-FR"/>
        </w:rPr>
        <w:t>Histoire du livre en Occident</w:t>
      </w:r>
      <w:r w:rsidRPr="00672B42">
        <w:rPr>
          <w:rFonts w:ascii="Cambria" w:eastAsia="Times New Roman" w:hAnsi="Cambria" w:cs="Times"/>
          <w:b w:val="0"/>
          <w:kern w:val="0"/>
          <w:sz w:val="22"/>
          <w:lang w:eastAsia="fr-FR"/>
        </w:rPr>
        <w:t>, Paris, Armand Colin, 2012.</w:t>
      </w:r>
    </w:p>
    <w:p w14:paraId="3BBA99FB"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Chartier Roger et Cavallo Guiglielmo, </w:t>
      </w:r>
      <w:r w:rsidRPr="00672B42">
        <w:rPr>
          <w:rFonts w:ascii="Cambria" w:eastAsia="Times New Roman" w:hAnsi="Cambria" w:cs="Times"/>
          <w:b w:val="0"/>
          <w:i/>
          <w:iCs/>
          <w:kern w:val="0"/>
          <w:sz w:val="22"/>
          <w:lang w:eastAsia="fr-FR"/>
        </w:rPr>
        <w:t>Histoire de la lecture dans le monde occidental</w:t>
      </w:r>
      <w:r w:rsidRPr="00672B42">
        <w:rPr>
          <w:rFonts w:ascii="Cambria" w:eastAsia="Times New Roman" w:hAnsi="Cambria" w:cs="Times"/>
          <w:b w:val="0"/>
          <w:kern w:val="0"/>
          <w:sz w:val="22"/>
          <w:lang w:eastAsia="fr-FR"/>
        </w:rPr>
        <w:t xml:space="preserve">, Paris, Le Seuil, 1997. </w:t>
      </w:r>
    </w:p>
    <w:p w14:paraId="15A20B0D" w14:textId="77777777" w:rsidR="0010279A" w:rsidRPr="00672B42" w:rsidRDefault="0010279A" w:rsidP="007B2056">
      <w:pPr>
        <w:spacing w:after="240" w:line="240" w:lineRule="auto"/>
        <w:rPr>
          <w:rFonts w:ascii="Cambria" w:eastAsia="Times New Roman" w:hAnsi="Cambria" w:cs="Times"/>
          <w:b w:val="0"/>
          <w:kern w:val="0"/>
          <w:sz w:val="22"/>
          <w:lang w:eastAsia="fr-FR"/>
        </w:rPr>
      </w:pPr>
    </w:p>
    <w:p w14:paraId="6E2275AE" w14:textId="77777777" w:rsidR="0010279A" w:rsidRPr="00672B42" w:rsidRDefault="0010279A" w:rsidP="007B2056">
      <w:pPr>
        <w:spacing w:after="240" w:line="240" w:lineRule="auto"/>
        <w:rPr>
          <w:rFonts w:ascii="Cambria" w:eastAsia="Times New Roman" w:hAnsi="Cambria" w:cs="Times"/>
          <w:b w:val="0"/>
          <w:kern w:val="0"/>
          <w:sz w:val="22"/>
          <w:lang w:eastAsia="fr-FR"/>
        </w:rPr>
      </w:pPr>
    </w:p>
    <w:p w14:paraId="79AC36F5" w14:textId="77777777" w:rsidR="0010279A" w:rsidRPr="00672B42" w:rsidRDefault="0010279A" w:rsidP="007B2056">
      <w:pPr>
        <w:spacing w:after="240" w:line="240" w:lineRule="auto"/>
        <w:rPr>
          <w:rFonts w:ascii="Cambria" w:eastAsia="Times New Roman" w:hAnsi="Cambria" w:cs="Times"/>
          <w:b w:val="0"/>
          <w:kern w:val="0"/>
          <w:sz w:val="22"/>
          <w:lang w:eastAsia="fr-FR"/>
        </w:rPr>
      </w:pPr>
    </w:p>
    <w:p w14:paraId="732F1490" w14:textId="5EC558E0" w:rsidR="00A40705"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Martin Herni-Jean et Chartier Roger, </w:t>
      </w:r>
      <w:r w:rsidRPr="00672B42">
        <w:rPr>
          <w:rFonts w:ascii="Cambria" w:eastAsia="Times New Roman" w:hAnsi="Cambria" w:cs="Times"/>
          <w:b w:val="0"/>
          <w:i/>
          <w:iCs/>
          <w:kern w:val="0"/>
          <w:sz w:val="22"/>
          <w:lang w:eastAsia="fr-FR"/>
        </w:rPr>
        <w:t>Histoire de l’édition française</w:t>
      </w:r>
      <w:r w:rsidRPr="00672B42">
        <w:rPr>
          <w:rFonts w:ascii="Cambria" w:eastAsia="Times New Roman" w:hAnsi="Cambria" w:cs="Times"/>
          <w:b w:val="0"/>
          <w:kern w:val="0"/>
          <w:sz w:val="22"/>
          <w:lang w:eastAsia="fr-FR"/>
        </w:rPr>
        <w:t xml:space="preserve">, Paris, Cercle de la Librairie, t. 1, </w:t>
      </w:r>
      <w:r w:rsidRPr="00672B42">
        <w:rPr>
          <w:rFonts w:ascii="Cambria" w:eastAsia="Times New Roman" w:hAnsi="Cambria" w:cs="Times"/>
          <w:b w:val="0"/>
          <w:i/>
          <w:iCs/>
          <w:kern w:val="0"/>
          <w:sz w:val="22"/>
          <w:lang w:eastAsia="fr-FR"/>
        </w:rPr>
        <w:t>Le livre conquérant : du Moyen Âge au milieu du XVIIe siècle</w:t>
      </w:r>
      <w:r w:rsidRPr="00672B42">
        <w:rPr>
          <w:rFonts w:ascii="Cambria" w:eastAsia="Times New Roman" w:hAnsi="Cambria" w:cs="Times"/>
          <w:b w:val="0"/>
          <w:kern w:val="0"/>
          <w:sz w:val="22"/>
          <w:lang w:eastAsia="fr-FR"/>
        </w:rPr>
        <w:t>, 1982</w:t>
      </w:r>
    </w:p>
    <w:p w14:paraId="4B641E41" w14:textId="552E7AEF"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Cs/>
          <w:kern w:val="0"/>
          <w:sz w:val="22"/>
          <w:lang w:eastAsia="fr-FR"/>
        </w:rPr>
        <w:t xml:space="preserve">Etudes et ouvrages de référence </w:t>
      </w:r>
    </w:p>
    <w:p w14:paraId="5AE97F53"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Chartier Roger (dir.), </w:t>
      </w:r>
      <w:r w:rsidRPr="00672B42">
        <w:rPr>
          <w:rFonts w:ascii="Cambria" w:eastAsia="Times New Roman" w:hAnsi="Cambria" w:cs="Times"/>
          <w:b w:val="0"/>
          <w:i/>
          <w:iCs/>
          <w:kern w:val="0"/>
          <w:sz w:val="22"/>
          <w:lang w:eastAsia="fr-FR"/>
        </w:rPr>
        <w:t>Les usages de l’imprimé</w:t>
      </w:r>
      <w:r w:rsidRPr="00672B42">
        <w:rPr>
          <w:rFonts w:ascii="Cambria" w:eastAsia="Times New Roman" w:hAnsi="Cambria" w:cs="Times"/>
          <w:b w:val="0"/>
          <w:kern w:val="0"/>
          <w:sz w:val="22"/>
          <w:lang w:eastAsia="fr-FR"/>
        </w:rPr>
        <w:t>, Paris, Fayard, 1987.</w:t>
      </w:r>
    </w:p>
    <w:p w14:paraId="4AC6850B"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Febvre Lucien, et Martin Henri-Jean, </w:t>
      </w:r>
      <w:r w:rsidRPr="00672B42">
        <w:rPr>
          <w:rFonts w:ascii="Cambria" w:eastAsia="Times New Roman" w:hAnsi="Cambria" w:cs="Times"/>
          <w:b w:val="0"/>
          <w:i/>
          <w:iCs/>
          <w:kern w:val="0"/>
          <w:sz w:val="22"/>
          <w:lang w:eastAsia="fr-FR"/>
        </w:rPr>
        <w:t>L’Apparition du livre</w:t>
      </w:r>
      <w:r w:rsidRPr="00672B42">
        <w:rPr>
          <w:rFonts w:ascii="Cambria" w:eastAsia="Times New Roman" w:hAnsi="Cambria" w:cs="Times"/>
          <w:b w:val="0"/>
          <w:kern w:val="0"/>
          <w:sz w:val="22"/>
          <w:lang w:eastAsia="fr-FR"/>
        </w:rPr>
        <w:t>, Paris, Albin Michel, 1958.  </w:t>
      </w:r>
    </w:p>
    <w:p w14:paraId="3CEAD46F"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Gilmont Jean-François (dir.), </w:t>
      </w:r>
      <w:r w:rsidRPr="00672B42">
        <w:rPr>
          <w:rFonts w:ascii="Cambria" w:eastAsia="Times New Roman" w:hAnsi="Cambria" w:cs="Times"/>
          <w:b w:val="0"/>
          <w:i/>
          <w:iCs/>
          <w:kern w:val="0"/>
          <w:sz w:val="22"/>
          <w:lang w:eastAsia="fr-FR"/>
        </w:rPr>
        <w:t>La Réforme et le livre : l’Europe de l’imprimé, 1517-v. 1570</w:t>
      </w:r>
      <w:r w:rsidRPr="00672B42">
        <w:rPr>
          <w:rFonts w:ascii="Cambria" w:eastAsia="Times New Roman" w:hAnsi="Cambria" w:cs="Times"/>
          <w:b w:val="0"/>
          <w:kern w:val="0"/>
          <w:sz w:val="22"/>
          <w:lang w:eastAsia="fr-FR"/>
        </w:rPr>
        <w:t>, Paris, Cerf, 1990.</w:t>
      </w:r>
    </w:p>
    <w:p w14:paraId="17E46D36"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Eisenstein, Elizabeth, </w:t>
      </w:r>
      <w:r w:rsidRPr="00672B42">
        <w:rPr>
          <w:rFonts w:ascii="Cambria" w:eastAsia="Times New Roman" w:hAnsi="Cambria" w:cs="Times"/>
          <w:b w:val="0"/>
          <w:i/>
          <w:iCs/>
          <w:kern w:val="0"/>
          <w:sz w:val="22"/>
          <w:lang w:eastAsia="fr-FR"/>
        </w:rPr>
        <w:t>La Révolution de l’imprimé dans l’Europe des premiers temps modernes</w:t>
      </w:r>
      <w:r w:rsidRPr="00672B42">
        <w:rPr>
          <w:rFonts w:ascii="Cambria" w:eastAsia="Times New Roman" w:hAnsi="Cambria" w:cs="Times"/>
          <w:b w:val="0"/>
          <w:kern w:val="0"/>
          <w:sz w:val="22"/>
          <w:lang w:eastAsia="fr-FR"/>
        </w:rPr>
        <w:t xml:space="preserve">, Paris, La Découverte, 1991. </w:t>
      </w:r>
    </w:p>
    <w:p w14:paraId="313E5DA6"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Kikuchi, Catherine, </w:t>
      </w:r>
      <w:r w:rsidRPr="00672B42">
        <w:rPr>
          <w:rFonts w:ascii="Cambria" w:eastAsia="Times New Roman" w:hAnsi="Cambria" w:cs="Times"/>
          <w:b w:val="0"/>
          <w:i/>
          <w:iCs/>
          <w:kern w:val="0"/>
          <w:sz w:val="22"/>
          <w:lang w:eastAsia="fr-FR"/>
        </w:rPr>
        <w:t>La Venise des livres, 1469-1530</w:t>
      </w:r>
      <w:r w:rsidRPr="00672B42">
        <w:rPr>
          <w:rFonts w:ascii="Cambria" w:eastAsia="Times New Roman" w:hAnsi="Cambria" w:cs="Times"/>
          <w:b w:val="0"/>
          <w:kern w:val="0"/>
          <w:sz w:val="22"/>
          <w:lang w:eastAsia="fr-FR"/>
        </w:rPr>
        <w:t>, Seyssel, Champ Vallon, 2018.</w:t>
      </w:r>
    </w:p>
    <w:p w14:paraId="409B8983"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i/>
          <w:iCs/>
          <w:kern w:val="0"/>
          <w:sz w:val="22"/>
          <w:lang w:eastAsia="fr-FR"/>
        </w:rPr>
        <w:t>Le Livre dans l’Europe de la Renaissance</w:t>
      </w:r>
      <w:r w:rsidRPr="00672B42">
        <w:rPr>
          <w:rFonts w:ascii="Cambria" w:eastAsia="Times New Roman" w:hAnsi="Cambria" w:cs="Times"/>
          <w:b w:val="0"/>
          <w:kern w:val="0"/>
          <w:sz w:val="22"/>
          <w:lang w:eastAsia="fr-FR"/>
        </w:rPr>
        <w:t>, Paris, Cercle de la Librairie, 1988.</w:t>
      </w:r>
    </w:p>
    <w:p w14:paraId="29F7491F"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Martin Henri-Jean, </w:t>
      </w:r>
      <w:r w:rsidRPr="00672B42">
        <w:rPr>
          <w:rFonts w:ascii="Cambria" w:eastAsia="Times New Roman" w:hAnsi="Cambria" w:cs="Times"/>
          <w:b w:val="0"/>
          <w:i/>
          <w:iCs/>
          <w:kern w:val="0"/>
          <w:sz w:val="22"/>
          <w:lang w:eastAsia="fr-FR"/>
        </w:rPr>
        <w:t>Livre, pouvoirs et société à Paris au XVIIe siècle, 1598-1701,</w:t>
      </w:r>
      <w:r w:rsidRPr="00672B42">
        <w:rPr>
          <w:rFonts w:ascii="Cambria" w:eastAsia="Times New Roman" w:hAnsi="Cambria" w:cs="Times"/>
          <w:b w:val="0"/>
          <w:kern w:val="0"/>
          <w:sz w:val="22"/>
          <w:lang w:eastAsia="fr-FR"/>
        </w:rPr>
        <w:t xml:space="preserve"> Genève, Droz, 1969.</w:t>
      </w:r>
    </w:p>
    <w:p w14:paraId="2F3B25C6" w14:textId="77777777" w:rsidR="008C1F11" w:rsidRPr="00672B42" w:rsidRDefault="008C1F11" w:rsidP="007F4963">
      <w:pPr>
        <w:spacing w:after="0" w:line="276" w:lineRule="auto"/>
        <w:contextualSpacing/>
        <w:jc w:val="both"/>
        <w:rPr>
          <w:rFonts w:ascii="Cambria" w:hAnsi="Cambria" w:cs="Times New Roman"/>
          <w:b w:val="0"/>
          <w:sz w:val="22"/>
        </w:rPr>
      </w:pPr>
    </w:p>
    <w:p w14:paraId="0B24F067" w14:textId="77777777" w:rsidR="0016528C" w:rsidRPr="00672B42" w:rsidRDefault="0016528C" w:rsidP="007F4963">
      <w:pPr>
        <w:spacing w:after="0" w:line="276" w:lineRule="auto"/>
        <w:contextualSpacing/>
        <w:jc w:val="both"/>
        <w:rPr>
          <w:rFonts w:ascii="Cambria" w:hAnsi="Cambria" w:cs="Times New Roman"/>
          <w:b w:val="0"/>
          <w:sz w:val="22"/>
        </w:rPr>
      </w:pPr>
    </w:p>
    <w:p w14:paraId="2327603C" w14:textId="77777777" w:rsidR="008C1F11" w:rsidRPr="00672B42" w:rsidRDefault="008C1F11" w:rsidP="007F4963">
      <w:pPr>
        <w:spacing w:after="0" w:line="276" w:lineRule="auto"/>
        <w:contextualSpacing/>
        <w:jc w:val="both"/>
        <w:rPr>
          <w:rFonts w:ascii="Cambria" w:hAnsi="Cambria" w:cs="Times New Roman"/>
          <w:b w:val="0"/>
          <w:sz w:val="22"/>
        </w:rPr>
      </w:pPr>
    </w:p>
    <w:p w14:paraId="38A395D8" w14:textId="77777777" w:rsidR="008C1F11" w:rsidRPr="00672B42" w:rsidRDefault="008C1F11" w:rsidP="007F4963">
      <w:pPr>
        <w:spacing w:after="0" w:line="276" w:lineRule="auto"/>
        <w:contextualSpacing/>
        <w:jc w:val="both"/>
        <w:rPr>
          <w:rFonts w:ascii="Cambria" w:hAnsi="Cambria" w:cs="Times New Roman"/>
          <w:b w:val="0"/>
          <w:sz w:val="22"/>
        </w:rPr>
      </w:pPr>
    </w:p>
    <w:p w14:paraId="76B85436" w14:textId="77777777" w:rsidR="008C1F11" w:rsidRPr="00672B42" w:rsidRDefault="008C1F11" w:rsidP="007F4963">
      <w:pPr>
        <w:spacing w:after="0" w:line="276" w:lineRule="auto"/>
        <w:contextualSpacing/>
        <w:jc w:val="both"/>
        <w:rPr>
          <w:rFonts w:ascii="Cambria" w:hAnsi="Cambria" w:cs="Times New Roman"/>
          <w:b w:val="0"/>
          <w:sz w:val="22"/>
        </w:rPr>
      </w:pPr>
    </w:p>
    <w:p w14:paraId="1883862B" w14:textId="77777777" w:rsidR="008C1F11" w:rsidRPr="00672B42" w:rsidRDefault="008C1F11" w:rsidP="007F4963">
      <w:pPr>
        <w:spacing w:after="0" w:line="276" w:lineRule="auto"/>
        <w:contextualSpacing/>
        <w:jc w:val="both"/>
        <w:rPr>
          <w:rFonts w:ascii="Cambria" w:hAnsi="Cambria" w:cs="Times New Roman"/>
          <w:b w:val="0"/>
          <w:sz w:val="22"/>
        </w:rPr>
      </w:pPr>
    </w:p>
    <w:p w14:paraId="08BEDE7D" w14:textId="77777777" w:rsidR="008C1F11" w:rsidRPr="00672B42" w:rsidRDefault="008C1F11" w:rsidP="007F4963">
      <w:pPr>
        <w:spacing w:after="0" w:line="276" w:lineRule="auto"/>
        <w:contextualSpacing/>
        <w:jc w:val="both"/>
        <w:rPr>
          <w:rFonts w:ascii="Cambria" w:hAnsi="Cambria" w:cs="Times New Roman"/>
          <w:b w:val="0"/>
          <w:sz w:val="22"/>
        </w:rPr>
      </w:pPr>
    </w:p>
    <w:p w14:paraId="1D6A2419" w14:textId="77777777" w:rsidR="008C1F11" w:rsidRPr="00672B42" w:rsidRDefault="008C1F11" w:rsidP="007F4963">
      <w:pPr>
        <w:spacing w:after="0" w:line="276" w:lineRule="auto"/>
        <w:contextualSpacing/>
        <w:jc w:val="both"/>
        <w:rPr>
          <w:rFonts w:ascii="Cambria" w:hAnsi="Cambria" w:cs="Times New Roman"/>
          <w:b w:val="0"/>
          <w:sz w:val="22"/>
        </w:rPr>
      </w:pPr>
    </w:p>
    <w:p w14:paraId="4CCC475B" w14:textId="77777777" w:rsidR="006160A6" w:rsidRPr="00672B42" w:rsidRDefault="006160A6" w:rsidP="007F4963">
      <w:pPr>
        <w:spacing w:after="0" w:line="276" w:lineRule="auto"/>
        <w:contextualSpacing/>
        <w:jc w:val="both"/>
        <w:rPr>
          <w:rFonts w:ascii="Cambria" w:hAnsi="Cambria" w:cs="Times New Roman"/>
          <w:b w:val="0"/>
          <w:sz w:val="22"/>
        </w:rPr>
      </w:pPr>
    </w:p>
    <w:p w14:paraId="25A509F3" w14:textId="77777777" w:rsidR="0093277D" w:rsidRPr="00672B42" w:rsidRDefault="0093277D" w:rsidP="007F4963">
      <w:pPr>
        <w:spacing w:after="0" w:line="276" w:lineRule="auto"/>
        <w:contextualSpacing/>
        <w:jc w:val="both"/>
        <w:rPr>
          <w:rFonts w:ascii="Cambria" w:hAnsi="Cambria" w:cs="Times New Roman"/>
          <w:b w:val="0"/>
          <w:sz w:val="22"/>
        </w:rPr>
      </w:pPr>
    </w:p>
    <w:p w14:paraId="7C26CF18" w14:textId="51CCA2FC" w:rsidR="006160A6" w:rsidRPr="00672B42"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B71E42" w:themeColor="accent1"/>
          <w:sz w:val="28"/>
          <w:szCs w:val="28"/>
        </w:rPr>
      </w:pPr>
      <w:r w:rsidRPr="00734BC8">
        <w:rPr>
          <w:rFonts w:ascii="Cambria" w:hAnsi="Cambria"/>
          <w:i/>
          <w:color w:val="C00000"/>
          <w:sz w:val="28"/>
          <w:szCs w:val="28"/>
        </w:rPr>
        <w:t>J301</w:t>
      </w:r>
      <w:r w:rsidR="00156318" w:rsidRPr="00734BC8">
        <w:rPr>
          <w:rFonts w:ascii="Cambria" w:hAnsi="Cambria"/>
          <w:i/>
          <w:color w:val="C00000"/>
          <w:sz w:val="28"/>
          <w:szCs w:val="28"/>
        </w:rPr>
        <w:t>0325</w:t>
      </w:r>
      <w:r w:rsidRPr="00734BC8">
        <w:rPr>
          <w:rFonts w:ascii="Cambria" w:hAnsi="Cambria"/>
          <w:i/>
          <w:color w:val="C00000"/>
          <w:sz w:val="28"/>
          <w:szCs w:val="28"/>
        </w:rPr>
        <w:t>/J30</w:t>
      </w:r>
      <w:r w:rsidR="00156318" w:rsidRPr="00734BC8">
        <w:rPr>
          <w:rFonts w:ascii="Cambria" w:hAnsi="Cambria"/>
          <w:i/>
          <w:color w:val="C00000"/>
          <w:sz w:val="28"/>
          <w:szCs w:val="28"/>
        </w:rPr>
        <w:t>10425</w:t>
      </w:r>
      <w:r w:rsidRPr="00734BC8">
        <w:rPr>
          <w:rFonts w:ascii="Cambria" w:hAnsi="Cambria"/>
          <w:i/>
          <w:color w:val="C00000"/>
          <w:sz w:val="28"/>
          <w:szCs w:val="28"/>
        </w:rPr>
        <w:t> : Histoire des Techniques</w:t>
      </w:r>
    </w:p>
    <w:p w14:paraId="77E3D12A" w14:textId="77777777" w:rsidR="006160A6" w:rsidRPr="00672B42"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B71E42" w:themeColor="accent1"/>
          <w:szCs w:val="24"/>
        </w:rPr>
      </w:pPr>
    </w:p>
    <w:p w14:paraId="79DC256D" w14:textId="55D97903" w:rsidR="006160A6" w:rsidRPr="004E102D"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4E102D">
        <w:rPr>
          <w:rFonts w:ascii="Cambria" w:hAnsi="Cambria" w:cs="Times New Roman"/>
          <w:iCs/>
          <w:sz w:val="22"/>
        </w:rPr>
        <w:t>Valérie Nègr</w:t>
      </w:r>
      <w:r w:rsidR="00223A9B" w:rsidRPr="004E102D">
        <w:rPr>
          <w:rFonts w:ascii="Cambria" w:hAnsi="Cambria" w:cs="Times New Roman"/>
          <w:iCs/>
          <w:sz w:val="22"/>
        </w:rPr>
        <w:t>e (CM</w:t>
      </w:r>
      <w:r w:rsidR="00122BFD" w:rsidRPr="004E102D">
        <w:rPr>
          <w:rFonts w:ascii="Cambria" w:hAnsi="Cambria" w:cs="Times New Roman"/>
          <w:iCs/>
          <w:sz w:val="22"/>
        </w:rPr>
        <w:t>/TD)</w:t>
      </w:r>
      <w:r w:rsidR="00205000" w:rsidRPr="004E102D">
        <w:rPr>
          <w:rFonts w:ascii="Cambria" w:hAnsi="Cambria" w:cs="Times New Roman"/>
          <w:iCs/>
          <w:sz w:val="22"/>
        </w:rPr>
        <w:t xml:space="preserve">, Clara Villani </w:t>
      </w:r>
      <w:r w:rsidR="00751168" w:rsidRPr="004E102D">
        <w:rPr>
          <w:rFonts w:ascii="Cambria" w:hAnsi="Cambria" w:cs="Times New Roman"/>
          <w:iCs/>
          <w:sz w:val="22"/>
        </w:rPr>
        <w:t>(TD)</w:t>
      </w:r>
    </w:p>
    <w:p w14:paraId="4793946E" w14:textId="77777777" w:rsidR="0093277D" w:rsidRPr="004E102D" w:rsidRDefault="0093277D"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D94B977" w14:textId="77777777" w:rsidR="006160A6" w:rsidRPr="004E102D"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5E18740" w14:textId="2283143E" w:rsidR="00751168" w:rsidRPr="004E102D" w:rsidRDefault="00751168" w:rsidP="00751168">
      <w:pPr>
        <w:rPr>
          <w:rFonts w:ascii="Cambria" w:eastAsia="Times New Roman" w:hAnsi="Cambria" w:cs="Times New Roman"/>
          <w:color w:val="C00000"/>
          <w:sz w:val="22"/>
          <w:lang w:eastAsia="fr-FR"/>
        </w:rPr>
      </w:pPr>
      <w:r w:rsidRPr="00EF4448">
        <w:rPr>
          <w:rFonts w:ascii="Cambria" w:hAnsi="Cambria" w:cs="Times New Roman"/>
          <w:color w:val="C00000"/>
          <w:sz w:val="22"/>
          <w:u w:val="single"/>
        </w:rPr>
        <w:t>S</w:t>
      </w:r>
      <w:r w:rsidR="00EF4448" w:rsidRPr="00EF4448">
        <w:rPr>
          <w:rFonts w:ascii="Cambria" w:hAnsi="Cambria" w:cs="Times New Roman"/>
          <w:color w:val="C00000"/>
          <w:sz w:val="22"/>
          <w:u w:val="single"/>
        </w:rPr>
        <w:t>ujet du cours s</w:t>
      </w:r>
      <w:r w:rsidRPr="00EF4448">
        <w:rPr>
          <w:rFonts w:ascii="Cambria" w:hAnsi="Cambria" w:cs="Times New Roman"/>
          <w:color w:val="C00000"/>
          <w:sz w:val="22"/>
          <w:u w:val="single"/>
        </w:rPr>
        <w:t>emestre 1</w:t>
      </w:r>
      <w:r w:rsidRPr="004E102D">
        <w:rPr>
          <w:rFonts w:ascii="Cambria" w:hAnsi="Cambria" w:cs="Times New Roman"/>
          <w:color w:val="C00000"/>
          <w:sz w:val="22"/>
        </w:rPr>
        <w:t xml:space="preserve"> : </w:t>
      </w:r>
      <w:bookmarkStart w:id="25" w:name="_Hlk231208900"/>
      <w:r w:rsidRPr="004E102D">
        <w:rPr>
          <w:rFonts w:ascii="Cambria" w:hAnsi="Cambria" w:cs="Times New Roman"/>
          <w:color w:val="C00000"/>
          <w:sz w:val="22"/>
        </w:rPr>
        <w:t>Le livre et les techniques (France-Europe, XVI</w:t>
      </w:r>
      <w:r w:rsidRPr="004E102D">
        <w:rPr>
          <w:rFonts w:ascii="Cambria" w:hAnsi="Cambria" w:cs="Times New Roman"/>
          <w:color w:val="C00000"/>
          <w:sz w:val="22"/>
          <w:vertAlign w:val="superscript"/>
        </w:rPr>
        <w:t>e</w:t>
      </w:r>
      <w:r w:rsidRPr="004E102D">
        <w:rPr>
          <w:rFonts w:ascii="Cambria" w:hAnsi="Cambria" w:cs="Times New Roman"/>
          <w:color w:val="C00000"/>
          <w:sz w:val="22"/>
        </w:rPr>
        <w:t>-XVIII</w:t>
      </w:r>
      <w:r w:rsidRPr="004E102D">
        <w:rPr>
          <w:rFonts w:ascii="Cambria" w:hAnsi="Cambria" w:cs="Times New Roman"/>
          <w:color w:val="C00000"/>
          <w:sz w:val="22"/>
          <w:vertAlign w:val="superscript"/>
        </w:rPr>
        <w:t>e</w:t>
      </w:r>
      <w:r w:rsidRPr="004E102D">
        <w:rPr>
          <w:rFonts w:ascii="Cambria" w:hAnsi="Cambria" w:cs="Times New Roman"/>
          <w:color w:val="C00000"/>
          <w:sz w:val="22"/>
        </w:rPr>
        <w:t xml:space="preserve"> siècles)</w:t>
      </w:r>
    </w:p>
    <w:bookmarkEnd w:id="25"/>
    <w:p w14:paraId="380E5248"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En 1751 paraît le premier volume </w:t>
      </w:r>
      <w:r w:rsidRPr="004E102D">
        <w:rPr>
          <w:rFonts w:ascii="Cambria" w:eastAsia="Calibri" w:hAnsi="Cambria" w:cs="Times New Roman"/>
          <w:b w:val="0"/>
          <w:bCs/>
          <w:sz w:val="22"/>
        </w:rPr>
        <w:t xml:space="preserve">de </w:t>
      </w:r>
      <w:r w:rsidRPr="004E102D">
        <w:rPr>
          <w:rFonts w:ascii="Cambria" w:hAnsi="Cambria" w:cs="Times New Roman"/>
          <w:b w:val="0"/>
          <w:bCs/>
          <w:sz w:val="22"/>
        </w:rPr>
        <w:t>l</w:t>
      </w:r>
      <w:r w:rsidRPr="004E102D">
        <w:rPr>
          <w:rFonts w:ascii="Cambria" w:hAnsi="Cambria" w:cs="Times New Roman"/>
          <w:b w:val="0"/>
          <w:bCs/>
          <w:i/>
          <w:sz w:val="22"/>
        </w:rPr>
        <w:t>’Encyclopédie</w:t>
      </w:r>
      <w:r w:rsidRPr="004E102D">
        <w:rPr>
          <w:rFonts w:ascii="Cambria" w:hAnsi="Cambria" w:cs="Times New Roman"/>
          <w:b w:val="0"/>
          <w:bCs/>
          <w:sz w:val="22"/>
        </w:rPr>
        <w:t>,</w:t>
      </w:r>
      <w:r w:rsidRPr="004E102D">
        <w:rPr>
          <w:rFonts w:ascii="Cambria" w:hAnsi="Cambria" w:cs="Times New Roman"/>
          <w:b w:val="0"/>
          <w:bCs/>
          <w:i/>
          <w:sz w:val="22"/>
        </w:rPr>
        <w:t xml:space="preserve"> </w:t>
      </w:r>
      <w:r w:rsidRPr="004E102D">
        <w:rPr>
          <w:rFonts w:ascii="Cambria" w:hAnsi="Cambria" w:cs="Times New Roman"/>
          <w:b w:val="0"/>
          <w:bCs/>
          <w:iCs/>
          <w:sz w:val="22"/>
        </w:rPr>
        <w:t>dirigée par Didrot et d’Alembert.</w:t>
      </w:r>
      <w:r w:rsidRPr="004E102D">
        <w:rPr>
          <w:rFonts w:ascii="Cambria" w:hAnsi="Cambria" w:cs="Times New Roman"/>
          <w:b w:val="0"/>
          <w:bCs/>
          <w:sz w:val="22"/>
        </w:rPr>
        <w:t xml:space="preserve"> Le succès est immédiat et immense, en France comme en Europe. La partie sur les arts et métiers dirigée par Diderot (</w:t>
      </w:r>
      <w:r w:rsidRPr="004E102D">
        <w:rPr>
          <w:rFonts w:ascii="Cambria" w:eastAsia="Calibri" w:hAnsi="Cambria" w:cs="Times New Roman"/>
          <w:b w:val="0"/>
          <w:bCs/>
          <w:sz w:val="22"/>
        </w:rPr>
        <w:t>20% des 17 volumes de discours et 80% des 11 volumes de planches) est l’une des plus novatrices de l’ouvrage. Mais p</w:t>
      </w:r>
      <w:r w:rsidRPr="004E102D">
        <w:rPr>
          <w:rFonts w:ascii="Cambria" w:hAnsi="Cambria" w:cs="Times New Roman"/>
          <w:b w:val="0"/>
          <w:bCs/>
          <w:sz w:val="22"/>
        </w:rPr>
        <w:t>ourquoi décrire les techniques ? A-t-on véritablement besoin d’une description pour exécuter une opération manuelle ?</w:t>
      </w:r>
    </w:p>
    <w:p w14:paraId="18775832"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Le cours met en perspective la grande entreprise de description des techniques dont les </w:t>
      </w:r>
      <w:r w:rsidRPr="004E102D">
        <w:rPr>
          <w:rFonts w:ascii="Cambria" w:hAnsi="Cambria" w:cs="Times New Roman"/>
          <w:b w:val="0"/>
          <w:bCs/>
          <w:i/>
          <w:sz w:val="22"/>
        </w:rPr>
        <w:t>codex</w:t>
      </w:r>
      <w:r w:rsidRPr="004E102D">
        <w:rPr>
          <w:rFonts w:ascii="Cambria" w:hAnsi="Cambria" w:cs="Times New Roman"/>
          <w:b w:val="0"/>
          <w:bCs/>
          <w:sz w:val="22"/>
        </w:rPr>
        <w:t xml:space="preserve"> de Léonard de Vinci et l’</w:t>
      </w:r>
      <w:r w:rsidRPr="004E102D">
        <w:rPr>
          <w:rFonts w:ascii="Cambria" w:hAnsi="Cambria" w:cs="Times New Roman"/>
          <w:b w:val="0"/>
          <w:bCs/>
          <w:i/>
          <w:sz w:val="22"/>
        </w:rPr>
        <w:t xml:space="preserve">Encyclopédie </w:t>
      </w:r>
      <w:r w:rsidRPr="004E102D">
        <w:rPr>
          <w:rFonts w:ascii="Cambria" w:hAnsi="Cambria" w:cs="Times New Roman"/>
          <w:b w:val="0"/>
          <w:bCs/>
          <w:sz w:val="22"/>
        </w:rPr>
        <w:t>sont des exemples illustres. Les techniques servent de point d’entrée pour examiner le phénomène de rationalisation des savoirs qui marque les sociétés occidentales. On examine les commencements et le développement d’un mouvement qui va conduire à décrire les activités artisanales afin de mieux les contrôler et les administrer, soit à des fins politiques et économiques, pour augmenter la puissance et la richesse des États, soit dans l’idée de perfectionnement et d’amélioration de la condition humaine.</w:t>
      </w:r>
    </w:p>
    <w:p w14:paraId="2E64C684" w14:textId="6F38BA8C"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Cette entreprise n’est en rien limitée à la France, elle conduit à sortir du cadre national et à examiner la circulation des savoirs et des auteurs entre l’Italie, l’Angleterre, la France et l’Allemagne. Elle éclaire plusieurs grands mouvements : la découverte de l’imprimerie et la diffusion du livre ; le développement de la « science moderne » ; le mouvement des Lumières, la diffusion d’une pensée de l’utilité et de la communication ; la mise en place de politiques d’encouragement à l’innovation technique et l’émergence de la notion de « progrès » qui marque encore aujourd’hui profondément les sociétés occidentales. </w:t>
      </w:r>
    </w:p>
    <w:p w14:paraId="710C9750" w14:textId="438708A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Au total, le cours offre un espace de réflexion sur les idées et les idéologies relatives à la place des techniques dans notre société.</w:t>
      </w:r>
    </w:p>
    <w:p w14:paraId="45A1E481" w14:textId="77777777" w:rsidR="00751168" w:rsidRPr="004E102D" w:rsidRDefault="00751168" w:rsidP="00751168">
      <w:pPr>
        <w:jc w:val="both"/>
        <w:rPr>
          <w:rFonts w:ascii="Cambria" w:hAnsi="Cambria" w:cs="Times New Roman"/>
          <w:sz w:val="22"/>
        </w:rPr>
      </w:pPr>
      <w:r w:rsidRPr="004E102D">
        <w:rPr>
          <w:rFonts w:ascii="Cambria" w:hAnsi="Cambria" w:cs="Times New Roman"/>
          <w:sz w:val="22"/>
        </w:rPr>
        <w:t xml:space="preserve">Bibliographie (premier semestre) </w:t>
      </w:r>
    </w:p>
    <w:p w14:paraId="09C08934" w14:textId="0B15C3F6"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CHARTIER </w:t>
      </w:r>
      <w:r w:rsidRPr="004E102D">
        <w:rPr>
          <w:rFonts w:ascii="Cambria" w:hAnsi="Cambria"/>
          <w:bCs/>
          <w:sz w:val="22"/>
          <w:szCs w:val="22"/>
        </w:rPr>
        <w:t xml:space="preserve">Roger, </w:t>
      </w:r>
      <w:r w:rsidRPr="004E102D">
        <w:rPr>
          <w:rFonts w:ascii="Cambria" w:hAnsi="Cambria"/>
          <w:bCs/>
          <w:i/>
          <w:sz w:val="22"/>
          <w:szCs w:val="22"/>
        </w:rPr>
        <w:t>Culture écrite et Société : l'ordre des livres (</w:t>
      </w:r>
      <w:r w:rsidRPr="004E102D">
        <w:rPr>
          <w:rStyle w:val="romain"/>
          <w:rFonts w:ascii="Cambria" w:hAnsi="Cambria"/>
          <w:bCs/>
          <w:i/>
          <w:sz w:val="22"/>
          <w:szCs w:val="22"/>
        </w:rPr>
        <w:t>XIV</w:t>
      </w:r>
      <w:r w:rsidRPr="004E102D">
        <w:rPr>
          <w:rFonts w:ascii="Cambria" w:hAnsi="Cambria"/>
          <w:bCs/>
          <w:i/>
          <w:sz w:val="22"/>
          <w:szCs w:val="22"/>
          <w:vertAlign w:val="superscript"/>
        </w:rPr>
        <w:t>e</w:t>
      </w:r>
      <w:r w:rsidRPr="004E102D">
        <w:rPr>
          <w:rFonts w:ascii="Cambria" w:hAnsi="Cambria"/>
          <w:bCs/>
          <w:i/>
          <w:sz w:val="22"/>
          <w:szCs w:val="22"/>
        </w:rPr>
        <w:t> – </w:t>
      </w:r>
      <w:r w:rsidRPr="004E102D">
        <w:rPr>
          <w:rStyle w:val="romain"/>
          <w:rFonts w:ascii="Cambria" w:hAnsi="Cambria"/>
          <w:bCs/>
          <w:i/>
          <w:sz w:val="22"/>
          <w:szCs w:val="22"/>
        </w:rPr>
        <w:t>XVIII</w:t>
      </w:r>
      <w:r w:rsidRPr="004E102D">
        <w:rPr>
          <w:rFonts w:ascii="Cambria" w:hAnsi="Cambria"/>
          <w:bCs/>
          <w:i/>
          <w:sz w:val="22"/>
          <w:szCs w:val="22"/>
          <w:vertAlign w:val="superscript"/>
        </w:rPr>
        <w:t>e</w:t>
      </w:r>
      <w:r w:rsidRPr="004E102D">
        <w:rPr>
          <w:rFonts w:ascii="Cambria" w:hAnsi="Cambria"/>
          <w:bCs/>
          <w:i/>
          <w:sz w:val="22"/>
          <w:szCs w:val="22"/>
        </w:rPr>
        <w:t> siècle)</w:t>
      </w:r>
      <w:r w:rsidRPr="004E102D">
        <w:rPr>
          <w:rFonts w:ascii="Cambria" w:hAnsi="Cambria"/>
          <w:bCs/>
          <w:sz w:val="22"/>
          <w:szCs w:val="22"/>
        </w:rPr>
        <w:t>, Paris, Albin Michel, 1996.</w:t>
      </w:r>
    </w:p>
    <w:p w14:paraId="0309A25F" w14:textId="5D0B7D6C"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Darton </w:t>
      </w:r>
      <w:r w:rsidRPr="004E102D">
        <w:rPr>
          <w:rFonts w:ascii="Cambria" w:hAnsi="Cambria"/>
          <w:bCs/>
          <w:sz w:val="22"/>
          <w:szCs w:val="22"/>
        </w:rPr>
        <w:t xml:space="preserve">Robert, </w:t>
      </w:r>
      <w:r w:rsidRPr="004E102D">
        <w:rPr>
          <w:rFonts w:ascii="Cambria" w:hAnsi="Cambria"/>
          <w:bCs/>
          <w:i/>
          <w:sz w:val="22"/>
          <w:szCs w:val="22"/>
        </w:rPr>
        <w:t>L’Aventure de l’Encyclopédie (1775-1800),</w:t>
      </w:r>
      <w:r w:rsidRPr="004E102D">
        <w:rPr>
          <w:rFonts w:ascii="Cambria" w:hAnsi="Cambria"/>
          <w:bCs/>
          <w:sz w:val="22"/>
          <w:szCs w:val="22"/>
        </w:rPr>
        <w:t xml:space="preserve"> Paris, Points Histoire, 2013.</w:t>
      </w:r>
    </w:p>
    <w:p w14:paraId="52AAE90C" w14:textId="1CD775E6"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Guillerme </w:t>
      </w:r>
      <w:r w:rsidRPr="004E102D">
        <w:rPr>
          <w:rFonts w:ascii="Cambria" w:hAnsi="Cambria"/>
          <w:bCs/>
          <w:sz w:val="22"/>
          <w:szCs w:val="22"/>
        </w:rPr>
        <w:t xml:space="preserve">Jacques, </w:t>
      </w:r>
      <w:r w:rsidRPr="004E102D">
        <w:rPr>
          <w:rFonts w:ascii="Cambria" w:hAnsi="Cambria"/>
          <w:bCs/>
          <w:caps/>
          <w:sz w:val="22"/>
          <w:szCs w:val="22"/>
        </w:rPr>
        <w:t>Sebestik</w:t>
      </w:r>
      <w:r w:rsidRPr="004E102D">
        <w:rPr>
          <w:rFonts w:ascii="Cambria" w:hAnsi="Cambria"/>
          <w:bCs/>
          <w:smallCaps/>
          <w:sz w:val="22"/>
          <w:szCs w:val="22"/>
        </w:rPr>
        <w:t xml:space="preserve"> </w:t>
      </w:r>
      <w:r w:rsidRPr="004E102D">
        <w:rPr>
          <w:rFonts w:ascii="Cambria" w:hAnsi="Cambria"/>
          <w:bCs/>
          <w:sz w:val="22"/>
          <w:szCs w:val="22"/>
        </w:rPr>
        <w:t xml:space="preserve">Jean, « Les commencements de la technologie », </w:t>
      </w:r>
      <w:r w:rsidRPr="004E102D">
        <w:rPr>
          <w:rFonts w:ascii="Cambria" w:hAnsi="Cambria"/>
          <w:bCs/>
          <w:i/>
          <w:iCs/>
          <w:sz w:val="22"/>
          <w:szCs w:val="22"/>
        </w:rPr>
        <w:t>Documents pour l’histoire des techniques</w:t>
      </w:r>
      <w:r w:rsidRPr="004E102D">
        <w:rPr>
          <w:rFonts w:ascii="Cambria" w:hAnsi="Cambria"/>
          <w:bCs/>
          <w:sz w:val="22"/>
          <w:szCs w:val="22"/>
        </w:rPr>
        <w:t>, n° 14, 2007, p. 49-121. [1</w:t>
      </w:r>
      <w:r w:rsidRPr="004E102D">
        <w:rPr>
          <w:rFonts w:ascii="Cambria" w:hAnsi="Cambria"/>
          <w:bCs/>
          <w:sz w:val="22"/>
          <w:szCs w:val="22"/>
          <w:vertAlign w:val="superscript"/>
        </w:rPr>
        <w:t>e</w:t>
      </w:r>
      <w:r w:rsidRPr="004E102D">
        <w:rPr>
          <w:rFonts w:ascii="Cambria" w:hAnsi="Cambria"/>
          <w:bCs/>
          <w:sz w:val="22"/>
          <w:szCs w:val="22"/>
        </w:rPr>
        <w:t xml:space="preserve"> éd. Thalès, 1966]. [en ligne].</w:t>
      </w:r>
    </w:p>
    <w:p w14:paraId="01BB4CA0"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HILAIRE-PEREZ Liliane, NEGRE Valérie, SPICQ Delphine, VERMER Koen (dir.)</w:t>
      </w:r>
      <w:r w:rsidRPr="004E102D">
        <w:rPr>
          <w:rFonts w:ascii="Cambria" w:hAnsi="Cambria" w:cs="Times New Roman"/>
          <w:b w:val="0"/>
          <w:bCs/>
          <w:i/>
          <w:sz w:val="22"/>
        </w:rPr>
        <w:t xml:space="preserve">, Le Livre technique avant le </w:t>
      </w:r>
      <w:r w:rsidRPr="004E102D">
        <w:rPr>
          <w:rFonts w:ascii="Cambria" w:hAnsi="Cambria" w:cs="Times New Roman"/>
          <w:b w:val="0"/>
          <w:bCs/>
          <w:i/>
          <w:smallCaps/>
          <w:sz w:val="22"/>
        </w:rPr>
        <w:t>xx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 A l’échelle du monde</w:t>
      </w:r>
      <w:r w:rsidRPr="004E102D">
        <w:rPr>
          <w:rFonts w:ascii="Cambria" w:hAnsi="Cambria" w:cs="Times New Roman"/>
          <w:b w:val="0"/>
          <w:bCs/>
          <w:sz w:val="22"/>
        </w:rPr>
        <w:t xml:space="preserve">, Paris CNRS ed, 2017. </w:t>
      </w:r>
    </w:p>
    <w:p w14:paraId="097752BF"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NEGRE Valérie, </w:t>
      </w:r>
      <w:r w:rsidRPr="004E102D">
        <w:rPr>
          <w:rFonts w:ascii="Cambria" w:hAnsi="Cambria" w:cs="Times New Roman"/>
          <w:b w:val="0"/>
          <w:bCs/>
          <w:i/>
          <w:sz w:val="22"/>
        </w:rPr>
        <w:t>L’Art et la matière. Les artisans, les architectes et la technique, 1770-1830</w:t>
      </w:r>
      <w:r w:rsidRPr="004E102D">
        <w:rPr>
          <w:rFonts w:ascii="Cambria" w:hAnsi="Cambria" w:cs="Times New Roman"/>
          <w:b w:val="0"/>
          <w:bCs/>
          <w:sz w:val="22"/>
        </w:rPr>
        <w:t>, Paris, Classiques Garnier, 2016. [Chap: « Écrire, dessiner et modéliser la technique », p. 161 et suiv.]</w:t>
      </w:r>
    </w:p>
    <w:p w14:paraId="41AE1AD8"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VERIN Hélène, DUBOURG-GLATIGNY Pascal (dir.), </w:t>
      </w:r>
      <w:r w:rsidRPr="004E102D">
        <w:rPr>
          <w:rFonts w:ascii="Cambria" w:hAnsi="Cambria" w:cs="Times New Roman"/>
          <w:b w:val="0"/>
          <w:bCs/>
          <w:i/>
          <w:sz w:val="22"/>
        </w:rPr>
        <w:t>Réduire en art. La technologie de la Renaissance aux Lumières</w:t>
      </w:r>
      <w:r w:rsidRPr="004E102D">
        <w:rPr>
          <w:rFonts w:ascii="Cambria" w:hAnsi="Cambria" w:cs="Times New Roman"/>
          <w:b w:val="0"/>
          <w:bCs/>
          <w:sz w:val="22"/>
        </w:rPr>
        <w:t>, Paris, Éditions de la Maison des Sciences de l’homme, 2008.</w:t>
      </w:r>
    </w:p>
    <w:p w14:paraId="4108FD1A" w14:textId="7555BA7A"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VERIN Hélène, </w:t>
      </w:r>
      <w:r w:rsidRPr="004E102D">
        <w:rPr>
          <w:rFonts w:ascii="Cambria" w:hAnsi="Cambria" w:cs="Times New Roman"/>
          <w:b w:val="0"/>
          <w:bCs/>
          <w:i/>
          <w:sz w:val="22"/>
        </w:rPr>
        <w:t>La Gloire des ingénieurs. L’Intelligence technique du XVI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au XVIII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Paris, Albin Michel, 1993.</w:t>
      </w:r>
    </w:p>
    <w:p w14:paraId="57004FAD" w14:textId="7DE10CCE" w:rsidR="00751168" w:rsidRPr="004E102D" w:rsidRDefault="00751168" w:rsidP="00751168">
      <w:pPr>
        <w:jc w:val="both"/>
        <w:rPr>
          <w:rFonts w:ascii="Cambria" w:eastAsia="Times New Roman" w:hAnsi="Cambria" w:cs="Times New Roman"/>
          <w:color w:val="C00000"/>
          <w:sz w:val="22"/>
          <w:lang w:eastAsia="fr-FR"/>
        </w:rPr>
      </w:pPr>
      <w:r w:rsidRPr="00EF4448">
        <w:rPr>
          <w:rFonts w:ascii="Cambria" w:eastAsia="Times New Roman" w:hAnsi="Cambria" w:cs="Times New Roman"/>
          <w:color w:val="C00000"/>
          <w:sz w:val="22"/>
          <w:u w:val="single"/>
          <w:lang w:eastAsia="fr-FR"/>
        </w:rPr>
        <w:t>S</w:t>
      </w:r>
      <w:r w:rsidR="00EF4448" w:rsidRPr="00EF4448">
        <w:rPr>
          <w:rFonts w:ascii="Cambria" w:eastAsia="Times New Roman" w:hAnsi="Cambria" w:cs="Times New Roman"/>
          <w:color w:val="C00000"/>
          <w:sz w:val="22"/>
          <w:u w:val="single"/>
          <w:lang w:eastAsia="fr-FR"/>
        </w:rPr>
        <w:t>ujet du cours s</w:t>
      </w:r>
      <w:r w:rsidRPr="00EF4448">
        <w:rPr>
          <w:rFonts w:ascii="Cambria" w:eastAsia="Times New Roman" w:hAnsi="Cambria" w:cs="Times New Roman"/>
          <w:color w:val="C00000"/>
          <w:sz w:val="22"/>
          <w:u w:val="single"/>
          <w:lang w:eastAsia="fr-FR"/>
        </w:rPr>
        <w:t>emestre 2</w:t>
      </w:r>
      <w:r w:rsidRPr="004E102D">
        <w:rPr>
          <w:rFonts w:ascii="Cambria" w:eastAsia="Times New Roman" w:hAnsi="Cambria" w:cs="Times New Roman"/>
          <w:color w:val="C00000"/>
          <w:sz w:val="22"/>
          <w:lang w:eastAsia="fr-FR"/>
        </w:rPr>
        <w:t xml:space="preserve"> : </w:t>
      </w:r>
      <w:bookmarkStart w:id="26" w:name="_Hlk231208924"/>
      <w:r w:rsidRPr="004E102D">
        <w:rPr>
          <w:rFonts w:ascii="Cambria" w:eastAsia="Times New Roman" w:hAnsi="Cambria" w:cs="Times New Roman"/>
          <w:color w:val="C00000"/>
          <w:sz w:val="22"/>
          <w:lang w:eastAsia="fr-FR"/>
        </w:rPr>
        <w:t>Histoire culturelle et sociale des techniques quotidiennes (XVII</w:t>
      </w:r>
      <w:r w:rsidRPr="004E102D">
        <w:rPr>
          <w:rFonts w:ascii="Cambria" w:eastAsia="Times New Roman" w:hAnsi="Cambria" w:cs="Times New Roman"/>
          <w:color w:val="C00000"/>
          <w:sz w:val="22"/>
          <w:vertAlign w:val="superscript"/>
          <w:lang w:eastAsia="fr-FR"/>
        </w:rPr>
        <w:t>e</w:t>
      </w:r>
      <w:r w:rsidRPr="004E102D">
        <w:rPr>
          <w:rFonts w:ascii="Cambria" w:eastAsia="Times New Roman" w:hAnsi="Cambria" w:cs="Times New Roman"/>
          <w:color w:val="C00000"/>
          <w:sz w:val="22"/>
          <w:lang w:eastAsia="fr-FR"/>
        </w:rPr>
        <w:t>-XIX</w:t>
      </w:r>
      <w:r w:rsidRPr="004E102D">
        <w:rPr>
          <w:rFonts w:ascii="Cambria" w:eastAsia="Times New Roman" w:hAnsi="Cambria" w:cs="Times New Roman"/>
          <w:color w:val="C00000"/>
          <w:sz w:val="22"/>
          <w:vertAlign w:val="superscript"/>
          <w:lang w:eastAsia="fr-FR"/>
        </w:rPr>
        <w:t>e</w:t>
      </w:r>
      <w:r w:rsidRPr="004E102D">
        <w:rPr>
          <w:rFonts w:ascii="Cambria" w:eastAsia="Times New Roman" w:hAnsi="Cambria" w:cs="Times New Roman"/>
          <w:color w:val="C00000"/>
          <w:sz w:val="22"/>
          <w:lang w:eastAsia="fr-FR"/>
        </w:rPr>
        <w:t xml:space="preserve"> siècle)</w:t>
      </w:r>
      <w:bookmarkEnd w:id="26"/>
    </w:p>
    <w:p w14:paraId="41FD786A"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Parmi les techniques qui ont un fort impact sur la vie des humains, et plus largement des êtres vivants, on cite souvent les techniques relatives à l’énergie, au transport, à la guerre ou à l’agriculture, beaucoup plus rarement, les techniques qui transforment notre environnement immédiat. Le cours porte sur ces techniques moins visibles et en particulier celles qui entrent dans la maison : objets, dispositifs, pratiques domestiques relatives à l’organisation spatiale, l’alimentation, la cuisson, le lavage des corps, le chauffage, l’éclairage, la mécanisation des objets quotidiens.</w:t>
      </w:r>
    </w:p>
    <w:p w14:paraId="340148CF"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L’évolution de ces techniques permet d’examiner plusieurs mouvements : le développement du confort, de l’hygiène, de l’intime ; la montée des consommations, de la rationalisation ; l’idéologie de l’innovation et du progrès technique.</w:t>
      </w:r>
    </w:p>
    <w:p w14:paraId="3052FFEC"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Le cours invite par là à réfléchir à la manière dont les techniques conditionnent les individus et à la manière dont les institutions politiques et le marché participent par leur promotion, tant à la construction d’un ordre social, moral et familial (construction des genres par les techniques par exemple) qu’au façonnage d’un nouveau rapport entre les humains et les techniques.</w:t>
      </w:r>
    </w:p>
    <w:p w14:paraId="22C8ADB5" w14:textId="77777777" w:rsidR="004E102D" w:rsidRDefault="00751168" w:rsidP="00751168">
      <w:pPr>
        <w:jc w:val="both"/>
        <w:rPr>
          <w:rFonts w:ascii="Cambria" w:hAnsi="Cambria" w:cs="Times New Roman"/>
          <w:sz w:val="22"/>
        </w:rPr>
      </w:pPr>
      <w:r w:rsidRPr="004E102D">
        <w:rPr>
          <w:rFonts w:ascii="Cambria" w:hAnsi="Cambria" w:cs="Times New Roman"/>
          <w:b w:val="0"/>
          <w:bCs/>
          <w:sz w:val="22"/>
        </w:rPr>
        <w:t> </w:t>
      </w:r>
      <w:r w:rsidRPr="004E102D">
        <w:rPr>
          <w:rFonts w:ascii="Cambria" w:hAnsi="Cambria" w:cs="Times New Roman"/>
          <w:b w:val="0"/>
          <w:bCs/>
          <w:sz w:val="22"/>
        </w:rPr>
        <w:br/>
      </w:r>
      <w:r w:rsidRPr="004E102D">
        <w:rPr>
          <w:rFonts w:ascii="Cambria" w:hAnsi="Cambria" w:cs="Times New Roman"/>
          <w:sz w:val="22"/>
        </w:rPr>
        <w:t xml:space="preserve">Bibliographie (deuxième semestre) </w:t>
      </w:r>
    </w:p>
    <w:p w14:paraId="198C2A1D" w14:textId="7985F303" w:rsidR="00751168" w:rsidRPr="004E102D" w:rsidRDefault="00751168" w:rsidP="00751168">
      <w:pPr>
        <w:jc w:val="both"/>
        <w:rPr>
          <w:rFonts w:ascii="Cambria" w:hAnsi="Cambria" w:cs="Times New Roman"/>
          <w:sz w:val="22"/>
        </w:rPr>
      </w:pPr>
      <w:r w:rsidRPr="004E102D">
        <w:rPr>
          <w:rFonts w:ascii="Cambria" w:hAnsi="Cambria" w:cs="Times New Roman"/>
          <w:b w:val="0"/>
          <w:bCs/>
          <w:sz w:val="22"/>
        </w:rPr>
        <w:br/>
        <w:t xml:space="preserve">BARLES Sabine, </w:t>
      </w:r>
      <w:r w:rsidRPr="004E102D">
        <w:rPr>
          <w:rFonts w:ascii="Cambria" w:hAnsi="Cambria" w:cs="Times New Roman"/>
          <w:b w:val="0"/>
          <w:bCs/>
          <w:i/>
          <w:sz w:val="22"/>
        </w:rPr>
        <w:t>La Ville délétère. Médecins et ingénieurs dans l’espace urbain. XVIII</w:t>
      </w:r>
      <w:r w:rsidRPr="004E102D">
        <w:rPr>
          <w:rFonts w:ascii="Cambria" w:hAnsi="Cambria" w:cs="Times New Roman"/>
          <w:b w:val="0"/>
          <w:bCs/>
          <w:i/>
          <w:sz w:val="22"/>
          <w:vertAlign w:val="superscript"/>
        </w:rPr>
        <w:t>e</w:t>
      </w:r>
      <w:r w:rsidRPr="004E102D">
        <w:rPr>
          <w:rFonts w:ascii="Cambria" w:hAnsi="Cambria" w:cs="Times New Roman"/>
          <w:b w:val="0"/>
          <w:bCs/>
          <w:i/>
          <w:sz w:val="22"/>
        </w:rPr>
        <w:t>-XIX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xml:space="preserve"> Paris, Champ Vallon, 1999.</w:t>
      </w:r>
    </w:p>
    <w:p w14:paraId="2D6CFD67" w14:textId="18E6AFFC"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CERTEAU Michel de, </w:t>
      </w:r>
      <w:r w:rsidRPr="004E102D">
        <w:rPr>
          <w:rFonts w:ascii="Cambria" w:hAnsi="Cambria" w:cs="Times New Roman"/>
          <w:b w:val="0"/>
          <w:bCs/>
          <w:i/>
          <w:sz w:val="22"/>
        </w:rPr>
        <w:t>L’Invention du quotidien. 1. Arts de faire</w:t>
      </w:r>
      <w:r w:rsidRPr="004E102D">
        <w:rPr>
          <w:rFonts w:ascii="Cambria" w:hAnsi="Cambria" w:cs="Times New Roman"/>
          <w:b w:val="0"/>
          <w:bCs/>
          <w:sz w:val="22"/>
        </w:rPr>
        <w:t>, Paris, Gallimard,1990 (1</w:t>
      </w:r>
      <w:r w:rsidRPr="004E102D">
        <w:rPr>
          <w:rFonts w:ascii="Cambria" w:hAnsi="Cambria" w:cs="Times New Roman"/>
          <w:b w:val="0"/>
          <w:bCs/>
          <w:sz w:val="22"/>
          <w:vertAlign w:val="superscript"/>
        </w:rPr>
        <w:t>e</w:t>
      </w:r>
      <w:r w:rsidRPr="004E102D">
        <w:rPr>
          <w:rFonts w:ascii="Cambria" w:hAnsi="Cambria" w:cs="Times New Roman"/>
          <w:b w:val="0"/>
          <w:bCs/>
          <w:sz w:val="22"/>
        </w:rPr>
        <w:t> éd. 1980).</w:t>
      </w:r>
      <w:r w:rsidRPr="004E102D">
        <w:rPr>
          <w:rFonts w:ascii="Cambria" w:hAnsi="Cambria" w:cs="Times New Roman"/>
          <w:b w:val="0"/>
          <w:bCs/>
          <w:sz w:val="22"/>
        </w:rPr>
        <w:br/>
      </w:r>
    </w:p>
    <w:p w14:paraId="31386BAF" w14:textId="15D1D1D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CHARPY Manuel, JARRIGE François (dir.), « Le quotidien des techniques », numéro thématique, </w:t>
      </w:r>
      <w:r w:rsidRPr="004E102D">
        <w:rPr>
          <w:rFonts w:ascii="Cambria" w:hAnsi="Cambria" w:cs="Times New Roman"/>
          <w:b w:val="0"/>
          <w:bCs/>
          <w:i/>
          <w:sz w:val="22"/>
        </w:rPr>
        <w:t>Revue d’histoire du XIX</w:t>
      </w:r>
      <w:r w:rsidRPr="004E102D">
        <w:rPr>
          <w:rFonts w:ascii="Cambria" w:hAnsi="Cambria" w:cs="Times New Roman"/>
          <w:b w:val="0"/>
          <w:bCs/>
          <w:i/>
          <w:sz w:val="22"/>
          <w:vertAlign w:val="superscript"/>
        </w:rPr>
        <w:t>e</w:t>
      </w:r>
      <w:r w:rsidRPr="004E102D">
        <w:rPr>
          <w:rFonts w:ascii="Cambria" w:hAnsi="Cambria" w:cs="Times New Roman"/>
          <w:b w:val="0"/>
          <w:bCs/>
          <w:sz w:val="22"/>
        </w:rPr>
        <w:t> </w:t>
      </w:r>
      <w:r w:rsidRPr="004E102D">
        <w:rPr>
          <w:rFonts w:ascii="Cambria" w:hAnsi="Cambria" w:cs="Times New Roman"/>
          <w:b w:val="0"/>
          <w:bCs/>
          <w:i/>
          <w:sz w:val="22"/>
        </w:rPr>
        <w:t>siècle</w:t>
      </w:r>
      <w:r w:rsidRPr="004E102D">
        <w:rPr>
          <w:rFonts w:ascii="Cambria" w:hAnsi="Cambria" w:cs="Times New Roman"/>
          <w:b w:val="0"/>
          <w:bCs/>
          <w:sz w:val="22"/>
        </w:rPr>
        <w:t>, 2012/2. [En ligne]</w:t>
      </w:r>
    </w:p>
    <w:p w14:paraId="64CAD0EE" w14:textId="7A6DC80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CORBIN Alain, </w:t>
      </w:r>
      <w:r w:rsidRPr="004E102D">
        <w:rPr>
          <w:rFonts w:ascii="Cambria" w:hAnsi="Cambria" w:cs="Times New Roman"/>
          <w:b w:val="0"/>
          <w:bCs/>
          <w:i/>
          <w:sz w:val="22"/>
        </w:rPr>
        <w:t>Le miasme et la jonquille. L’odorat et l’imaginaire social, XIII</w:t>
      </w:r>
      <w:r w:rsidRPr="004E102D">
        <w:rPr>
          <w:rFonts w:ascii="Cambria" w:hAnsi="Cambria" w:cs="Times New Roman"/>
          <w:b w:val="0"/>
          <w:bCs/>
          <w:i/>
          <w:sz w:val="22"/>
          <w:vertAlign w:val="superscript"/>
        </w:rPr>
        <w:t>e</w:t>
      </w:r>
      <w:r w:rsidRPr="004E102D">
        <w:rPr>
          <w:rFonts w:ascii="Cambria" w:hAnsi="Cambria" w:cs="Times New Roman"/>
          <w:b w:val="0"/>
          <w:bCs/>
          <w:i/>
          <w:sz w:val="22"/>
        </w:rPr>
        <w:t>-XX</w:t>
      </w:r>
      <w:r w:rsidRPr="004E102D">
        <w:rPr>
          <w:rFonts w:ascii="Cambria" w:hAnsi="Cambria" w:cs="Times New Roman"/>
          <w:b w:val="0"/>
          <w:bCs/>
          <w:i/>
          <w:sz w:val="22"/>
          <w:vertAlign w:val="superscript"/>
        </w:rPr>
        <w:t xml:space="preserve">e </w:t>
      </w:r>
      <w:r w:rsidRPr="004E102D">
        <w:rPr>
          <w:rFonts w:ascii="Cambria" w:hAnsi="Cambria" w:cs="Times New Roman"/>
          <w:b w:val="0"/>
          <w:bCs/>
          <w:i/>
          <w:sz w:val="22"/>
        </w:rPr>
        <w:t>siècles</w:t>
      </w:r>
      <w:r w:rsidRPr="004E102D">
        <w:rPr>
          <w:rFonts w:ascii="Cambria" w:hAnsi="Cambria" w:cs="Times New Roman"/>
          <w:b w:val="0"/>
          <w:bCs/>
          <w:sz w:val="22"/>
        </w:rPr>
        <w:t>, Paris, Flammarion, 1986.</w:t>
      </w:r>
    </w:p>
    <w:p w14:paraId="22863142" w14:textId="484121B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JANDOT Olivier, </w:t>
      </w:r>
      <w:r w:rsidRPr="004E102D">
        <w:rPr>
          <w:rFonts w:ascii="Cambria" w:hAnsi="Cambria" w:cs="Times New Roman"/>
          <w:b w:val="0"/>
          <w:bCs/>
          <w:i/>
          <w:iCs/>
          <w:sz w:val="22"/>
        </w:rPr>
        <w:t>Les délices du feu. L’homme, le chaud et le froid à l’époque moderne</w:t>
      </w:r>
      <w:r w:rsidRPr="004E102D">
        <w:rPr>
          <w:rFonts w:ascii="Cambria" w:hAnsi="Cambria" w:cs="Times New Roman"/>
          <w:b w:val="0"/>
          <w:bCs/>
          <w:sz w:val="22"/>
        </w:rPr>
        <w:t>, Champs Vallon, 2017.</w:t>
      </w:r>
    </w:p>
    <w:p w14:paraId="1A1F689E" w14:textId="77777777" w:rsidR="004E102D"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DEBARRE Anne, ELEB Monique, </w:t>
      </w:r>
      <w:r w:rsidRPr="004E102D">
        <w:rPr>
          <w:rFonts w:ascii="Cambria" w:hAnsi="Cambria" w:cs="Times New Roman"/>
          <w:b w:val="0"/>
          <w:bCs/>
          <w:i/>
          <w:sz w:val="22"/>
        </w:rPr>
        <w:t>Architecture de la vie privée. Maison et mentalités, XVII</w:t>
      </w:r>
      <w:r w:rsidRPr="004E102D">
        <w:rPr>
          <w:rFonts w:ascii="Cambria" w:hAnsi="Cambria" w:cs="Times New Roman"/>
          <w:b w:val="0"/>
          <w:bCs/>
          <w:i/>
          <w:sz w:val="22"/>
          <w:vertAlign w:val="superscript"/>
        </w:rPr>
        <w:t>e</w:t>
      </w:r>
      <w:r w:rsidRPr="004E102D">
        <w:rPr>
          <w:rFonts w:ascii="Cambria" w:hAnsi="Cambria" w:cs="Times New Roman"/>
          <w:b w:val="0"/>
          <w:bCs/>
          <w:i/>
          <w:sz w:val="22"/>
        </w:rPr>
        <w:t>-XIX</w:t>
      </w:r>
      <w:r w:rsidRPr="004E102D">
        <w:rPr>
          <w:rFonts w:ascii="Cambria" w:hAnsi="Cambria" w:cs="Times New Roman"/>
          <w:b w:val="0"/>
          <w:bCs/>
          <w:i/>
          <w:sz w:val="22"/>
          <w:vertAlign w:val="superscript"/>
        </w:rPr>
        <w:t xml:space="preserve">e </w:t>
      </w:r>
      <w:r w:rsidRPr="004E102D">
        <w:rPr>
          <w:rFonts w:ascii="Cambria" w:hAnsi="Cambria" w:cs="Times New Roman"/>
          <w:b w:val="0"/>
          <w:bCs/>
          <w:i/>
          <w:sz w:val="22"/>
        </w:rPr>
        <w:t>siècle,</w:t>
      </w:r>
      <w:r w:rsidRPr="004E102D">
        <w:rPr>
          <w:rFonts w:ascii="Cambria" w:hAnsi="Cambria" w:cs="Times New Roman"/>
          <w:b w:val="0"/>
          <w:bCs/>
          <w:sz w:val="22"/>
        </w:rPr>
        <w:t xml:space="preserve"> Paris, Hazan, 2002.</w:t>
      </w:r>
    </w:p>
    <w:p w14:paraId="0EFFE0BC" w14:textId="6BC90706"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GIEDION, Siegfried, </w:t>
      </w:r>
      <w:r w:rsidRPr="004E102D">
        <w:rPr>
          <w:rFonts w:ascii="Cambria" w:hAnsi="Cambria" w:cs="Times New Roman"/>
          <w:b w:val="0"/>
          <w:bCs/>
          <w:i/>
          <w:sz w:val="22"/>
        </w:rPr>
        <w:t>La mécanisation au pouvoir</w:t>
      </w:r>
      <w:r w:rsidRPr="004E102D">
        <w:rPr>
          <w:rFonts w:ascii="Cambria" w:hAnsi="Cambria" w:cs="Times New Roman"/>
          <w:b w:val="0"/>
          <w:bCs/>
          <w:sz w:val="22"/>
        </w:rPr>
        <w:t>, Paris, Centre Pompidou 1981 (1</w:t>
      </w:r>
      <w:r w:rsidRPr="004E102D">
        <w:rPr>
          <w:rFonts w:ascii="Cambria" w:hAnsi="Cambria" w:cs="Times New Roman"/>
          <w:b w:val="0"/>
          <w:bCs/>
          <w:sz w:val="22"/>
          <w:vertAlign w:val="superscript"/>
        </w:rPr>
        <w:t>e</w:t>
      </w:r>
      <w:r w:rsidRPr="004E102D">
        <w:rPr>
          <w:rFonts w:ascii="Cambria" w:hAnsi="Cambria" w:cs="Times New Roman"/>
          <w:b w:val="0"/>
          <w:bCs/>
          <w:sz w:val="22"/>
        </w:rPr>
        <w:t xml:space="preserve"> éd. </w:t>
      </w:r>
      <w:r w:rsidRPr="004E102D">
        <w:rPr>
          <w:rFonts w:ascii="Cambria" w:hAnsi="Cambria" w:cs="Times New Roman"/>
          <w:b w:val="0"/>
          <w:bCs/>
          <w:i/>
          <w:sz w:val="22"/>
        </w:rPr>
        <w:t>Mechanization Takes Command, a Contribution to Anonymous History,</w:t>
      </w:r>
      <w:r w:rsidRPr="004E102D">
        <w:rPr>
          <w:rFonts w:ascii="Cambria" w:hAnsi="Cambria" w:cs="Times New Roman"/>
          <w:b w:val="0"/>
          <w:bCs/>
          <w:sz w:val="22"/>
        </w:rPr>
        <w:t xml:space="preserve"> 1948).</w:t>
      </w:r>
    </w:p>
    <w:p w14:paraId="095D53B5"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GOUBERT Jean Pierre, </w:t>
      </w:r>
      <w:r w:rsidRPr="004E102D">
        <w:rPr>
          <w:rFonts w:ascii="Cambria" w:hAnsi="Cambria" w:cs="Times New Roman"/>
          <w:b w:val="0"/>
          <w:bCs/>
          <w:i/>
          <w:sz w:val="22"/>
        </w:rPr>
        <w:t>La conquête de l’eau du XVIII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au XX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xml:space="preserve">, </w:t>
      </w:r>
      <w:r w:rsidRPr="004E102D">
        <w:rPr>
          <w:rFonts w:ascii="Cambria" w:hAnsi="Cambria" w:cs="Times New Roman"/>
          <w:b w:val="0"/>
          <w:bCs/>
          <w:i/>
          <w:sz w:val="22"/>
        </w:rPr>
        <w:t>l’avènement de la santé à l’âge industriel</w:t>
      </w:r>
      <w:r w:rsidRPr="004E102D">
        <w:rPr>
          <w:rFonts w:ascii="Cambria" w:hAnsi="Cambria" w:cs="Times New Roman"/>
          <w:b w:val="0"/>
          <w:bCs/>
          <w:sz w:val="22"/>
        </w:rPr>
        <w:t>, Paris, 1986.</w:t>
      </w:r>
    </w:p>
    <w:p w14:paraId="5C60FE33"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ROCHE Daniel, </w:t>
      </w:r>
      <w:r w:rsidRPr="004E102D">
        <w:rPr>
          <w:rFonts w:ascii="Cambria" w:hAnsi="Cambria" w:cs="Times New Roman"/>
          <w:b w:val="0"/>
          <w:bCs/>
          <w:i/>
          <w:sz w:val="22"/>
        </w:rPr>
        <w:t>Histoire des choses banale.</w:t>
      </w:r>
      <w:r w:rsidRPr="004E102D">
        <w:rPr>
          <w:rFonts w:ascii="Cambria" w:hAnsi="Cambria" w:cs="Times New Roman"/>
          <w:b w:val="0"/>
          <w:bCs/>
          <w:sz w:val="22"/>
        </w:rPr>
        <w:t xml:space="preserve"> </w:t>
      </w:r>
      <w:r w:rsidRPr="004E102D">
        <w:rPr>
          <w:rFonts w:ascii="Cambria" w:hAnsi="Cambria" w:cs="Times New Roman"/>
          <w:b w:val="0"/>
          <w:bCs/>
          <w:i/>
          <w:sz w:val="22"/>
        </w:rPr>
        <w:t>Naissance de la consommation,</w:t>
      </w:r>
      <w:r w:rsidRPr="004E102D">
        <w:rPr>
          <w:rFonts w:ascii="Cambria" w:hAnsi="Cambria" w:cs="Times New Roman"/>
          <w:b w:val="0"/>
          <w:bCs/>
          <w:sz w:val="22"/>
        </w:rPr>
        <w:t xml:space="preserve"> Paris, Fayard, 1997.</w:t>
      </w:r>
    </w:p>
    <w:p w14:paraId="1004D441"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ROCHE Daniel, </w:t>
      </w:r>
      <w:r w:rsidRPr="004E102D">
        <w:rPr>
          <w:rFonts w:ascii="Cambria" w:hAnsi="Cambria" w:cs="Times New Roman"/>
          <w:b w:val="0"/>
          <w:bCs/>
          <w:i/>
          <w:iCs/>
          <w:sz w:val="22"/>
        </w:rPr>
        <w:t>Le peuple de Paris. La culture populaire au XVIII</w:t>
      </w:r>
      <w:r w:rsidRPr="004E102D">
        <w:rPr>
          <w:rFonts w:ascii="Cambria" w:hAnsi="Cambria" w:cs="Times New Roman"/>
          <w:b w:val="0"/>
          <w:bCs/>
          <w:i/>
          <w:iCs/>
          <w:sz w:val="22"/>
          <w:vertAlign w:val="superscript"/>
        </w:rPr>
        <w:t>e</w:t>
      </w:r>
      <w:r w:rsidRPr="004E102D">
        <w:rPr>
          <w:rFonts w:ascii="Cambria" w:hAnsi="Cambria" w:cs="Times New Roman"/>
          <w:b w:val="0"/>
          <w:bCs/>
          <w:i/>
          <w:iCs/>
          <w:sz w:val="22"/>
        </w:rPr>
        <w:t> siècle</w:t>
      </w:r>
      <w:r w:rsidRPr="004E102D">
        <w:rPr>
          <w:rFonts w:ascii="Cambria" w:hAnsi="Cambria" w:cs="Times New Roman"/>
          <w:b w:val="0"/>
          <w:bCs/>
          <w:sz w:val="22"/>
        </w:rPr>
        <w:t>, Paris, Aubier, 1981.</w:t>
      </w:r>
    </w:p>
    <w:p w14:paraId="189D3506" w14:textId="49422465" w:rsidR="0093277D"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VIGARELLO Georges, </w:t>
      </w:r>
      <w:r w:rsidRPr="004E102D">
        <w:rPr>
          <w:rFonts w:ascii="Cambria" w:hAnsi="Cambria" w:cs="Times New Roman"/>
          <w:b w:val="0"/>
          <w:bCs/>
          <w:i/>
          <w:sz w:val="22"/>
        </w:rPr>
        <w:t>Le propre et le sale : l'hygiène du corps depuis le Moyen Âge</w:t>
      </w:r>
      <w:r w:rsidRPr="004E102D">
        <w:rPr>
          <w:rFonts w:ascii="Cambria" w:hAnsi="Cambria" w:cs="Times New Roman"/>
          <w:b w:val="0"/>
          <w:bCs/>
          <w:sz w:val="22"/>
        </w:rPr>
        <w:t>, 1985.</w:t>
      </w:r>
    </w:p>
    <w:p w14:paraId="3956838F" w14:textId="77777777" w:rsidR="0087435D" w:rsidRPr="004E102D" w:rsidRDefault="0087435D" w:rsidP="00461423">
      <w:pPr>
        <w:spacing w:after="0" w:line="276" w:lineRule="auto"/>
        <w:contextualSpacing/>
        <w:jc w:val="both"/>
        <w:rPr>
          <w:rFonts w:ascii="Cambria" w:hAnsi="Cambria" w:cs="Times New Roman"/>
          <w:b w:val="0"/>
          <w:sz w:val="22"/>
        </w:rPr>
      </w:pPr>
    </w:p>
    <w:p w14:paraId="72AA900C" w14:textId="77777777" w:rsidR="004E102D" w:rsidRPr="004E102D" w:rsidRDefault="004E102D" w:rsidP="00461423">
      <w:pPr>
        <w:spacing w:after="0" w:line="276" w:lineRule="auto"/>
        <w:contextualSpacing/>
        <w:jc w:val="both"/>
        <w:rPr>
          <w:rFonts w:ascii="Cambria" w:hAnsi="Cambria" w:cs="Times New Roman"/>
          <w:b w:val="0"/>
          <w:sz w:val="22"/>
        </w:rPr>
      </w:pPr>
    </w:p>
    <w:p w14:paraId="03C3CC22" w14:textId="77777777" w:rsidR="004E102D" w:rsidRPr="004E102D" w:rsidRDefault="004E102D" w:rsidP="00461423">
      <w:pPr>
        <w:spacing w:after="0" w:line="276" w:lineRule="auto"/>
        <w:contextualSpacing/>
        <w:jc w:val="both"/>
        <w:rPr>
          <w:rFonts w:ascii="Cambria" w:hAnsi="Cambria" w:cs="Times New Roman"/>
          <w:b w:val="0"/>
          <w:sz w:val="22"/>
        </w:rPr>
      </w:pPr>
    </w:p>
    <w:p w14:paraId="4AC92570" w14:textId="77777777" w:rsidR="004E102D" w:rsidRPr="004E102D" w:rsidRDefault="004E102D" w:rsidP="00461423">
      <w:pPr>
        <w:spacing w:after="0" w:line="276" w:lineRule="auto"/>
        <w:contextualSpacing/>
        <w:jc w:val="both"/>
        <w:rPr>
          <w:rFonts w:ascii="Cambria" w:hAnsi="Cambria" w:cs="Times New Roman"/>
          <w:b w:val="0"/>
          <w:sz w:val="22"/>
        </w:rPr>
      </w:pPr>
    </w:p>
    <w:p w14:paraId="2EC84CDD" w14:textId="77777777" w:rsidR="004E102D" w:rsidRPr="004E102D" w:rsidRDefault="004E102D" w:rsidP="00461423">
      <w:pPr>
        <w:spacing w:after="0" w:line="276" w:lineRule="auto"/>
        <w:contextualSpacing/>
        <w:jc w:val="both"/>
        <w:rPr>
          <w:rFonts w:ascii="Cambria" w:hAnsi="Cambria" w:cs="Times New Roman"/>
          <w:b w:val="0"/>
          <w:sz w:val="22"/>
        </w:rPr>
      </w:pPr>
    </w:p>
    <w:p w14:paraId="2B2F475B" w14:textId="77777777" w:rsidR="004E102D" w:rsidRPr="004E102D" w:rsidRDefault="004E102D" w:rsidP="00461423">
      <w:pPr>
        <w:spacing w:after="0" w:line="276" w:lineRule="auto"/>
        <w:contextualSpacing/>
        <w:jc w:val="both"/>
        <w:rPr>
          <w:rFonts w:ascii="Cambria" w:hAnsi="Cambria" w:cs="Times New Roman"/>
          <w:b w:val="0"/>
          <w:sz w:val="22"/>
        </w:rPr>
      </w:pPr>
    </w:p>
    <w:p w14:paraId="26F47FF1" w14:textId="77777777" w:rsidR="004E102D" w:rsidRDefault="004E102D" w:rsidP="00461423">
      <w:pPr>
        <w:spacing w:after="0" w:line="276" w:lineRule="auto"/>
        <w:contextualSpacing/>
        <w:jc w:val="both"/>
        <w:rPr>
          <w:rFonts w:ascii="Cambria" w:hAnsi="Cambria" w:cs="Times New Roman"/>
          <w:b w:val="0"/>
          <w:sz w:val="22"/>
        </w:rPr>
      </w:pPr>
    </w:p>
    <w:p w14:paraId="2A52D958" w14:textId="77777777" w:rsidR="004E102D" w:rsidRDefault="004E102D" w:rsidP="00461423">
      <w:pPr>
        <w:spacing w:after="0" w:line="276" w:lineRule="auto"/>
        <w:contextualSpacing/>
        <w:jc w:val="both"/>
        <w:rPr>
          <w:rFonts w:ascii="Cambria" w:hAnsi="Cambria" w:cs="Times New Roman"/>
          <w:b w:val="0"/>
          <w:sz w:val="22"/>
        </w:rPr>
      </w:pPr>
    </w:p>
    <w:p w14:paraId="1D18DE4C" w14:textId="77777777" w:rsidR="004E102D" w:rsidRDefault="004E102D" w:rsidP="00461423">
      <w:pPr>
        <w:spacing w:after="0" w:line="276" w:lineRule="auto"/>
        <w:contextualSpacing/>
        <w:jc w:val="both"/>
        <w:rPr>
          <w:rFonts w:ascii="Cambria" w:hAnsi="Cambria" w:cs="Times New Roman"/>
          <w:b w:val="0"/>
          <w:sz w:val="22"/>
        </w:rPr>
      </w:pPr>
    </w:p>
    <w:p w14:paraId="5DA0DB69" w14:textId="77777777" w:rsidR="004E102D" w:rsidRDefault="004E102D" w:rsidP="00461423">
      <w:pPr>
        <w:spacing w:after="0" w:line="276" w:lineRule="auto"/>
        <w:contextualSpacing/>
        <w:jc w:val="both"/>
        <w:rPr>
          <w:rFonts w:ascii="Cambria" w:hAnsi="Cambria" w:cs="Times New Roman"/>
          <w:b w:val="0"/>
          <w:sz w:val="22"/>
        </w:rPr>
      </w:pPr>
    </w:p>
    <w:p w14:paraId="605F5EAB" w14:textId="77777777" w:rsidR="004E102D" w:rsidRDefault="004E102D" w:rsidP="00461423">
      <w:pPr>
        <w:spacing w:after="0" w:line="276" w:lineRule="auto"/>
        <w:contextualSpacing/>
        <w:jc w:val="both"/>
        <w:rPr>
          <w:rFonts w:ascii="Cambria" w:hAnsi="Cambria" w:cs="Times New Roman"/>
          <w:b w:val="0"/>
          <w:sz w:val="22"/>
        </w:rPr>
      </w:pPr>
    </w:p>
    <w:p w14:paraId="6722C71A" w14:textId="77777777" w:rsidR="004E102D" w:rsidRPr="004E102D" w:rsidRDefault="004E102D" w:rsidP="00461423">
      <w:pPr>
        <w:spacing w:after="0" w:line="276" w:lineRule="auto"/>
        <w:contextualSpacing/>
        <w:jc w:val="both"/>
        <w:rPr>
          <w:rFonts w:ascii="Cambria" w:hAnsi="Cambria" w:cs="Times New Roman"/>
          <w:b w:val="0"/>
          <w:sz w:val="22"/>
        </w:rPr>
      </w:pPr>
    </w:p>
    <w:p w14:paraId="153F6E8F" w14:textId="77777777" w:rsidR="004E102D" w:rsidRPr="004E102D" w:rsidRDefault="004E102D" w:rsidP="00461423">
      <w:pPr>
        <w:spacing w:after="0" w:line="276" w:lineRule="auto"/>
        <w:contextualSpacing/>
        <w:jc w:val="both"/>
        <w:rPr>
          <w:rFonts w:ascii="Cambria" w:hAnsi="Cambria" w:cs="Times New Roman"/>
          <w:b w:val="0"/>
          <w:sz w:val="22"/>
        </w:rPr>
      </w:pPr>
    </w:p>
    <w:p w14:paraId="2038168F" w14:textId="77777777" w:rsidR="004E102D" w:rsidRPr="004E102D" w:rsidRDefault="004E102D" w:rsidP="00461423">
      <w:pPr>
        <w:spacing w:after="0" w:line="276" w:lineRule="auto"/>
        <w:contextualSpacing/>
        <w:jc w:val="both"/>
        <w:rPr>
          <w:rFonts w:ascii="Cambria" w:hAnsi="Cambria" w:cs="Times New Roman"/>
          <w:b w:val="0"/>
          <w:sz w:val="22"/>
        </w:rPr>
      </w:pPr>
    </w:p>
    <w:p w14:paraId="2998BD44" w14:textId="77777777" w:rsidR="004E102D" w:rsidRPr="00672B42" w:rsidRDefault="004E102D" w:rsidP="00461423">
      <w:pPr>
        <w:spacing w:after="0" w:line="276" w:lineRule="auto"/>
        <w:contextualSpacing/>
        <w:jc w:val="both"/>
        <w:rPr>
          <w:rFonts w:ascii="Cambria" w:hAnsi="Cambria" w:cs="Times New Roman"/>
          <w:b w:val="0"/>
          <w:sz w:val="22"/>
        </w:rPr>
      </w:pPr>
    </w:p>
    <w:p w14:paraId="132B438D" w14:textId="77777777" w:rsidR="00533A94" w:rsidRDefault="00533A94" w:rsidP="00461423">
      <w:pPr>
        <w:spacing w:after="0" w:line="276" w:lineRule="auto"/>
        <w:contextualSpacing/>
        <w:jc w:val="both"/>
        <w:rPr>
          <w:rFonts w:ascii="Cambria" w:hAnsi="Cambria" w:cs="Times New Roman"/>
          <w:b w:val="0"/>
          <w:sz w:val="22"/>
        </w:rPr>
      </w:pPr>
    </w:p>
    <w:p w14:paraId="6DBA92FF" w14:textId="77777777" w:rsidR="004E102D" w:rsidRDefault="004E102D" w:rsidP="00461423">
      <w:pPr>
        <w:spacing w:after="0" w:line="276" w:lineRule="auto"/>
        <w:contextualSpacing/>
        <w:jc w:val="both"/>
        <w:rPr>
          <w:rFonts w:ascii="Cambria" w:hAnsi="Cambria" w:cs="Times New Roman"/>
          <w:b w:val="0"/>
          <w:sz w:val="22"/>
        </w:rPr>
      </w:pPr>
    </w:p>
    <w:p w14:paraId="69C78D36" w14:textId="77777777" w:rsidR="004E102D" w:rsidRPr="00672B42" w:rsidRDefault="004E102D" w:rsidP="00461423">
      <w:pPr>
        <w:spacing w:after="0" w:line="276" w:lineRule="auto"/>
        <w:contextualSpacing/>
        <w:jc w:val="both"/>
        <w:rPr>
          <w:rFonts w:ascii="Cambria" w:hAnsi="Cambria" w:cs="Times New Roman"/>
          <w:b w:val="0"/>
          <w:sz w:val="22"/>
        </w:rPr>
      </w:pPr>
    </w:p>
    <w:p w14:paraId="4E2D57E6" w14:textId="77777777" w:rsidR="0093277D" w:rsidRPr="00672B42" w:rsidRDefault="0093277D" w:rsidP="00461423">
      <w:pPr>
        <w:spacing w:after="0" w:line="276" w:lineRule="auto"/>
        <w:contextualSpacing/>
        <w:jc w:val="both"/>
        <w:rPr>
          <w:rFonts w:ascii="Cambria" w:hAnsi="Cambria" w:cs="Times New Roman"/>
          <w:b w:val="0"/>
          <w:sz w:val="22"/>
        </w:rPr>
      </w:pPr>
    </w:p>
    <w:p w14:paraId="5204106B" w14:textId="77777777" w:rsidR="00822F82" w:rsidRPr="00672B42" w:rsidRDefault="00261EA2" w:rsidP="00822F82">
      <w:pPr>
        <w:spacing w:after="0" w:line="240" w:lineRule="auto"/>
        <w:jc w:val="center"/>
        <w:rPr>
          <w:rFonts w:ascii="Cambria" w:eastAsia="Times New Roman" w:hAnsi="Cambria"/>
          <w:i/>
          <w:color w:val="C00000"/>
          <w:kern w:val="0"/>
          <w:sz w:val="28"/>
          <w:szCs w:val="28"/>
          <w:lang w:eastAsia="fr-FR"/>
        </w:rPr>
      </w:pPr>
      <w:r w:rsidRPr="00672B42">
        <w:rPr>
          <w:rFonts w:ascii="Cambria" w:eastAsia="Times New Roman" w:hAnsi="Cambria"/>
          <w:i/>
          <w:color w:val="C00000"/>
          <w:kern w:val="0"/>
          <w:sz w:val="28"/>
          <w:szCs w:val="28"/>
          <w:lang w:eastAsia="fr-FR"/>
        </w:rPr>
        <w:t>J303</w:t>
      </w:r>
      <w:r w:rsidR="00091D3D" w:rsidRPr="00672B42">
        <w:rPr>
          <w:rFonts w:ascii="Cambria" w:eastAsia="Times New Roman" w:hAnsi="Cambria"/>
          <w:i/>
          <w:color w:val="C00000"/>
          <w:kern w:val="0"/>
          <w:sz w:val="28"/>
          <w:szCs w:val="28"/>
          <w:lang w:eastAsia="fr-FR"/>
        </w:rPr>
        <w:t>1</w:t>
      </w:r>
      <w:r w:rsidRPr="00672B42">
        <w:rPr>
          <w:rFonts w:ascii="Cambria" w:eastAsia="Times New Roman" w:hAnsi="Cambria"/>
          <w:i/>
          <w:color w:val="C00000"/>
          <w:kern w:val="0"/>
          <w:sz w:val="28"/>
          <w:szCs w:val="28"/>
          <w:lang w:eastAsia="fr-FR"/>
        </w:rPr>
        <w:t>119/J303</w:t>
      </w:r>
      <w:r w:rsidR="00091D3D" w:rsidRPr="00672B42">
        <w:rPr>
          <w:rFonts w:ascii="Cambria" w:eastAsia="Times New Roman" w:hAnsi="Cambria"/>
          <w:i/>
          <w:color w:val="C00000"/>
          <w:kern w:val="0"/>
          <w:sz w:val="28"/>
          <w:szCs w:val="28"/>
          <w:lang w:eastAsia="fr-FR"/>
        </w:rPr>
        <w:t>1</w:t>
      </w:r>
      <w:r w:rsidRPr="00672B42">
        <w:rPr>
          <w:rFonts w:ascii="Cambria" w:eastAsia="Times New Roman" w:hAnsi="Cambria"/>
          <w:i/>
          <w:color w:val="C00000"/>
          <w:kern w:val="0"/>
          <w:sz w:val="28"/>
          <w:szCs w:val="28"/>
          <w:lang w:eastAsia="fr-FR"/>
        </w:rPr>
        <w:t>219</w:t>
      </w:r>
      <w:r w:rsidR="001D5B9F" w:rsidRPr="00672B42">
        <w:rPr>
          <w:rFonts w:ascii="Cambria" w:eastAsia="Times New Roman" w:hAnsi="Cambria"/>
          <w:i/>
          <w:color w:val="C00000"/>
          <w:kern w:val="0"/>
          <w:sz w:val="28"/>
          <w:szCs w:val="28"/>
          <w:lang w:eastAsia="fr-FR"/>
        </w:rPr>
        <w:t xml:space="preserve"> : </w:t>
      </w:r>
      <w:r w:rsidR="00822F82" w:rsidRPr="00672B42">
        <w:rPr>
          <w:rFonts w:ascii="Cambria" w:eastAsia="Times New Roman" w:hAnsi="Cambria"/>
          <w:i/>
          <w:color w:val="C00000"/>
          <w:kern w:val="0"/>
          <w:sz w:val="28"/>
          <w:szCs w:val="28"/>
          <w:lang w:eastAsia="fr-FR"/>
        </w:rPr>
        <w:t xml:space="preserve">Histoire des </w:t>
      </w:r>
      <w:r w:rsidR="003C7501" w:rsidRPr="00672B42">
        <w:rPr>
          <w:rFonts w:ascii="Cambria" w:eastAsia="Times New Roman" w:hAnsi="Cambria"/>
          <w:i/>
          <w:color w:val="C00000"/>
          <w:kern w:val="0"/>
          <w:sz w:val="28"/>
          <w:szCs w:val="28"/>
          <w:lang w:eastAsia="fr-FR"/>
        </w:rPr>
        <w:t>relations internationales à l’époque moderne</w:t>
      </w:r>
    </w:p>
    <w:p w14:paraId="7851BDED" w14:textId="77777777" w:rsidR="0034361D" w:rsidRPr="00672B42" w:rsidRDefault="0034361D" w:rsidP="00822F82">
      <w:pPr>
        <w:spacing w:after="0" w:line="240" w:lineRule="auto"/>
        <w:jc w:val="center"/>
        <w:rPr>
          <w:rFonts w:ascii="Cambria" w:eastAsia="Times New Roman" w:hAnsi="Cambria"/>
          <w:i/>
          <w:color w:val="C00000"/>
          <w:kern w:val="0"/>
          <w:sz w:val="28"/>
          <w:szCs w:val="28"/>
          <w:lang w:eastAsia="fr-FR"/>
        </w:rPr>
      </w:pPr>
    </w:p>
    <w:p w14:paraId="04B30161" w14:textId="338B5EEA" w:rsidR="0034361D" w:rsidRPr="00672B42" w:rsidRDefault="0034361D" w:rsidP="00822F82">
      <w:pPr>
        <w:spacing w:after="0" w:line="240" w:lineRule="auto"/>
        <w:jc w:val="center"/>
        <w:rPr>
          <w:rFonts w:ascii="Cambria" w:eastAsia="Times New Roman" w:hAnsi="Cambria"/>
          <w:i/>
          <w:kern w:val="0"/>
          <w:szCs w:val="24"/>
          <w:u w:val="single"/>
          <w:lang w:eastAsia="fr-FR"/>
        </w:rPr>
      </w:pPr>
      <w:r w:rsidRPr="00672B42">
        <w:rPr>
          <w:rFonts w:ascii="Cambria" w:eastAsia="Times New Roman" w:hAnsi="Cambria"/>
          <w:i/>
          <w:color w:val="C00000"/>
          <w:kern w:val="0"/>
          <w:szCs w:val="24"/>
          <w:u w:val="single"/>
          <w:lang w:eastAsia="fr-FR"/>
        </w:rPr>
        <w:t xml:space="preserve">Cet enseignement se déroulera uniquement au </w:t>
      </w:r>
      <w:r w:rsidR="00D246E7" w:rsidRPr="00672B42">
        <w:rPr>
          <w:rFonts w:ascii="Cambria" w:eastAsia="Times New Roman" w:hAnsi="Cambria"/>
          <w:i/>
          <w:color w:val="C00000"/>
          <w:kern w:val="0"/>
          <w:szCs w:val="24"/>
          <w:u w:val="single"/>
          <w:lang w:eastAsia="fr-FR"/>
        </w:rPr>
        <w:t xml:space="preserve">semestre </w:t>
      </w:r>
      <w:r w:rsidRPr="00672B42">
        <w:rPr>
          <w:rFonts w:ascii="Cambria" w:eastAsia="Times New Roman" w:hAnsi="Cambria"/>
          <w:i/>
          <w:color w:val="C00000"/>
          <w:kern w:val="0"/>
          <w:szCs w:val="24"/>
          <w:u w:val="single"/>
          <w:lang w:eastAsia="fr-FR"/>
        </w:rPr>
        <w:t>1</w:t>
      </w:r>
    </w:p>
    <w:p w14:paraId="00F6A826" w14:textId="77777777" w:rsidR="008F3D0D" w:rsidRPr="00672B42" w:rsidRDefault="008F3D0D" w:rsidP="008F3D0D">
      <w:pPr>
        <w:spacing w:after="0" w:line="240" w:lineRule="auto"/>
        <w:rPr>
          <w:rFonts w:ascii="Cambria" w:eastAsia="Times New Roman" w:hAnsi="Cambria" w:cs="Times New Roman"/>
          <w:b w:val="0"/>
          <w:kern w:val="0"/>
          <w:szCs w:val="24"/>
          <w:lang w:eastAsia="fr-FR"/>
        </w:rPr>
      </w:pPr>
    </w:p>
    <w:p w14:paraId="0B01D90B" w14:textId="6EBD0CDA" w:rsidR="005D25E9" w:rsidRPr="00672B42" w:rsidRDefault="00A605BF" w:rsidP="005D25E9">
      <w:pPr>
        <w:spacing w:after="0" w:line="240" w:lineRule="auto"/>
        <w:jc w:val="center"/>
        <w:rPr>
          <w:rFonts w:ascii="Cambria" w:eastAsia="Times New Roman" w:hAnsi="Cambria" w:cs="Times New Roman"/>
          <w:kern w:val="0"/>
          <w:sz w:val="22"/>
          <w:lang w:eastAsia="fr-FR"/>
        </w:rPr>
      </w:pPr>
      <w:r w:rsidRPr="00672B42">
        <w:rPr>
          <w:rFonts w:ascii="Cambria" w:eastAsia="Times New Roman" w:hAnsi="Cambria" w:cs="Times New Roman"/>
          <w:kern w:val="0"/>
          <w:sz w:val="22"/>
          <w:lang w:eastAsia="fr-FR"/>
        </w:rPr>
        <w:t>Virginie Martin (CM/TD)</w:t>
      </w:r>
    </w:p>
    <w:p w14:paraId="422EA368" w14:textId="77777777" w:rsidR="0010279A" w:rsidRDefault="0010279A" w:rsidP="0010279A">
      <w:pPr>
        <w:rPr>
          <w:rFonts w:ascii="Cambria" w:hAnsi="Cambria"/>
          <w:lang w:eastAsia="fr-FR"/>
        </w:rPr>
      </w:pPr>
    </w:p>
    <w:p w14:paraId="3DA77FC8" w14:textId="2F43AD3C" w:rsidR="00BB3491" w:rsidRPr="00BB3491" w:rsidRDefault="00BB3491" w:rsidP="00BB3491">
      <w:pPr>
        <w:spacing w:line="276" w:lineRule="auto"/>
        <w:contextualSpacing/>
        <w:jc w:val="both"/>
        <w:rPr>
          <w:rFonts w:ascii="Times New Roman" w:eastAsia="Times New Roman" w:hAnsi="Times New Roman" w:cs="Times New Roman"/>
          <w:bCs/>
          <w:color w:val="C00000"/>
          <w:kern w:val="0"/>
          <w:szCs w:val="24"/>
          <w:lang w:eastAsia="fr-FR"/>
        </w:rPr>
      </w:pPr>
      <w:r w:rsidRPr="00BB3491">
        <w:rPr>
          <w:rFonts w:ascii="Cambria" w:eastAsia="Times New Roman" w:hAnsi="Cambria" w:cs="Times New Roman"/>
          <w:bCs/>
          <w:color w:val="C00000"/>
          <w:kern w:val="0"/>
          <w:sz w:val="22"/>
          <w:u w:val="single"/>
          <w:lang w:eastAsia="fr-FR"/>
        </w:rPr>
        <w:t>Sujet du cours</w:t>
      </w:r>
      <w:r w:rsidRPr="00BB3491">
        <w:rPr>
          <w:rFonts w:ascii="Times New Roman" w:eastAsia="Times New Roman" w:hAnsi="Times New Roman" w:cs="Times New Roman"/>
          <w:bCs/>
          <w:color w:val="C00000"/>
          <w:kern w:val="0"/>
          <w:szCs w:val="24"/>
          <w:lang w:eastAsia="fr-FR"/>
        </w:rPr>
        <w:t xml:space="preserve"> </w:t>
      </w:r>
      <w:r w:rsidRPr="00BB3491">
        <w:rPr>
          <w:rFonts w:ascii="Cambria" w:eastAsia="Times New Roman" w:hAnsi="Cambria" w:cs="Times New Roman"/>
          <w:bCs/>
          <w:color w:val="C00000"/>
          <w:kern w:val="0"/>
          <w:sz w:val="22"/>
          <w:lang w:eastAsia="fr-FR"/>
        </w:rPr>
        <w:t>: Géopolitique, acteurs et pratiques, fin XVe-XVIIIe siècles</w:t>
      </w:r>
    </w:p>
    <w:p w14:paraId="5DDDFBCA"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Pour caractériser les relations internationales à l’époque moderne, l’historien Pierre Renouvin a proposé de distinguer les relations internationales des relations diplomatiques en insistant sur le rôle des « forces profondes » ou encore sur celui des conditions géographiques, des enjeux économiques et financiers, du mouvement des idées, des opinions publiques. Cet enseignement a donc pour but non seulement d’acquérir les repères chronologiques essentiels à la compréhension des relations internationales à l’époque moderne mais aussi de s’interroger sur la pertinence du paradigme de l’État nation pour appréhender les relations de la Renaissance aux Lumières et de revenir sur l’« invention » de la diplomatie moderne, à la fois art de négocier, de représenter et d’informer.</w:t>
      </w:r>
    </w:p>
    <w:p w14:paraId="28114FF2"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3B34CF68"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Le premier semestre sera consacré aux acteurs et aux pratiques d’une diplomatie encore largement informelle entre la fin du XVe siècle et le milieu du XVIIe siècle. Les individus (hommes et femmes) et les groupes (nobles, savants, négociants, artistes…) dont l’action dépasse les frontières des entités politiques sont confrontés à la nécessité de s’adapter à des contextes politiques et culturels différents marqués par la rupture de la Chrétienté latine et le mythe de la monarchie universelle. L’histoire des relations internationales n’est pas seulement l’histoire des traités et des négociations entre États. C’est l’histoire des échanges, des mobilités, des rayonnements et des imaginaires qui se déploient dans un espace où le recours à des ambassadeurs permanents et à d’autres intermédiaires se généralise, même si les princes jouent encore un grand rôle.</w:t>
      </w:r>
    </w:p>
    <w:p w14:paraId="7405901C"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14767F61"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210173CC"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4FC41E7E"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Bibliographie, première orientation</w:t>
      </w:r>
    </w:p>
    <w:p w14:paraId="31D2A942"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BELY, Lucien, L’art de la paix en Europe. Naissance de la diplomatie moderne, Paris, 2007.</w:t>
      </w:r>
    </w:p>
    <w:p w14:paraId="79B40883"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BOIS, Jean-Pierre, De la paix des rois à l’ordre des empereurs 1714-1815, Nouvelle histoire des relations internationales, tome III, Paris, Le Seuil, Points histoire, 2003.</w:t>
      </w:r>
    </w:p>
    <w:p w14:paraId="0AB78AFF"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GANTET, Claire, Guerre, paix et construction des États 1618-1714, Nouvelle histoire des relations internationales, tome II, Paris, Le Seuil, Points histoire, 2003.</w:t>
      </w:r>
    </w:p>
    <w:p w14:paraId="3E5C006D"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GANTET Claire / LEBEAU, Christine, Le Saint-Empire 1500-1800, Armand Colin, 2018.</w:t>
      </w:r>
    </w:p>
    <w:p w14:paraId="6A891A61"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HUGON, Alain, Rivalités européennes et hégémonie mondiale. XVIème-XVIIIème siècle, Paris, 2002.</w:t>
      </w:r>
    </w:p>
    <w:p w14:paraId="28C5F1B4"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LE GALL, Jean-Marie, Les guerres d’Italie (1494-1559). Une lecture religieuse, Genève, 2017.</w:t>
      </w:r>
    </w:p>
    <w:p w14:paraId="4CD64089"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SALLMANN, Jean-Michel, Géopolitique du XVIe siècle, Paris le Seuil, 2003. TALLON, Alain, L’Europe au XVIe siècle. États et relations internationales, Paris, PUF, 2010</w:t>
      </w:r>
    </w:p>
    <w:p w14:paraId="52769FCF"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 </w:t>
      </w:r>
    </w:p>
    <w:p w14:paraId="2CC3DCB1" w14:textId="77777777" w:rsidR="00672B42" w:rsidRDefault="00672B42" w:rsidP="0010279A">
      <w:pPr>
        <w:rPr>
          <w:rFonts w:ascii="Cambria" w:hAnsi="Cambria"/>
          <w:lang w:eastAsia="fr-FR"/>
        </w:rPr>
      </w:pPr>
    </w:p>
    <w:p w14:paraId="3141905E" w14:textId="77777777" w:rsidR="00672B42" w:rsidRDefault="00672B42" w:rsidP="0010279A">
      <w:pPr>
        <w:rPr>
          <w:rFonts w:ascii="Cambria" w:hAnsi="Cambria"/>
          <w:lang w:eastAsia="fr-FR"/>
        </w:rPr>
      </w:pPr>
    </w:p>
    <w:p w14:paraId="74E3F9BD" w14:textId="77777777" w:rsidR="00672B42" w:rsidRDefault="00672B42" w:rsidP="0010279A">
      <w:pPr>
        <w:rPr>
          <w:rFonts w:ascii="Cambria" w:hAnsi="Cambria"/>
          <w:lang w:eastAsia="fr-FR"/>
        </w:rPr>
      </w:pPr>
    </w:p>
    <w:p w14:paraId="75955908" w14:textId="77777777" w:rsidR="00672B42" w:rsidRDefault="00672B42" w:rsidP="0010279A">
      <w:pPr>
        <w:rPr>
          <w:rFonts w:ascii="Cambria" w:hAnsi="Cambria"/>
          <w:lang w:eastAsia="fr-FR"/>
        </w:rPr>
      </w:pPr>
    </w:p>
    <w:p w14:paraId="074A85EB" w14:textId="77777777" w:rsidR="00672B42" w:rsidRDefault="00672B42" w:rsidP="0010279A">
      <w:pPr>
        <w:rPr>
          <w:rFonts w:ascii="Cambria" w:hAnsi="Cambria"/>
          <w:lang w:eastAsia="fr-FR"/>
        </w:rPr>
      </w:pPr>
    </w:p>
    <w:p w14:paraId="12C53155" w14:textId="77777777" w:rsidR="00672B42" w:rsidRDefault="00672B42" w:rsidP="0010279A">
      <w:pPr>
        <w:rPr>
          <w:rFonts w:ascii="Cambria" w:hAnsi="Cambria"/>
          <w:lang w:eastAsia="fr-FR"/>
        </w:rPr>
      </w:pPr>
    </w:p>
    <w:p w14:paraId="1C4BCE79" w14:textId="77777777" w:rsidR="00672B42" w:rsidRDefault="00672B42" w:rsidP="0010279A">
      <w:pPr>
        <w:rPr>
          <w:rFonts w:ascii="Cambria" w:hAnsi="Cambria"/>
          <w:lang w:eastAsia="fr-FR"/>
        </w:rPr>
      </w:pPr>
    </w:p>
    <w:p w14:paraId="6B557E4D" w14:textId="77777777" w:rsidR="00672B42" w:rsidRDefault="00672B42" w:rsidP="0010279A">
      <w:pPr>
        <w:rPr>
          <w:rFonts w:ascii="Cambria" w:hAnsi="Cambria"/>
          <w:lang w:eastAsia="fr-FR"/>
        </w:rPr>
      </w:pPr>
    </w:p>
    <w:p w14:paraId="7C7A6D48" w14:textId="77777777" w:rsidR="00672B42" w:rsidRDefault="00672B42" w:rsidP="0010279A">
      <w:pPr>
        <w:rPr>
          <w:rFonts w:ascii="Cambria" w:hAnsi="Cambria"/>
          <w:lang w:eastAsia="fr-FR"/>
        </w:rPr>
      </w:pPr>
    </w:p>
    <w:p w14:paraId="6D0E69AF" w14:textId="77777777" w:rsidR="00672B42" w:rsidRDefault="00672B42" w:rsidP="0010279A">
      <w:pPr>
        <w:rPr>
          <w:rFonts w:ascii="Cambria" w:hAnsi="Cambria"/>
          <w:lang w:eastAsia="fr-FR"/>
        </w:rPr>
      </w:pPr>
    </w:p>
    <w:p w14:paraId="65C14985" w14:textId="77777777" w:rsidR="00672B42" w:rsidRDefault="00672B42" w:rsidP="0010279A">
      <w:pPr>
        <w:rPr>
          <w:rFonts w:ascii="Cambria" w:hAnsi="Cambria"/>
          <w:lang w:eastAsia="fr-FR"/>
        </w:rPr>
      </w:pPr>
    </w:p>
    <w:p w14:paraId="66943830" w14:textId="77777777" w:rsidR="00672B42" w:rsidRDefault="00672B42" w:rsidP="0010279A">
      <w:pPr>
        <w:rPr>
          <w:rFonts w:ascii="Cambria" w:hAnsi="Cambria"/>
          <w:lang w:eastAsia="fr-FR"/>
        </w:rPr>
      </w:pPr>
    </w:p>
    <w:p w14:paraId="2C4EBA3B" w14:textId="77777777" w:rsidR="00672B42" w:rsidRDefault="00672B42" w:rsidP="0010279A">
      <w:pPr>
        <w:rPr>
          <w:rFonts w:ascii="Cambria" w:hAnsi="Cambria"/>
          <w:lang w:eastAsia="fr-FR"/>
        </w:rPr>
      </w:pPr>
    </w:p>
    <w:p w14:paraId="5877D093" w14:textId="77777777" w:rsidR="00672B42" w:rsidRDefault="00672B42" w:rsidP="0010279A">
      <w:pPr>
        <w:rPr>
          <w:rFonts w:ascii="Cambria" w:hAnsi="Cambria"/>
          <w:lang w:eastAsia="fr-FR"/>
        </w:rPr>
      </w:pPr>
    </w:p>
    <w:p w14:paraId="713C0386" w14:textId="77777777" w:rsidR="00672B42" w:rsidRDefault="00672B42" w:rsidP="0010279A">
      <w:pPr>
        <w:rPr>
          <w:rFonts w:ascii="Cambria" w:hAnsi="Cambria"/>
          <w:lang w:eastAsia="fr-FR"/>
        </w:rPr>
      </w:pPr>
    </w:p>
    <w:p w14:paraId="77502AB6" w14:textId="77777777" w:rsidR="0093277D" w:rsidRPr="00CB5007" w:rsidRDefault="0093277D" w:rsidP="0010279A">
      <w:pPr>
        <w:rPr>
          <w:rFonts w:ascii="Cambria" w:hAnsi="Cambria"/>
          <w:lang w:eastAsia="fr-FR"/>
        </w:rPr>
      </w:pPr>
    </w:p>
    <w:p w14:paraId="257C0A43" w14:textId="77777777" w:rsidR="0093277D" w:rsidRPr="00CB5007" w:rsidRDefault="0093277D" w:rsidP="0010279A">
      <w:pPr>
        <w:rPr>
          <w:rFonts w:ascii="Cambria" w:hAnsi="Cambria"/>
          <w:lang w:eastAsia="fr-FR"/>
        </w:rPr>
      </w:pPr>
    </w:p>
    <w:p w14:paraId="4E9B148C" w14:textId="77777777" w:rsidR="0093277D" w:rsidRPr="00CB5007" w:rsidRDefault="0093277D" w:rsidP="0010279A">
      <w:pPr>
        <w:rPr>
          <w:rFonts w:ascii="Cambria" w:hAnsi="Cambria"/>
          <w:lang w:eastAsia="fr-FR"/>
        </w:rPr>
      </w:pPr>
    </w:p>
    <w:p w14:paraId="1FD4A128" w14:textId="77777777" w:rsidR="0093277D" w:rsidRPr="00CB5007" w:rsidRDefault="0093277D" w:rsidP="0010279A">
      <w:pPr>
        <w:rPr>
          <w:rFonts w:ascii="Cambria" w:hAnsi="Cambria"/>
          <w:lang w:eastAsia="fr-FR"/>
        </w:rPr>
      </w:pPr>
    </w:p>
    <w:p w14:paraId="4FB14A49" w14:textId="77777777" w:rsidR="0093277D" w:rsidRPr="00CB5007" w:rsidRDefault="0093277D" w:rsidP="0010279A">
      <w:pPr>
        <w:rPr>
          <w:rFonts w:ascii="Cambria" w:hAnsi="Cambria"/>
          <w:lang w:eastAsia="fr-FR"/>
        </w:rPr>
      </w:pPr>
    </w:p>
    <w:p w14:paraId="2705F1CB" w14:textId="77777777" w:rsidR="0093277D" w:rsidRPr="00CB5007" w:rsidRDefault="0093277D" w:rsidP="0010279A">
      <w:pPr>
        <w:rPr>
          <w:rFonts w:ascii="Cambria" w:hAnsi="Cambria"/>
          <w:lang w:eastAsia="fr-FR"/>
        </w:rPr>
      </w:pPr>
    </w:p>
    <w:p w14:paraId="703D334A" w14:textId="77777777" w:rsidR="0010279A" w:rsidRDefault="0010279A" w:rsidP="0010279A">
      <w:pPr>
        <w:rPr>
          <w:rFonts w:ascii="Cambria" w:hAnsi="Cambria"/>
          <w:lang w:eastAsia="fr-FR"/>
        </w:rPr>
      </w:pPr>
    </w:p>
    <w:p w14:paraId="430B11D7" w14:textId="77777777" w:rsidR="00640569" w:rsidRDefault="00640569" w:rsidP="0010279A">
      <w:pPr>
        <w:rPr>
          <w:rFonts w:ascii="Cambria" w:hAnsi="Cambria"/>
          <w:lang w:eastAsia="fr-FR"/>
        </w:rPr>
      </w:pPr>
    </w:p>
    <w:p w14:paraId="7C14C9D6" w14:textId="77777777" w:rsidR="00BB3491" w:rsidRPr="00CB5007" w:rsidRDefault="00BB3491" w:rsidP="008D65C6">
      <w:pPr>
        <w:pStyle w:val="Titre22"/>
        <w:pBdr>
          <w:left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 CONTEMPORAINE</w:t>
      </w:r>
    </w:p>
    <w:p w14:paraId="277F10AB" w14:textId="77777777" w:rsidR="00640569" w:rsidRDefault="00640569" w:rsidP="0010279A">
      <w:pPr>
        <w:rPr>
          <w:rFonts w:ascii="Cambria" w:hAnsi="Cambria"/>
          <w:lang w:eastAsia="fr-FR"/>
        </w:rPr>
      </w:pPr>
    </w:p>
    <w:p w14:paraId="6CD27546" w14:textId="77777777" w:rsidR="00640569" w:rsidRDefault="00640569" w:rsidP="0010279A">
      <w:pPr>
        <w:rPr>
          <w:rFonts w:ascii="Cambria" w:hAnsi="Cambria"/>
          <w:lang w:eastAsia="fr-FR"/>
        </w:rPr>
      </w:pPr>
    </w:p>
    <w:p w14:paraId="3CCD7BFF" w14:textId="77777777" w:rsidR="00672B42" w:rsidRDefault="00672B42" w:rsidP="0010279A">
      <w:pPr>
        <w:rPr>
          <w:rFonts w:ascii="Cambria" w:hAnsi="Cambria"/>
          <w:lang w:eastAsia="fr-FR"/>
        </w:rPr>
      </w:pPr>
    </w:p>
    <w:p w14:paraId="47B1D72C" w14:textId="77777777" w:rsidR="00672B42" w:rsidRDefault="00672B42" w:rsidP="0010279A">
      <w:pPr>
        <w:rPr>
          <w:rFonts w:ascii="Cambria" w:hAnsi="Cambria"/>
          <w:lang w:eastAsia="fr-FR"/>
        </w:rPr>
      </w:pPr>
    </w:p>
    <w:p w14:paraId="5442621B" w14:textId="77777777" w:rsidR="00672B42" w:rsidRDefault="00672B42" w:rsidP="0010279A">
      <w:pPr>
        <w:rPr>
          <w:rFonts w:ascii="Cambria" w:hAnsi="Cambria"/>
          <w:lang w:eastAsia="fr-FR"/>
        </w:rPr>
      </w:pPr>
    </w:p>
    <w:p w14:paraId="3DA293BE" w14:textId="77777777" w:rsidR="00672B42" w:rsidRDefault="00672B42" w:rsidP="0010279A">
      <w:pPr>
        <w:rPr>
          <w:rFonts w:ascii="Cambria" w:hAnsi="Cambria"/>
          <w:lang w:eastAsia="fr-FR"/>
        </w:rPr>
      </w:pPr>
    </w:p>
    <w:p w14:paraId="2FF9EDF4" w14:textId="77777777" w:rsidR="00672B42" w:rsidRDefault="00672B42" w:rsidP="0010279A">
      <w:pPr>
        <w:rPr>
          <w:rFonts w:ascii="Cambria" w:hAnsi="Cambria"/>
          <w:lang w:eastAsia="fr-FR"/>
        </w:rPr>
      </w:pPr>
    </w:p>
    <w:p w14:paraId="567EEACA" w14:textId="77777777" w:rsidR="00640569" w:rsidRPr="00CB5007" w:rsidRDefault="00640569" w:rsidP="0010279A">
      <w:pPr>
        <w:rPr>
          <w:rFonts w:ascii="Cambria" w:hAnsi="Cambria"/>
          <w:lang w:eastAsia="fr-FR"/>
        </w:rPr>
      </w:pPr>
    </w:p>
    <w:p w14:paraId="5F620105" w14:textId="77777777" w:rsidR="0010279A" w:rsidRPr="00CB5007" w:rsidRDefault="0010279A" w:rsidP="0010279A">
      <w:pPr>
        <w:rPr>
          <w:rFonts w:ascii="Cambria" w:hAnsi="Cambria"/>
          <w:lang w:eastAsia="fr-FR"/>
        </w:rPr>
      </w:pPr>
    </w:p>
    <w:p w14:paraId="73A443DF" w14:textId="77777777" w:rsidR="0010279A" w:rsidRPr="00CB5007" w:rsidRDefault="0010279A" w:rsidP="0010279A">
      <w:pPr>
        <w:rPr>
          <w:rFonts w:ascii="Cambria" w:hAnsi="Cambria"/>
          <w:lang w:eastAsia="fr-FR"/>
        </w:rPr>
      </w:pPr>
    </w:p>
    <w:p w14:paraId="699A73E3" w14:textId="77777777" w:rsidR="0010279A" w:rsidRPr="00CB5007" w:rsidRDefault="0010279A" w:rsidP="0010279A">
      <w:pPr>
        <w:rPr>
          <w:rFonts w:ascii="Cambria" w:hAnsi="Cambria"/>
          <w:lang w:eastAsia="fr-FR"/>
        </w:rPr>
      </w:pPr>
    </w:p>
    <w:p w14:paraId="2F582656" w14:textId="77777777" w:rsidR="0010279A" w:rsidRPr="00CB5007" w:rsidRDefault="0010279A" w:rsidP="0010279A">
      <w:pPr>
        <w:rPr>
          <w:rFonts w:ascii="Cambria" w:hAnsi="Cambria"/>
          <w:lang w:eastAsia="fr-FR"/>
        </w:rPr>
      </w:pPr>
    </w:p>
    <w:p w14:paraId="5CA219FE" w14:textId="77777777" w:rsidR="0010279A" w:rsidRPr="00CB5007" w:rsidRDefault="0010279A" w:rsidP="0010279A">
      <w:pPr>
        <w:rPr>
          <w:rFonts w:ascii="Cambria" w:hAnsi="Cambria"/>
          <w:lang w:eastAsia="fr-FR"/>
        </w:rPr>
      </w:pPr>
    </w:p>
    <w:p w14:paraId="1DAFE30D" w14:textId="77777777" w:rsidR="0010279A" w:rsidRPr="00CB5007" w:rsidRDefault="0010279A" w:rsidP="0010279A">
      <w:pPr>
        <w:rPr>
          <w:rFonts w:ascii="Cambria" w:hAnsi="Cambria"/>
          <w:lang w:eastAsia="fr-FR"/>
        </w:rPr>
      </w:pPr>
    </w:p>
    <w:p w14:paraId="228D0145" w14:textId="77777777" w:rsidR="0010279A" w:rsidRPr="00CB5007" w:rsidRDefault="0010279A" w:rsidP="0010279A">
      <w:pPr>
        <w:rPr>
          <w:rFonts w:ascii="Cambria" w:hAnsi="Cambria"/>
          <w:lang w:eastAsia="fr-FR"/>
        </w:rPr>
      </w:pPr>
    </w:p>
    <w:p w14:paraId="5B856218" w14:textId="77777777" w:rsidR="0010279A" w:rsidRPr="00CB5007" w:rsidRDefault="0010279A" w:rsidP="0010279A">
      <w:pPr>
        <w:rPr>
          <w:rFonts w:ascii="Cambria" w:hAnsi="Cambria"/>
          <w:lang w:eastAsia="fr-FR"/>
        </w:rPr>
      </w:pPr>
    </w:p>
    <w:p w14:paraId="5374E31F" w14:textId="77777777" w:rsidR="0010279A" w:rsidRPr="00CB5007" w:rsidRDefault="0010279A" w:rsidP="0010279A">
      <w:pPr>
        <w:rPr>
          <w:rFonts w:ascii="Cambria" w:hAnsi="Cambria"/>
          <w:lang w:eastAsia="fr-FR"/>
        </w:rPr>
      </w:pPr>
    </w:p>
    <w:p w14:paraId="39E506A2" w14:textId="77777777" w:rsidR="0010279A" w:rsidRPr="00CB5007" w:rsidRDefault="0010279A" w:rsidP="0010279A">
      <w:pPr>
        <w:rPr>
          <w:rFonts w:ascii="Cambria" w:hAnsi="Cambria"/>
          <w:lang w:eastAsia="fr-FR"/>
        </w:rPr>
      </w:pPr>
    </w:p>
    <w:p w14:paraId="7E6470D0" w14:textId="77777777" w:rsidR="0010279A" w:rsidRPr="00CB5007" w:rsidRDefault="0010279A" w:rsidP="0010279A">
      <w:pPr>
        <w:rPr>
          <w:rFonts w:ascii="Cambria" w:hAnsi="Cambria"/>
          <w:lang w:eastAsia="fr-FR"/>
        </w:rPr>
      </w:pPr>
    </w:p>
    <w:p w14:paraId="7E2928AB" w14:textId="77777777" w:rsidR="0010279A" w:rsidRPr="00CB5007" w:rsidRDefault="0010279A" w:rsidP="0010279A">
      <w:pPr>
        <w:rPr>
          <w:rFonts w:ascii="Cambria" w:hAnsi="Cambria"/>
          <w:lang w:eastAsia="fr-FR"/>
        </w:rPr>
      </w:pPr>
    </w:p>
    <w:p w14:paraId="731BA2AC" w14:textId="77777777" w:rsidR="00296C7F" w:rsidRDefault="00296C7F" w:rsidP="00461423">
      <w:pPr>
        <w:spacing w:after="0" w:line="276" w:lineRule="auto"/>
        <w:contextualSpacing/>
        <w:jc w:val="both"/>
        <w:rPr>
          <w:rFonts w:ascii="Cambria" w:hAnsi="Cambria"/>
          <w:lang w:eastAsia="fr-FR"/>
        </w:rPr>
      </w:pPr>
    </w:p>
    <w:p w14:paraId="5139E42B" w14:textId="77777777" w:rsidR="00BB3491" w:rsidRDefault="00BB3491" w:rsidP="00461423">
      <w:pPr>
        <w:spacing w:after="0" w:line="276" w:lineRule="auto"/>
        <w:contextualSpacing/>
        <w:jc w:val="both"/>
        <w:rPr>
          <w:rFonts w:ascii="Cambria" w:hAnsi="Cambria"/>
          <w:lang w:eastAsia="fr-FR"/>
        </w:rPr>
      </w:pPr>
    </w:p>
    <w:p w14:paraId="6F74F33E" w14:textId="77777777" w:rsidR="00BB3491" w:rsidRDefault="00BB3491" w:rsidP="00461423">
      <w:pPr>
        <w:spacing w:after="0" w:line="276" w:lineRule="auto"/>
        <w:contextualSpacing/>
        <w:jc w:val="both"/>
        <w:rPr>
          <w:rFonts w:ascii="Cambria" w:hAnsi="Cambria"/>
          <w:lang w:eastAsia="fr-FR"/>
        </w:rPr>
      </w:pPr>
    </w:p>
    <w:p w14:paraId="65528287" w14:textId="77777777" w:rsidR="00BB3491" w:rsidRPr="00CB5007" w:rsidRDefault="00BB3491" w:rsidP="00461423">
      <w:pPr>
        <w:spacing w:after="0" w:line="276" w:lineRule="auto"/>
        <w:contextualSpacing/>
        <w:jc w:val="both"/>
        <w:rPr>
          <w:rFonts w:ascii="Cambria" w:hAnsi="Cambria"/>
          <w:b w:val="0"/>
          <w:sz w:val="22"/>
        </w:rPr>
      </w:pPr>
    </w:p>
    <w:p w14:paraId="5F07DB85" w14:textId="77777777" w:rsidR="00EF0E91" w:rsidRPr="00CB5007" w:rsidRDefault="00EF0E91" w:rsidP="002C234E">
      <w:pPr>
        <w:spacing w:after="0" w:line="276" w:lineRule="auto"/>
        <w:contextualSpacing/>
        <w:jc w:val="both"/>
        <w:rPr>
          <w:rFonts w:ascii="Cambria" w:hAnsi="Cambria"/>
          <w:i/>
          <w:color w:val="C00000"/>
          <w:sz w:val="28"/>
          <w:szCs w:val="28"/>
        </w:rPr>
      </w:pPr>
    </w:p>
    <w:p w14:paraId="0D8190C1" w14:textId="17E7DA6B" w:rsidR="00824B87" w:rsidRPr="00CB5007" w:rsidRDefault="00824B87" w:rsidP="00824B87">
      <w:pPr>
        <w:jc w:val="center"/>
        <w:rPr>
          <w:rFonts w:ascii="Cambria" w:eastAsia="Times New Roman" w:hAnsi="Cambria" w:cs="Times New Roman"/>
          <w:i/>
          <w:color w:val="C00000"/>
          <w:sz w:val="28"/>
          <w:szCs w:val="28"/>
        </w:rPr>
      </w:pPr>
      <w:r w:rsidRPr="00CB5007">
        <w:rPr>
          <w:rFonts w:ascii="Cambria" w:eastAsia="Times New Roman" w:hAnsi="Cambria" w:cs="Times New Roman"/>
          <w:i/>
          <w:color w:val="C00000"/>
          <w:sz w:val="28"/>
          <w:szCs w:val="28"/>
        </w:rPr>
        <w:t>J30</w:t>
      </w:r>
      <w:r w:rsidR="00533A94">
        <w:rPr>
          <w:rFonts w:ascii="Cambria" w:eastAsia="Times New Roman" w:hAnsi="Cambria" w:cs="Times New Roman"/>
          <w:i/>
          <w:color w:val="C00000"/>
          <w:sz w:val="28"/>
          <w:szCs w:val="28"/>
        </w:rPr>
        <w:t>14125</w:t>
      </w:r>
      <w:r w:rsidRPr="00CB5007">
        <w:rPr>
          <w:rFonts w:ascii="Cambria" w:eastAsia="Times New Roman" w:hAnsi="Cambria" w:cs="Times New Roman"/>
          <w:i/>
          <w:color w:val="C00000"/>
          <w:sz w:val="28"/>
          <w:szCs w:val="28"/>
        </w:rPr>
        <w:t>/J30</w:t>
      </w:r>
      <w:r w:rsidR="00533A94">
        <w:rPr>
          <w:rFonts w:ascii="Cambria" w:eastAsia="Times New Roman" w:hAnsi="Cambria" w:cs="Times New Roman"/>
          <w:i/>
          <w:color w:val="C00000"/>
          <w:sz w:val="28"/>
          <w:szCs w:val="28"/>
        </w:rPr>
        <w:t>14225</w:t>
      </w:r>
      <w:r w:rsidRPr="00CB5007">
        <w:rPr>
          <w:rFonts w:ascii="Cambria" w:eastAsia="Times New Roman" w:hAnsi="Cambria" w:cs="Times New Roman"/>
          <w:i/>
          <w:color w:val="C00000"/>
          <w:sz w:val="28"/>
          <w:szCs w:val="28"/>
        </w:rPr>
        <w:t xml:space="preserve"> : Histoire environnementale des sociétés occidentales</w:t>
      </w:r>
    </w:p>
    <w:p w14:paraId="3E9AF31C" w14:textId="6841DC20" w:rsidR="00824B87" w:rsidRPr="00CB5007" w:rsidRDefault="00824B87" w:rsidP="00824B87">
      <w:pPr>
        <w:jc w:val="center"/>
        <w:rPr>
          <w:rFonts w:ascii="Cambria" w:eastAsia="Times New Roman" w:hAnsi="Cambria" w:cs="Times New Roman"/>
          <w:sz w:val="22"/>
        </w:rPr>
      </w:pPr>
      <w:r w:rsidRPr="00CB5007">
        <w:rPr>
          <w:rFonts w:ascii="Cambria" w:eastAsia="Times New Roman" w:hAnsi="Cambria" w:cs="Times New Roman"/>
          <w:sz w:val="22"/>
        </w:rPr>
        <w:t>Clément Fontanarava</w:t>
      </w:r>
      <w:r w:rsidR="001C4F1F" w:rsidRPr="00CB5007">
        <w:rPr>
          <w:rFonts w:ascii="Cambria" w:eastAsia="Times New Roman" w:hAnsi="Cambria" w:cs="Times New Roman"/>
          <w:sz w:val="22"/>
        </w:rPr>
        <w:t xml:space="preserve">, </w:t>
      </w:r>
      <w:r w:rsidRPr="00CB5007">
        <w:rPr>
          <w:rFonts w:ascii="Cambria" w:eastAsia="Times New Roman" w:hAnsi="Cambria" w:cs="Times New Roman"/>
          <w:sz w:val="22"/>
        </w:rPr>
        <w:t>Benoît Livet</w:t>
      </w:r>
      <w:r w:rsidR="001C4F1F" w:rsidRPr="00CB5007">
        <w:rPr>
          <w:rFonts w:ascii="Cambria" w:eastAsia="Times New Roman" w:hAnsi="Cambria" w:cs="Times New Roman"/>
          <w:sz w:val="22"/>
        </w:rPr>
        <w:t xml:space="preserve">, </w:t>
      </w:r>
      <w:r w:rsidR="00661513">
        <w:rPr>
          <w:rFonts w:ascii="Cambria" w:eastAsia="Times New Roman" w:hAnsi="Cambria" w:cs="Times New Roman"/>
          <w:sz w:val="22"/>
        </w:rPr>
        <w:t xml:space="preserve">Benoit Livet </w:t>
      </w:r>
      <w:r w:rsidR="00D246E7" w:rsidRPr="00CB5007">
        <w:rPr>
          <w:rFonts w:ascii="Cambria" w:eastAsia="Times New Roman" w:hAnsi="Cambria" w:cs="Times New Roman"/>
          <w:sz w:val="22"/>
        </w:rPr>
        <w:t>(</w:t>
      </w:r>
      <w:r w:rsidRPr="00CB5007">
        <w:rPr>
          <w:rFonts w:ascii="Cambria" w:eastAsia="Times New Roman" w:hAnsi="Cambria" w:cs="Times New Roman"/>
          <w:sz w:val="22"/>
        </w:rPr>
        <w:t>CM</w:t>
      </w:r>
      <w:r w:rsidR="00EF1408">
        <w:rPr>
          <w:rFonts w:ascii="Cambria" w:eastAsia="Times New Roman" w:hAnsi="Cambria" w:cs="Times New Roman"/>
          <w:sz w:val="22"/>
        </w:rPr>
        <w:t>/</w:t>
      </w:r>
      <w:r w:rsidRPr="00CB5007">
        <w:rPr>
          <w:rFonts w:ascii="Cambria" w:eastAsia="Times New Roman" w:hAnsi="Cambria" w:cs="Times New Roman"/>
          <w:sz w:val="22"/>
        </w:rPr>
        <w:t>TD</w:t>
      </w:r>
      <w:r w:rsidR="003F686F">
        <w:rPr>
          <w:rFonts w:ascii="Cambria" w:eastAsia="Times New Roman" w:hAnsi="Cambria" w:cs="Times New Roman"/>
          <w:sz w:val="22"/>
        </w:rPr>
        <w:t xml:space="preserve"> S1</w:t>
      </w:r>
      <w:r w:rsidRPr="00CB5007">
        <w:rPr>
          <w:rFonts w:ascii="Cambria" w:eastAsia="Times New Roman" w:hAnsi="Cambria" w:cs="Times New Roman"/>
          <w:sz w:val="22"/>
        </w:rPr>
        <w:t>)</w:t>
      </w:r>
    </w:p>
    <w:p w14:paraId="596D5F73" w14:textId="425E5E5A" w:rsidR="00824B87" w:rsidRPr="00CB5007" w:rsidRDefault="00824B87" w:rsidP="00824B87">
      <w:pPr>
        <w:jc w:val="center"/>
        <w:rPr>
          <w:rFonts w:ascii="Cambria" w:eastAsia="Times New Roman" w:hAnsi="Cambria" w:cs="Times New Roman"/>
          <w:sz w:val="22"/>
        </w:rPr>
      </w:pPr>
      <w:r w:rsidRPr="00CB5007">
        <w:rPr>
          <w:rFonts w:ascii="Cambria" w:eastAsia="Times New Roman" w:hAnsi="Cambria" w:cs="Times New Roman"/>
          <w:sz w:val="22"/>
        </w:rPr>
        <w:t>Charles-François Mathis (CM</w:t>
      </w:r>
      <w:r w:rsidR="00EF1408">
        <w:rPr>
          <w:rFonts w:ascii="Cambria" w:eastAsia="Times New Roman" w:hAnsi="Cambria" w:cs="Times New Roman"/>
          <w:sz w:val="22"/>
        </w:rPr>
        <w:t>/</w:t>
      </w:r>
      <w:r w:rsidRPr="00CB5007">
        <w:rPr>
          <w:rFonts w:ascii="Cambria" w:eastAsia="Times New Roman" w:hAnsi="Cambria" w:cs="Times New Roman"/>
          <w:sz w:val="22"/>
        </w:rPr>
        <w:t>TD</w:t>
      </w:r>
      <w:r w:rsidR="003F686F">
        <w:rPr>
          <w:rFonts w:ascii="Cambria" w:eastAsia="Times New Roman" w:hAnsi="Cambria" w:cs="Times New Roman"/>
          <w:sz w:val="22"/>
        </w:rPr>
        <w:t xml:space="preserve"> S2</w:t>
      </w:r>
      <w:r w:rsidRPr="00CB5007">
        <w:rPr>
          <w:rFonts w:ascii="Cambria" w:eastAsia="Times New Roman" w:hAnsi="Cambria" w:cs="Times New Roman"/>
          <w:sz w:val="22"/>
        </w:rPr>
        <w:t>)</w:t>
      </w:r>
    </w:p>
    <w:p w14:paraId="53F3964B" w14:textId="77777777" w:rsidR="00824B87" w:rsidRPr="00CB5007" w:rsidRDefault="00824B87" w:rsidP="00824B87">
      <w:pPr>
        <w:rPr>
          <w:rFonts w:ascii="Cambria" w:eastAsia="Times New Roman" w:hAnsi="Cambria" w:cs="Times New Roman"/>
          <w:b w:val="0"/>
          <w:sz w:val="22"/>
        </w:rPr>
      </w:pPr>
    </w:p>
    <w:p w14:paraId="00E1E61C" w14:textId="77777777" w:rsidR="002C6419" w:rsidRDefault="00824B87" w:rsidP="002C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Times New Roman"/>
          <w:color w:val="C00000"/>
          <w:sz w:val="22"/>
        </w:rPr>
      </w:pPr>
      <w:r w:rsidRPr="00CB5007">
        <w:rPr>
          <w:rFonts w:ascii="Cambria" w:hAnsi="Cambria" w:cs="Times New Roman"/>
          <w:color w:val="C00000"/>
          <w:sz w:val="22"/>
          <w:u w:val="single"/>
        </w:rPr>
        <w:t xml:space="preserve">Sujet du cours </w:t>
      </w:r>
      <w:r w:rsidR="002C6419">
        <w:rPr>
          <w:rFonts w:ascii="Cambria" w:hAnsi="Cambria" w:cs="Times New Roman"/>
          <w:color w:val="C00000"/>
          <w:sz w:val="22"/>
          <w:u w:val="single"/>
        </w:rPr>
        <w:t xml:space="preserve">semestre </w:t>
      </w:r>
      <w:r w:rsidRPr="00CB5007">
        <w:rPr>
          <w:rFonts w:ascii="Cambria" w:hAnsi="Cambria" w:cs="Times New Roman"/>
          <w:color w:val="C00000"/>
          <w:sz w:val="22"/>
          <w:u w:val="single"/>
        </w:rPr>
        <w:t>1</w:t>
      </w:r>
      <w:r w:rsidRPr="00CB5007">
        <w:rPr>
          <w:rFonts w:ascii="Cambria" w:hAnsi="Cambria" w:cs="Times New Roman"/>
          <w:b w:val="0"/>
          <w:bCs/>
          <w:color w:val="C00000"/>
          <w:sz w:val="22"/>
        </w:rPr>
        <w:t xml:space="preserve"> : </w:t>
      </w:r>
      <w:r w:rsidRPr="00CB5007">
        <w:rPr>
          <w:rFonts w:ascii="Cambria" w:hAnsi="Cambria" w:cs="Times New Roman"/>
          <w:color w:val="C00000"/>
          <w:sz w:val="22"/>
        </w:rPr>
        <w:t>La modernisation à quel prix ? Une histoire environnementale de la France (1870-1970)</w:t>
      </w:r>
    </w:p>
    <w:p w14:paraId="311F3452" w14:textId="5073ADDD" w:rsidR="00824B87" w:rsidRPr="002C6419" w:rsidRDefault="00824B87" w:rsidP="00AD6F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cs="Times New Roman"/>
          <w:color w:val="C00000"/>
          <w:sz w:val="22"/>
        </w:rPr>
      </w:pPr>
      <w:r w:rsidRPr="00CB5007">
        <w:rPr>
          <w:rFonts w:ascii="Cambria" w:hAnsi="Cambria" w:cs="Times New Roman"/>
          <w:b w:val="0"/>
          <w:bCs/>
          <w:sz w:val="22"/>
        </w:rPr>
        <w:t xml:space="preserve">De la deuxième industrialisation à la grande accélération d’après 1945, ce cours propose un contre-récit de la modernisation de la France. De l’Hexagone à son empire colonial, puis aux territoires d’outre-mer, des villes aux campagnes, de la surface transformée à l’air pollué, en passant par les sous-sols exploités, cette modernisation a un prix : des dégradations environnementales multiples, contre lesquelles des voix se sont pourtant élevées. Les dynamiques d’industrialisation en France s’intensifient à partir du dernier tiers du XIXe siècle. La Première Guerre mondiale, de par sa dimension industrielle, entraîne aussi de profonds ravages sur le plan environnemental, tandis que la crise économique des années 1930 s’accompagne d’une pression accrue sur les ressources de l’empire colonial. Après la Seconde Guerre mondiale, dans un pays où la population est majoritairement urbaine depuis déjà deux décennies, l’élan modernisateur se poursuit et connaît une accélération, au point que le chrononyme inventé pour qualifier cette période, les « Trente Glorieuses », masque les atteintes à l’environnement qui sont pourtant profondes. Durant ce siècle, des oppositions ont néanmoins émergé pour dénoncer les conséquences de cette marche forcée vers un progrès qui suscite aussi des désenchantements (destruction des paysages et de la biodiversité, pollutions diverses et risques pour la santé, épuisement des ressources, etc.). Les pouvoirs publics, interpellés par l’opinion, ont parfois cherché à intervenir. Des mesures visant à limiter certains excès ont été décidées, avant que les années 1960 ne soient marquées par des réflexions autour du concept d’« environnement » et l’élaboration de nouvelles politiques publiques, dont le but n’est pas de s’opposer au productivisme en tant que tel, mais plutôt de corriger ses effets les plus indésirables afin d’éviter sa remise en cause. Ce cours se propose d’étudier la période 1870-1970 à travers des objets trop longtemps négligés, pour regarder sous un nouvel angle un siècle de bouleversements politiques, sociaux, démographiques, paysagers, énergétiques. En étudiant les interactions incessantes entre les acteurs et actrices de l’histoire et leur environnement, nous souhaitons apporter un éclairage nouveau sur cette période charnière. </w:t>
      </w:r>
      <w:r w:rsidRPr="00CB5007">
        <w:rPr>
          <w:rFonts w:ascii="Cambria" w:eastAsia="MS Mincho" w:hAnsi="Cambria" w:cs="Times New Roman"/>
          <w:b w:val="0"/>
          <w:bCs/>
          <w:sz w:val="22"/>
        </w:rPr>
        <w:t xml:space="preserve">  </w:t>
      </w:r>
    </w:p>
    <w:p w14:paraId="1526F067" w14:textId="77777777" w:rsidR="00824B87" w:rsidRPr="00CB5007" w:rsidRDefault="00824B87" w:rsidP="00824B87">
      <w:pPr>
        <w:spacing w:after="0"/>
        <w:jc w:val="both"/>
        <w:rPr>
          <w:rFonts w:ascii="Cambria" w:hAnsi="Cambria" w:cs="Times New Roman"/>
          <w:b w:val="0"/>
          <w:bCs/>
          <w:sz w:val="22"/>
          <w:u w:val="single"/>
        </w:rPr>
      </w:pPr>
    </w:p>
    <w:p w14:paraId="11E16541"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u w:val="single"/>
        </w:rPr>
        <w:t xml:space="preserve">Bibliographie indicative </w:t>
      </w:r>
      <w:r w:rsidRPr="00CB5007">
        <w:rPr>
          <w:rFonts w:ascii="Cambria" w:hAnsi="Cambria" w:cs="Times New Roman"/>
          <w:b w:val="0"/>
          <w:bCs/>
          <w:sz w:val="22"/>
        </w:rPr>
        <w:t xml:space="preserve">: </w:t>
      </w:r>
    </w:p>
    <w:p w14:paraId="0EF62D2F"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sym w:font="Wingdings" w:char="F0E0"/>
      </w:r>
      <w:r w:rsidRPr="00CB5007">
        <w:rPr>
          <w:rFonts w:ascii="Cambria" w:hAnsi="Cambria" w:cs="Times New Roman"/>
          <w:b w:val="0"/>
          <w:bCs/>
          <w:sz w:val="22"/>
        </w:rPr>
        <w:t xml:space="preserve"> Les volumes de la collection </w:t>
      </w:r>
      <w:r w:rsidRPr="00CB5007">
        <w:rPr>
          <w:rFonts w:ascii="Cambria" w:hAnsi="Cambria" w:cs="Times New Roman"/>
          <w:b w:val="0"/>
          <w:bCs/>
          <w:i/>
          <w:sz w:val="22"/>
        </w:rPr>
        <w:t xml:space="preserve">Une histoire environnementale de la France, </w:t>
      </w:r>
      <w:r w:rsidRPr="00CB5007">
        <w:rPr>
          <w:rFonts w:ascii="Cambria" w:hAnsi="Cambria" w:cs="Times New Roman"/>
          <w:b w:val="0"/>
          <w:bCs/>
          <w:sz w:val="22"/>
        </w:rPr>
        <w:t xml:space="preserve">constituent les manuels de référence dans le cadre de ce cours. La lecture du premier volume permettra de se familiariser avec la période qui précède la chronologie du cours. </w:t>
      </w:r>
    </w:p>
    <w:p w14:paraId="15300AE4" w14:textId="77777777" w:rsidR="00824B87" w:rsidRPr="00CB5007" w:rsidRDefault="00824B87" w:rsidP="00824B87">
      <w:pPr>
        <w:spacing w:after="0"/>
        <w:jc w:val="both"/>
        <w:rPr>
          <w:rFonts w:ascii="Cambria" w:hAnsi="Cambria" w:cs="Times New Roman"/>
          <w:b w:val="0"/>
          <w:bCs/>
          <w:sz w:val="22"/>
        </w:rPr>
      </w:pPr>
    </w:p>
    <w:p w14:paraId="6F1E83BF"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FRESSOZ Jean-Baptiste, JARRIGE François, LE ROUX Thomas et al., </w:t>
      </w:r>
      <w:r w:rsidRPr="00CB5007">
        <w:rPr>
          <w:rFonts w:ascii="Cambria" w:hAnsi="Cambria" w:cs="Times New Roman"/>
          <w:b w:val="0"/>
          <w:bCs/>
          <w:i/>
          <w:sz w:val="22"/>
        </w:rPr>
        <w:t>La nature en révolution. Une histoire environnementale de la France, 1780-1870 (</w:t>
      </w:r>
      <w:r w:rsidRPr="00CB5007">
        <w:rPr>
          <w:rFonts w:ascii="Cambria" w:hAnsi="Cambria" w:cs="Times New Roman"/>
          <w:b w:val="0"/>
          <w:bCs/>
          <w:sz w:val="22"/>
        </w:rPr>
        <w:t>vol. 3), Paris, La Découverte, 2025</w:t>
      </w:r>
    </w:p>
    <w:p w14:paraId="00B13C10"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CORNU Pierre, FRIOUX Stéphane, MARREC Anaël et al., </w:t>
      </w:r>
      <w:r w:rsidRPr="00CB5007">
        <w:rPr>
          <w:rFonts w:ascii="Cambria" w:hAnsi="Cambria" w:cs="Times New Roman"/>
          <w:b w:val="0"/>
          <w:bCs/>
          <w:i/>
          <w:sz w:val="22"/>
        </w:rPr>
        <w:t>Les natures de la République. Une histoire environnementale de la France, 1870-1940 (</w:t>
      </w:r>
      <w:r w:rsidRPr="00CB5007">
        <w:rPr>
          <w:rFonts w:ascii="Cambria" w:hAnsi="Cambria" w:cs="Times New Roman"/>
          <w:b w:val="0"/>
          <w:bCs/>
          <w:sz w:val="22"/>
        </w:rPr>
        <w:t>vol. 2), Paris, La Découverte, 2025</w:t>
      </w:r>
    </w:p>
    <w:p w14:paraId="2A59E717"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BÉCOT Renaud BONNEUIL Christophe et BOULEAU Gabrielle, </w:t>
      </w:r>
      <w:r w:rsidRPr="00CB5007">
        <w:rPr>
          <w:rFonts w:ascii="Cambria" w:hAnsi="Cambria" w:cs="Times New Roman"/>
          <w:b w:val="0"/>
          <w:bCs/>
          <w:i/>
          <w:sz w:val="22"/>
        </w:rPr>
        <w:t>Les natures du productivisme. Une histoire environnementale de la France, 1940-2010 (</w:t>
      </w:r>
      <w:r w:rsidRPr="00CB5007">
        <w:rPr>
          <w:rFonts w:ascii="Cambria" w:hAnsi="Cambria" w:cs="Times New Roman"/>
          <w:b w:val="0"/>
          <w:bCs/>
          <w:sz w:val="22"/>
        </w:rPr>
        <w:t>vol. 3), Paris, La Découverte, [à paraître en octobre 2025]</w:t>
      </w:r>
    </w:p>
    <w:p w14:paraId="56031673" w14:textId="77777777" w:rsidR="00824B87" w:rsidRPr="00CB5007" w:rsidRDefault="00824B87" w:rsidP="00824B87">
      <w:pPr>
        <w:spacing w:after="0"/>
        <w:jc w:val="both"/>
        <w:rPr>
          <w:rFonts w:ascii="Cambria" w:hAnsi="Cambria" w:cs="Times New Roman"/>
          <w:b w:val="0"/>
          <w:bCs/>
          <w:sz w:val="22"/>
        </w:rPr>
      </w:pPr>
    </w:p>
    <w:p w14:paraId="4F812EDA"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sym w:font="Wingdings" w:char="F0E0"/>
      </w:r>
      <w:r w:rsidRPr="00CB5007">
        <w:rPr>
          <w:rFonts w:ascii="Cambria" w:hAnsi="Cambria" w:cs="Times New Roman"/>
          <w:b w:val="0"/>
          <w:bCs/>
          <w:sz w:val="22"/>
        </w:rPr>
        <w:t xml:space="preserve"> Autres ouvrages pour se familiariser avec quelques grandes thématiques du cours : </w:t>
      </w:r>
    </w:p>
    <w:p w14:paraId="29EF4719" w14:textId="77777777" w:rsidR="00824B87" w:rsidRPr="00CB5007" w:rsidRDefault="00824B87" w:rsidP="00824B87">
      <w:pPr>
        <w:spacing w:after="0"/>
        <w:jc w:val="both"/>
        <w:rPr>
          <w:rFonts w:ascii="Cambria" w:hAnsi="Cambria" w:cs="Times New Roman"/>
          <w:b w:val="0"/>
          <w:bCs/>
          <w:i/>
          <w:sz w:val="22"/>
        </w:rPr>
      </w:pPr>
    </w:p>
    <w:p w14:paraId="5B87651E"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AMBROISE-RENDU Anne-Claude, HAGIMONT Steve et MATHIS Charles-François, </w:t>
      </w:r>
      <w:r w:rsidRPr="00CB5007">
        <w:rPr>
          <w:rFonts w:ascii="Cambria" w:hAnsi="Cambria" w:cs="Times New Roman"/>
          <w:b w:val="0"/>
          <w:bCs/>
          <w:i/>
          <w:sz w:val="22"/>
        </w:rPr>
        <w:t>Une histoire des luttes pour l’environnement. 18</w:t>
      </w:r>
      <w:r w:rsidRPr="00CB5007">
        <w:rPr>
          <w:rFonts w:ascii="Cambria" w:hAnsi="Cambria" w:cs="Times New Roman"/>
          <w:b w:val="0"/>
          <w:bCs/>
          <w:i/>
          <w:sz w:val="22"/>
          <w:vertAlign w:val="superscript"/>
        </w:rPr>
        <w:t>e</w:t>
      </w:r>
      <w:r w:rsidRPr="00CB5007">
        <w:rPr>
          <w:rFonts w:ascii="Cambria" w:hAnsi="Cambria" w:cs="Times New Roman"/>
          <w:b w:val="0"/>
          <w:bCs/>
          <w:i/>
          <w:sz w:val="22"/>
        </w:rPr>
        <w:t>-20</w:t>
      </w:r>
      <w:r w:rsidRPr="00CB5007">
        <w:rPr>
          <w:rFonts w:ascii="Cambria" w:hAnsi="Cambria" w:cs="Times New Roman"/>
          <w:b w:val="0"/>
          <w:bCs/>
          <w:i/>
          <w:sz w:val="22"/>
          <w:vertAlign w:val="superscript"/>
        </w:rPr>
        <w:t>e</w:t>
      </w:r>
      <w:r w:rsidRPr="00CB5007">
        <w:rPr>
          <w:rFonts w:ascii="Cambria" w:hAnsi="Cambria" w:cs="Times New Roman"/>
          <w:b w:val="0"/>
          <w:bCs/>
          <w:i/>
          <w:sz w:val="22"/>
        </w:rPr>
        <w:t xml:space="preserve"> Trois siècles de débats et de combats</w:t>
      </w:r>
      <w:r w:rsidRPr="00CB5007">
        <w:rPr>
          <w:rFonts w:ascii="Cambria" w:hAnsi="Cambria" w:cs="Times New Roman"/>
          <w:b w:val="0"/>
          <w:bCs/>
          <w:sz w:val="22"/>
        </w:rPr>
        <w:t xml:space="preserve">, Paris, Textuel, 2021. </w:t>
      </w:r>
    </w:p>
    <w:p w14:paraId="743F2456"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FORD Caroline, </w:t>
      </w:r>
      <w:r w:rsidRPr="00CB5007">
        <w:rPr>
          <w:rFonts w:ascii="Cambria" w:hAnsi="Cambria" w:cs="Times New Roman"/>
          <w:b w:val="0"/>
          <w:bCs/>
          <w:i/>
          <w:sz w:val="22"/>
        </w:rPr>
        <w:t xml:space="preserve">Naissance de l’écologie. Polémiques françaises sur l’environnement (1800-1930), </w:t>
      </w:r>
      <w:r w:rsidRPr="00CB5007">
        <w:rPr>
          <w:rFonts w:ascii="Cambria" w:hAnsi="Cambria" w:cs="Times New Roman"/>
          <w:b w:val="0"/>
          <w:bCs/>
          <w:sz w:val="22"/>
        </w:rPr>
        <w:t xml:space="preserve">Paris, Alma Éditeurs, 2018. </w:t>
      </w:r>
    </w:p>
    <w:p w14:paraId="3561DB6C"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JARRIGE François, </w:t>
      </w:r>
      <w:r w:rsidRPr="00CB5007">
        <w:rPr>
          <w:rFonts w:ascii="Cambria" w:hAnsi="Cambria" w:cs="Times New Roman"/>
          <w:b w:val="0"/>
          <w:bCs/>
          <w:i/>
          <w:sz w:val="22"/>
        </w:rPr>
        <w:t>Technocritiques. Du refus des machines à la contestation des technosciences</w:t>
      </w:r>
      <w:r w:rsidRPr="00CB5007">
        <w:rPr>
          <w:rFonts w:ascii="Cambria" w:hAnsi="Cambria" w:cs="Times New Roman"/>
          <w:b w:val="0"/>
          <w:bCs/>
          <w:sz w:val="22"/>
        </w:rPr>
        <w:t xml:space="preserve">, Paris, La Découverte, 2016. </w:t>
      </w:r>
    </w:p>
    <w:p w14:paraId="062B9288"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JARRIGE François, VRIGNON Alexis (dir.), </w:t>
      </w:r>
      <w:r w:rsidRPr="00CB5007">
        <w:rPr>
          <w:rFonts w:ascii="Cambria" w:hAnsi="Cambria" w:cs="Times New Roman"/>
          <w:b w:val="0"/>
          <w:bCs/>
          <w:i/>
          <w:iCs/>
          <w:sz w:val="22"/>
        </w:rPr>
        <w:t>Face à la puissance</w:t>
      </w:r>
      <w:r w:rsidRPr="00CB5007">
        <w:rPr>
          <w:rFonts w:ascii="Cambria" w:hAnsi="Cambria" w:cs="Times New Roman"/>
          <w:b w:val="0"/>
          <w:bCs/>
          <w:sz w:val="22"/>
        </w:rPr>
        <w:t xml:space="preserve">. </w:t>
      </w:r>
      <w:r w:rsidRPr="00CB5007">
        <w:rPr>
          <w:rFonts w:ascii="Cambria" w:hAnsi="Cambria" w:cs="Times New Roman"/>
          <w:b w:val="0"/>
          <w:bCs/>
          <w:i/>
          <w:iCs/>
          <w:sz w:val="22"/>
        </w:rPr>
        <w:t>Une histoire des énergies alternatives à l’âge industriel</w:t>
      </w:r>
      <w:r w:rsidRPr="00CB5007">
        <w:rPr>
          <w:rFonts w:ascii="Cambria" w:hAnsi="Cambria" w:cs="Times New Roman"/>
          <w:b w:val="0"/>
          <w:bCs/>
          <w:sz w:val="22"/>
        </w:rPr>
        <w:t xml:space="preserve">, Paris, La Découverte, 2020.  </w:t>
      </w:r>
    </w:p>
    <w:p w14:paraId="50A12C25"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MCNEILL John R., </w:t>
      </w:r>
      <w:r w:rsidRPr="00CB5007">
        <w:rPr>
          <w:rFonts w:ascii="Cambria" w:hAnsi="Cambria" w:cs="Times New Roman"/>
          <w:b w:val="0"/>
          <w:bCs/>
          <w:i/>
          <w:sz w:val="22"/>
        </w:rPr>
        <w:t xml:space="preserve">Du nouveau sous le soleil. Une histoire de l’environnement mondial au XXe siècle, </w:t>
      </w:r>
      <w:r w:rsidRPr="00CB5007">
        <w:rPr>
          <w:rFonts w:ascii="Cambria" w:hAnsi="Cambria" w:cs="Times New Roman"/>
          <w:b w:val="0"/>
          <w:bCs/>
          <w:sz w:val="22"/>
        </w:rPr>
        <w:t xml:space="preserve">Paris, Champ Vallon – L’environnement à une histoire, 2010. </w:t>
      </w:r>
    </w:p>
    <w:p w14:paraId="52275EE2"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PESSIS Céline, TOPÇU Sezin et BONNEUIL Christophe, </w:t>
      </w:r>
      <w:r w:rsidRPr="00CB5007">
        <w:rPr>
          <w:rFonts w:ascii="Cambria" w:hAnsi="Cambria" w:cs="Times New Roman"/>
          <w:b w:val="0"/>
          <w:bCs/>
          <w:i/>
          <w:sz w:val="22"/>
        </w:rPr>
        <w:t xml:space="preserve">Une autre histoire des « Trente Glorieuses ». Modernisation, contestation et pollutions dans la France d’après-guerre, </w:t>
      </w:r>
      <w:r w:rsidRPr="00CB5007">
        <w:rPr>
          <w:rFonts w:ascii="Cambria" w:hAnsi="Cambria" w:cs="Times New Roman"/>
          <w:b w:val="0"/>
          <w:bCs/>
          <w:sz w:val="22"/>
        </w:rPr>
        <w:t>Paris, Cahiers libres, 2013.</w:t>
      </w:r>
    </w:p>
    <w:p w14:paraId="4B6FDCF7" w14:textId="77777777" w:rsidR="00824B87" w:rsidRPr="00CB5007" w:rsidRDefault="00824B87" w:rsidP="00824B87">
      <w:pPr>
        <w:spacing w:after="0"/>
        <w:jc w:val="both"/>
        <w:rPr>
          <w:rFonts w:ascii="Cambria" w:eastAsia="MS Mincho" w:hAnsi="Cambria" w:cs="Times New Roman"/>
          <w:b w:val="0"/>
          <w:bCs/>
          <w:sz w:val="22"/>
        </w:rPr>
      </w:pPr>
      <w:r w:rsidRPr="00CB5007">
        <w:rPr>
          <w:rFonts w:ascii="Cambria" w:hAnsi="Cambria" w:cs="Times New Roman"/>
          <w:b w:val="0"/>
          <w:bCs/>
          <w:sz w:val="22"/>
        </w:rPr>
        <w:t xml:space="preserve">- VRIGNON Alexis, </w:t>
      </w:r>
      <w:r w:rsidRPr="00CB5007">
        <w:rPr>
          <w:rFonts w:ascii="Cambria" w:hAnsi="Cambria" w:cs="Times New Roman"/>
          <w:b w:val="0"/>
          <w:bCs/>
          <w:i/>
          <w:sz w:val="22"/>
        </w:rPr>
        <w:t xml:space="preserve">France grise, France verte : une histoire environnementale depuis 1945, </w:t>
      </w:r>
      <w:r w:rsidRPr="00CB5007">
        <w:rPr>
          <w:rFonts w:ascii="Cambria" w:hAnsi="Cambria" w:cs="Times New Roman"/>
          <w:b w:val="0"/>
          <w:bCs/>
          <w:sz w:val="22"/>
        </w:rPr>
        <w:t>Paris, Armand Colin, 2022.</w:t>
      </w:r>
    </w:p>
    <w:p w14:paraId="1D7CD9E8" w14:textId="77777777" w:rsidR="00824B87" w:rsidRPr="00CB5007" w:rsidRDefault="00824B87" w:rsidP="00824B87">
      <w:pPr>
        <w:jc w:val="both"/>
        <w:rPr>
          <w:rFonts w:ascii="Cambria" w:eastAsia="MS Mincho" w:hAnsi="Cambria" w:cs="Times New Roman"/>
          <w:b w:val="0"/>
          <w:sz w:val="22"/>
        </w:rPr>
      </w:pPr>
    </w:p>
    <w:p w14:paraId="316987A8" w14:textId="2A4DC8A8" w:rsidR="00824B87" w:rsidRPr="002C6419" w:rsidRDefault="00824B87" w:rsidP="002C6419">
      <w:pPr>
        <w:spacing w:after="0"/>
        <w:rPr>
          <w:rFonts w:ascii="Cambria" w:hAnsi="Cambria" w:cs="Times New Roman"/>
          <w:bCs/>
          <w:color w:val="B71E42" w:themeColor="accent1"/>
          <w:sz w:val="22"/>
        </w:rPr>
      </w:pPr>
      <w:r w:rsidRPr="007223DB">
        <w:rPr>
          <w:rFonts w:ascii="Cambria" w:hAnsi="Cambria" w:cs="Times New Roman"/>
          <w:color w:val="C00000"/>
          <w:sz w:val="22"/>
          <w:u w:val="single"/>
        </w:rPr>
        <w:t xml:space="preserve">Sujet du cours </w:t>
      </w:r>
      <w:r w:rsidR="002C6419">
        <w:rPr>
          <w:rFonts w:ascii="Cambria" w:hAnsi="Cambria" w:cs="Times New Roman"/>
          <w:color w:val="C00000"/>
          <w:sz w:val="22"/>
          <w:u w:val="single"/>
        </w:rPr>
        <w:t xml:space="preserve">semestre </w:t>
      </w:r>
      <w:r w:rsidRPr="007223DB">
        <w:rPr>
          <w:rFonts w:ascii="Cambria" w:hAnsi="Cambria" w:cs="Times New Roman"/>
          <w:color w:val="C00000"/>
          <w:sz w:val="22"/>
          <w:u w:val="single"/>
        </w:rPr>
        <w:t>2</w:t>
      </w:r>
      <w:r w:rsidRPr="007223DB">
        <w:rPr>
          <w:rFonts w:ascii="Cambria" w:hAnsi="Cambria" w:cs="Times New Roman"/>
          <w:color w:val="C00000"/>
          <w:sz w:val="22"/>
        </w:rPr>
        <w:t xml:space="preserve"> : </w:t>
      </w:r>
      <w:r w:rsidRPr="007223DB">
        <w:rPr>
          <w:rFonts w:ascii="Cambria" w:hAnsi="Cambria" w:cs="Times New Roman"/>
          <w:bCs/>
          <w:color w:val="B71E42" w:themeColor="accent1"/>
          <w:sz w:val="22"/>
        </w:rPr>
        <w:t>Aux racines de la modernité</w:t>
      </w:r>
      <w:r w:rsidR="008132DC" w:rsidRPr="007223DB">
        <w:rPr>
          <w:rFonts w:ascii="Cambria" w:hAnsi="Cambria" w:cs="Times New Roman"/>
          <w:bCs/>
          <w:color w:val="B71E42" w:themeColor="accent1"/>
          <w:sz w:val="22"/>
        </w:rPr>
        <w:t xml:space="preserve">.  </w:t>
      </w:r>
      <w:r w:rsidRPr="007223DB">
        <w:rPr>
          <w:rFonts w:ascii="Cambria" w:hAnsi="Cambria" w:cs="Times New Roman"/>
          <w:bCs/>
          <w:color w:val="B71E42" w:themeColor="accent1"/>
          <w:sz w:val="22"/>
        </w:rPr>
        <w:t>Une histoire</w:t>
      </w:r>
      <w:r w:rsidR="008132DC" w:rsidRPr="007223DB">
        <w:rPr>
          <w:rFonts w:ascii="Cambria" w:hAnsi="Cambria" w:cs="Times New Roman"/>
          <w:bCs/>
          <w:color w:val="B71E42" w:themeColor="accent1"/>
          <w:sz w:val="22"/>
        </w:rPr>
        <w:t xml:space="preserve"> e</w:t>
      </w:r>
      <w:r w:rsidRPr="007223DB">
        <w:rPr>
          <w:rFonts w:ascii="Cambria" w:hAnsi="Cambria" w:cs="Times New Roman"/>
          <w:bCs/>
          <w:color w:val="B71E42" w:themeColor="accent1"/>
          <w:sz w:val="22"/>
        </w:rPr>
        <w:t>nvironnementale de l’Europe au XIXe siècle</w:t>
      </w:r>
    </w:p>
    <w:p w14:paraId="38860356" w14:textId="77777777" w:rsidR="00824B87" w:rsidRPr="007223DB" w:rsidRDefault="00824B87" w:rsidP="002C6419">
      <w:pPr>
        <w:jc w:val="both"/>
        <w:rPr>
          <w:rFonts w:ascii="Cambria" w:hAnsi="Cambria" w:cs="Times New Roman"/>
          <w:b w:val="0"/>
          <w:bCs/>
          <w:sz w:val="22"/>
        </w:rPr>
      </w:pPr>
      <w:r w:rsidRPr="007223DB">
        <w:rPr>
          <w:rFonts w:ascii="Cambria" w:hAnsi="Cambria" w:cs="Times New Roman"/>
          <w:b w:val="0"/>
          <w:bCs/>
          <w:sz w:val="22"/>
        </w:rPr>
        <w:t xml:space="preserve">Ce cours se propose d’aborder le XIXe siècle européen comme matrice du monde contemporain dans ses rapports à l’environnement. C’est là en effet que s’élabore une certaine modernité – dans l’emploi des énergies fossiles, dans une relation plus utilitariste à la nature menant à sa marchandisation, dans une mobilisation plus intense des ressources, dans les façons de les protéger etc. – qui va peser sur les trajectoires contemporaines mondiales, ne serait-ce que par l’aventure coloniale. L’Europe, ici, sera celle perçue par les contemporains, celle du Congrès de Vienne, incluant la Russie et les territoires du sud-est au fur et à mesure qu’ils quittent l’Empire ottoman. Mais il faudra bien entendu en avoir une compréhension évolutive : c’est d’abord au nord-ouest du continent que se met en place ce monde nouveau, avant que les « périphéries » européennes (Europe du Sud ou centrale) n’y soient progressivement intégrées. L’histoire environnementale de chaque pays a ses propres caractéristiques évidemment (l’Angleterre du charbon n’est pas l’Italie des </w:t>
      </w:r>
      <w:r w:rsidRPr="007223DB">
        <w:rPr>
          <w:rFonts w:ascii="Cambria" w:hAnsi="Cambria" w:cs="Times New Roman"/>
          <w:b w:val="0"/>
          <w:bCs/>
          <w:i/>
          <w:sz w:val="22"/>
        </w:rPr>
        <w:t>latifundios</w:t>
      </w:r>
      <w:r w:rsidRPr="007223DB">
        <w:rPr>
          <w:rFonts w:ascii="Cambria" w:hAnsi="Cambria" w:cs="Times New Roman"/>
          <w:b w:val="0"/>
          <w:bCs/>
          <w:sz w:val="22"/>
        </w:rPr>
        <w:t xml:space="preserve">, ni la Suède forestière ou la Russie des steppes sibériennes), mais ce sont les traits communs sur lesquels ce cours insistera, ceux par lesquels les Européens justement finissent par se distinguer eux-mêmes du reste du monde : ne disent-il pas savoir mieux que les autres mettre en valeur les ressources endormies de la planète ? Il s’agira ainsi de comprendre comment un rapport singulier, souvent délétère, au monde naturel a pu s’installer – sur quels fondements idéologiques, avec quelles conséquences, face à quelles résistances. Ce faisant, cette histoire du XIXe siècle européen l’abordera comme un moment de </w:t>
      </w:r>
      <w:r w:rsidRPr="007223DB">
        <w:rPr>
          <w:rFonts w:ascii="Cambria" w:hAnsi="Cambria" w:cs="Times New Roman"/>
          <w:b w:val="0"/>
          <w:bCs/>
          <w:i/>
          <w:iCs/>
          <w:sz w:val="22"/>
        </w:rPr>
        <w:t>bifurcation</w:t>
      </w:r>
      <w:r w:rsidRPr="007223DB">
        <w:rPr>
          <w:rFonts w:ascii="Cambria" w:hAnsi="Cambria" w:cs="Times New Roman"/>
          <w:b w:val="0"/>
          <w:bCs/>
          <w:sz w:val="22"/>
        </w:rPr>
        <w:t>, central dans l’histoire environnementale de la planète.</w:t>
      </w:r>
    </w:p>
    <w:p w14:paraId="083AC2C7" w14:textId="77777777" w:rsidR="00824B87" w:rsidRPr="007223DB" w:rsidRDefault="00824B87" w:rsidP="00824B87">
      <w:pPr>
        <w:spacing w:after="0" w:line="240" w:lineRule="auto"/>
        <w:jc w:val="both"/>
        <w:rPr>
          <w:rFonts w:ascii="Cambria" w:hAnsi="Cambria" w:cs="Times New Roman"/>
          <w:b w:val="0"/>
          <w:sz w:val="22"/>
        </w:rPr>
      </w:pPr>
    </w:p>
    <w:p w14:paraId="514EF92D" w14:textId="77777777" w:rsidR="00824B87" w:rsidRPr="007223DB" w:rsidRDefault="00824B87" w:rsidP="00824B87">
      <w:pPr>
        <w:spacing w:after="0" w:line="240" w:lineRule="auto"/>
        <w:jc w:val="both"/>
        <w:rPr>
          <w:rFonts w:ascii="Cambria" w:hAnsi="Cambria" w:cs="Times New Roman"/>
          <w:b w:val="0"/>
          <w:sz w:val="22"/>
          <w:u w:val="single"/>
        </w:rPr>
      </w:pPr>
      <w:r w:rsidRPr="007223DB">
        <w:rPr>
          <w:rFonts w:ascii="Cambria" w:hAnsi="Cambria" w:cs="Times New Roman"/>
          <w:b w:val="0"/>
          <w:sz w:val="22"/>
          <w:u w:val="single"/>
        </w:rPr>
        <w:t>Bibliographie indicative :</w:t>
      </w:r>
    </w:p>
    <w:p w14:paraId="5DBA059E" w14:textId="77777777" w:rsidR="00824B87" w:rsidRPr="007223DB" w:rsidRDefault="00824B87" w:rsidP="00824B87">
      <w:pPr>
        <w:spacing w:after="0" w:line="240" w:lineRule="auto"/>
        <w:jc w:val="both"/>
        <w:rPr>
          <w:rFonts w:ascii="Cambria" w:hAnsi="Cambria" w:cs="Times New Roman"/>
          <w:b w:val="0"/>
          <w:bCs/>
          <w:sz w:val="22"/>
        </w:rPr>
      </w:pPr>
      <w:r w:rsidRPr="007223DB">
        <w:rPr>
          <w:rFonts w:ascii="Cambria" w:hAnsi="Cambria" w:cs="Times New Roman"/>
          <w:b w:val="0"/>
          <w:bCs/>
          <w:sz w:val="22"/>
        </w:rPr>
        <w:sym w:font="Wingdings" w:char="F0E0"/>
      </w:r>
      <w:r w:rsidRPr="007223DB">
        <w:rPr>
          <w:rFonts w:ascii="Cambria" w:hAnsi="Cambria" w:cs="Times New Roman"/>
          <w:b w:val="0"/>
          <w:bCs/>
          <w:sz w:val="22"/>
        </w:rPr>
        <w:t xml:space="preserve"> Histoires transnationales</w:t>
      </w:r>
    </w:p>
    <w:p w14:paraId="4476692C" w14:textId="77777777" w:rsidR="00824B87" w:rsidRPr="007223DB" w:rsidRDefault="00824B87" w:rsidP="00824B87">
      <w:pPr>
        <w:spacing w:after="0" w:line="240" w:lineRule="auto"/>
        <w:jc w:val="both"/>
        <w:rPr>
          <w:rFonts w:ascii="Cambria" w:hAnsi="Cambria" w:cs="Times New Roman"/>
          <w:b w:val="0"/>
          <w:sz w:val="22"/>
        </w:rPr>
      </w:pPr>
    </w:p>
    <w:p w14:paraId="0DAD909C"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Christophe Bonneuil et Jean-Baptiste Fressoz, </w:t>
      </w:r>
      <w:r w:rsidRPr="007223DB">
        <w:rPr>
          <w:rFonts w:ascii="Cambria" w:hAnsi="Cambria" w:cs="Times New Roman"/>
          <w:b w:val="0"/>
          <w:i/>
          <w:iCs/>
          <w:sz w:val="22"/>
        </w:rPr>
        <w:t>L’événement anthropocène</w:t>
      </w:r>
      <w:r w:rsidRPr="007223DB">
        <w:rPr>
          <w:rFonts w:ascii="Cambria" w:hAnsi="Cambria" w:cs="Times New Roman"/>
          <w:b w:val="0"/>
          <w:sz w:val="22"/>
        </w:rPr>
        <w:t>, Paris, Seuil, 2013.</w:t>
      </w:r>
    </w:p>
    <w:p w14:paraId="5691590F"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Robert Delort et François Walter, </w:t>
      </w:r>
      <w:r w:rsidRPr="007223DB">
        <w:rPr>
          <w:rFonts w:ascii="Cambria" w:hAnsi="Cambria" w:cs="Times New Roman"/>
          <w:b w:val="0"/>
          <w:i/>
          <w:iCs/>
          <w:sz w:val="22"/>
        </w:rPr>
        <w:t>Histoire de l’environnement européen</w:t>
      </w:r>
      <w:r w:rsidRPr="007223DB">
        <w:rPr>
          <w:rFonts w:ascii="Cambria" w:hAnsi="Cambria" w:cs="Times New Roman"/>
          <w:b w:val="0"/>
          <w:sz w:val="22"/>
        </w:rPr>
        <w:t>, Paris, PUF, 2001.</w:t>
      </w:r>
    </w:p>
    <w:p w14:paraId="21126A9E"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Steve Hagimont et Charles-François Mathis (dir.), </w:t>
      </w:r>
      <w:r w:rsidRPr="007223DB">
        <w:rPr>
          <w:rFonts w:ascii="Cambria" w:hAnsi="Cambria" w:cs="Times New Roman"/>
          <w:b w:val="0"/>
          <w:i/>
          <w:iCs/>
          <w:sz w:val="22"/>
        </w:rPr>
        <w:t>La Terre perdue. Une histoire de l’Occident et de la nature, XVIIIe-XXIe siècle</w:t>
      </w:r>
      <w:r w:rsidRPr="007223DB">
        <w:rPr>
          <w:rFonts w:ascii="Cambria" w:hAnsi="Cambria" w:cs="Times New Roman"/>
          <w:b w:val="0"/>
          <w:sz w:val="22"/>
        </w:rPr>
        <w:t>, Paris, Tallandier, 2025.</w:t>
      </w:r>
    </w:p>
    <w:p w14:paraId="5A9104E4"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J. Donald Hughes, </w:t>
      </w:r>
      <w:r w:rsidRPr="007223DB">
        <w:rPr>
          <w:rFonts w:ascii="Cambria" w:hAnsi="Cambria" w:cs="Times New Roman"/>
          <w:b w:val="0"/>
          <w:i/>
          <w:iCs/>
          <w:sz w:val="22"/>
          <w:lang w:val="en-US"/>
        </w:rPr>
        <w:t>An environmental history of the world</w:t>
      </w:r>
      <w:r w:rsidRPr="007223DB">
        <w:rPr>
          <w:rFonts w:ascii="Cambria" w:hAnsi="Cambria" w:cs="Times New Roman"/>
          <w:b w:val="0"/>
          <w:sz w:val="22"/>
          <w:lang w:val="en-US"/>
        </w:rPr>
        <w:t>, London, Routledge, 2001.</w:t>
      </w:r>
    </w:p>
    <w:p w14:paraId="08758256"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François Jarrige et Thomas Le Roux, </w:t>
      </w:r>
      <w:r w:rsidRPr="007223DB">
        <w:rPr>
          <w:rFonts w:ascii="Cambria" w:hAnsi="Cambria" w:cs="Times New Roman"/>
          <w:b w:val="0"/>
          <w:i/>
          <w:sz w:val="22"/>
        </w:rPr>
        <w:t xml:space="preserve">La contamination du monde. Une histoire des pollutions à l’âge industriel, </w:t>
      </w:r>
      <w:r w:rsidRPr="007223DB">
        <w:rPr>
          <w:rFonts w:ascii="Cambria" w:hAnsi="Cambria" w:cs="Times New Roman"/>
          <w:b w:val="0"/>
          <w:sz w:val="22"/>
        </w:rPr>
        <w:t xml:space="preserve">Paris, Seuil, 2017. </w:t>
      </w:r>
    </w:p>
    <w:p w14:paraId="1F15D91D"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Jürgen Osterhammel, </w:t>
      </w:r>
      <w:r w:rsidRPr="007223DB">
        <w:rPr>
          <w:rFonts w:ascii="Cambria" w:hAnsi="Cambria" w:cs="Times New Roman"/>
          <w:b w:val="0"/>
          <w:i/>
          <w:iCs/>
          <w:sz w:val="22"/>
        </w:rPr>
        <w:t>la Transformation du monde au XIXe siècle</w:t>
      </w:r>
      <w:r w:rsidRPr="007223DB">
        <w:rPr>
          <w:rFonts w:ascii="Cambria" w:hAnsi="Cambria" w:cs="Times New Roman"/>
          <w:b w:val="0"/>
          <w:sz w:val="22"/>
        </w:rPr>
        <w:t>, Paris, Nouveau Monde, 2014.</w:t>
      </w:r>
    </w:p>
    <w:p w14:paraId="2436E608"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Joachim Radkau, </w:t>
      </w:r>
      <w:r w:rsidRPr="007223DB">
        <w:rPr>
          <w:rFonts w:ascii="Cambria" w:hAnsi="Cambria" w:cs="Times New Roman"/>
          <w:b w:val="0"/>
          <w:i/>
          <w:iCs/>
          <w:sz w:val="22"/>
          <w:lang w:val="en-US"/>
        </w:rPr>
        <w:t>Nature and Power. A global history of the environment</w:t>
      </w:r>
      <w:r w:rsidRPr="007223DB">
        <w:rPr>
          <w:rFonts w:ascii="Cambria" w:hAnsi="Cambria" w:cs="Times New Roman"/>
          <w:b w:val="0"/>
          <w:sz w:val="22"/>
          <w:lang w:val="en-US"/>
        </w:rPr>
        <w:t>, Cambridge, CUP, 2008.</w:t>
      </w:r>
    </w:p>
    <w:p w14:paraId="69239918" w14:textId="77777777" w:rsidR="00824B87" w:rsidRPr="007223DB" w:rsidRDefault="00824B87" w:rsidP="00824B87">
      <w:pPr>
        <w:spacing w:after="0" w:line="240" w:lineRule="auto"/>
        <w:jc w:val="both"/>
        <w:rPr>
          <w:rFonts w:ascii="Cambria" w:hAnsi="Cambria" w:cs="Times New Roman"/>
          <w:b w:val="0"/>
          <w:sz w:val="22"/>
          <w:lang w:val="en-US"/>
        </w:rPr>
      </w:pPr>
    </w:p>
    <w:p w14:paraId="15B525E8"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ab/>
        <w:t>Histoires nationales :</w:t>
      </w:r>
    </w:p>
    <w:p w14:paraId="617BF63E" w14:textId="77777777" w:rsidR="00824B87" w:rsidRPr="007223DB" w:rsidRDefault="00824B87" w:rsidP="00824B87">
      <w:pPr>
        <w:spacing w:after="0" w:line="240" w:lineRule="auto"/>
        <w:jc w:val="both"/>
        <w:rPr>
          <w:rFonts w:ascii="Cambria" w:hAnsi="Cambria" w:cs="Times New Roman"/>
          <w:b w:val="0"/>
          <w:sz w:val="22"/>
          <w:lang w:val="en-US"/>
        </w:rPr>
      </w:pPr>
    </w:p>
    <w:p w14:paraId="6BA294DE"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Royaume-Uni : </w:t>
      </w:r>
    </w:p>
    <w:p w14:paraId="5735FB83"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Brian W. Clapp, </w:t>
      </w:r>
      <w:r w:rsidRPr="007223DB">
        <w:rPr>
          <w:rFonts w:ascii="Cambria" w:eastAsia="Times New Roman" w:hAnsi="Cambria" w:cs="Times New Roman"/>
          <w:b w:val="0"/>
          <w:i/>
          <w:kern w:val="0"/>
          <w:sz w:val="22"/>
          <w:lang w:val="en-GB" w:eastAsia="fr-FR"/>
        </w:rPr>
        <w:t>An environmental history of Britain</w:t>
      </w:r>
      <w:r w:rsidRPr="007223DB">
        <w:rPr>
          <w:rFonts w:ascii="Cambria" w:eastAsia="Times New Roman" w:hAnsi="Cambria" w:cs="Times New Roman"/>
          <w:b w:val="0"/>
          <w:kern w:val="0"/>
          <w:sz w:val="22"/>
          <w:lang w:val="en-GB" w:eastAsia="fr-FR"/>
        </w:rPr>
        <w:t xml:space="preserve">, London, Routledge, 1994 ; </w:t>
      </w:r>
    </w:p>
    <w:p w14:paraId="4CFEBBF6"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Ian G. Simmons, </w:t>
      </w:r>
      <w:r w:rsidRPr="007223DB">
        <w:rPr>
          <w:rFonts w:ascii="Cambria" w:eastAsia="Times New Roman" w:hAnsi="Cambria" w:cs="Times New Roman"/>
          <w:b w:val="0"/>
          <w:i/>
          <w:kern w:val="0"/>
          <w:sz w:val="22"/>
          <w:lang w:val="en-GB" w:eastAsia="fr-FR"/>
        </w:rPr>
        <w:t>An environmental history of Great Britain : from 10000 years ago to the present</w:t>
      </w:r>
      <w:r w:rsidRPr="007223DB">
        <w:rPr>
          <w:rFonts w:ascii="Cambria" w:eastAsia="Times New Roman" w:hAnsi="Cambria" w:cs="Times New Roman"/>
          <w:b w:val="0"/>
          <w:kern w:val="0"/>
          <w:sz w:val="22"/>
          <w:lang w:val="en-GB" w:eastAsia="fr-FR"/>
        </w:rPr>
        <w:t>, Edinburgh, Edinburgh University Press, 2001.</w:t>
      </w:r>
    </w:p>
    <w:p w14:paraId="637DB15E"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lang w:val="en-US" w:eastAsia="fr-FR"/>
        </w:rPr>
        <w:t xml:space="preserve">* Allemagne : </w:t>
      </w:r>
    </w:p>
    <w:p w14:paraId="680A5DA7"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lang w:val="en-US" w:eastAsia="fr-FR"/>
        </w:rPr>
        <w:t xml:space="preserve">- Hans-Rudolf Bork, </w:t>
      </w:r>
      <w:r w:rsidRPr="007223DB">
        <w:rPr>
          <w:rFonts w:ascii="Cambria" w:eastAsia="Times New Roman" w:hAnsi="Cambria" w:cs="Times New Roman"/>
          <w:b w:val="0"/>
          <w:i/>
          <w:kern w:val="0"/>
          <w:sz w:val="22"/>
          <w:lang w:val="en-US" w:eastAsia="fr-FR"/>
        </w:rPr>
        <w:t>Umweltgeschichte Deutschlands</w:t>
      </w:r>
      <w:r w:rsidRPr="007223DB">
        <w:rPr>
          <w:rFonts w:ascii="Cambria" w:eastAsia="Times New Roman" w:hAnsi="Cambria" w:cs="Times New Roman"/>
          <w:b w:val="0"/>
          <w:kern w:val="0"/>
          <w:sz w:val="22"/>
          <w:lang w:val="en-US" w:eastAsia="fr-FR"/>
        </w:rPr>
        <w:t xml:space="preserve">, Berlin, Springer, 2020 </w:t>
      </w:r>
    </w:p>
    <w:p w14:paraId="70B7CF31"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color w:val="000000"/>
          <w:kern w:val="0"/>
          <w:sz w:val="22"/>
          <w:lang w:val="en-US" w:eastAsia="fr-FR"/>
        </w:rPr>
        <w:t xml:space="preserve">- Frank Uekötter, </w:t>
      </w:r>
      <w:r w:rsidRPr="007223DB">
        <w:rPr>
          <w:rFonts w:ascii="Cambria" w:eastAsia="Times New Roman" w:hAnsi="Cambria" w:cs="Times New Roman"/>
          <w:b w:val="0"/>
          <w:i/>
          <w:color w:val="000000"/>
          <w:kern w:val="0"/>
          <w:sz w:val="22"/>
          <w:lang w:val="en-US" w:eastAsia="fr-FR"/>
        </w:rPr>
        <w:t>The Greenest Nation ? A New History of German Environmentalism</w:t>
      </w:r>
      <w:r w:rsidRPr="007223DB">
        <w:rPr>
          <w:rFonts w:ascii="Cambria" w:eastAsia="Times New Roman" w:hAnsi="Cambria" w:cs="Times New Roman"/>
          <w:b w:val="0"/>
          <w:color w:val="000000"/>
          <w:kern w:val="0"/>
          <w:sz w:val="22"/>
          <w:lang w:val="en-US" w:eastAsia="fr-FR"/>
        </w:rPr>
        <w:t>, Cambridge (MA), MIT Press, 2017.</w:t>
      </w:r>
    </w:p>
    <w:p w14:paraId="569490D9"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Italie : </w:t>
      </w:r>
    </w:p>
    <w:p w14:paraId="1C85AD06"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Gabriella Corona, </w:t>
      </w:r>
      <w:r w:rsidRPr="007223DB">
        <w:rPr>
          <w:rFonts w:ascii="Cambria" w:eastAsia="Times New Roman" w:hAnsi="Cambria" w:cs="Times New Roman"/>
          <w:b w:val="0"/>
          <w:i/>
          <w:kern w:val="0"/>
          <w:sz w:val="22"/>
          <w:lang w:val="en-GB" w:eastAsia="fr-FR"/>
        </w:rPr>
        <w:t>A short environmental history of Italy : variety and vulnerability</w:t>
      </w:r>
      <w:r w:rsidRPr="007223DB">
        <w:rPr>
          <w:rFonts w:ascii="Cambria" w:eastAsia="Times New Roman" w:hAnsi="Cambria" w:cs="Times New Roman"/>
          <w:b w:val="0"/>
          <w:kern w:val="0"/>
          <w:sz w:val="22"/>
          <w:lang w:val="en-GB" w:eastAsia="fr-FR"/>
        </w:rPr>
        <w:t>, Winwick, White Horse Press, 2017.</w:t>
      </w:r>
    </w:p>
    <w:p w14:paraId="0193D52A" w14:textId="0A3211CD"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L- uigi Piccioni, </w:t>
      </w:r>
      <w:r w:rsidRPr="007223DB">
        <w:rPr>
          <w:rFonts w:ascii="Cambria" w:hAnsi="Cambria" w:cs="Times New Roman"/>
          <w:b w:val="0"/>
          <w:i/>
          <w:iCs/>
          <w:sz w:val="22"/>
          <w:lang w:val="en-US"/>
        </w:rPr>
        <w:t>The beloved face of the country. The first movement for nature protection in Italy, 1880-1934</w:t>
      </w:r>
      <w:r w:rsidRPr="007223DB">
        <w:rPr>
          <w:rFonts w:ascii="Cambria" w:hAnsi="Cambria" w:cs="Times New Roman"/>
          <w:b w:val="0"/>
          <w:sz w:val="22"/>
          <w:lang w:val="en-US"/>
        </w:rPr>
        <w:t>, Winwick, The White Horse Press, 2020.</w:t>
      </w:r>
    </w:p>
    <w:p w14:paraId="2F4FC964" w14:textId="77777777" w:rsidR="002033C5" w:rsidRPr="007223DB" w:rsidRDefault="002033C5" w:rsidP="002C234E">
      <w:pPr>
        <w:spacing w:after="0" w:line="276" w:lineRule="auto"/>
        <w:contextualSpacing/>
        <w:jc w:val="both"/>
        <w:rPr>
          <w:rFonts w:ascii="Cambria" w:hAnsi="Cambria" w:cs="Times New Roman"/>
          <w:i/>
          <w:color w:val="C00000"/>
          <w:sz w:val="22"/>
          <w:lang w:val="en-US"/>
        </w:rPr>
      </w:pPr>
    </w:p>
    <w:p w14:paraId="1917CD0C" w14:textId="77777777" w:rsidR="009B613E" w:rsidRPr="007223DB" w:rsidRDefault="009B613E" w:rsidP="009B613E">
      <w:pPr>
        <w:spacing w:after="0" w:line="276" w:lineRule="auto"/>
        <w:contextualSpacing/>
        <w:jc w:val="both"/>
        <w:rPr>
          <w:rFonts w:ascii="Cambria" w:hAnsi="Cambria" w:cs="Times New Roman"/>
          <w:i/>
          <w:color w:val="C00000"/>
          <w:sz w:val="22"/>
          <w:lang w:val="en-US"/>
        </w:rPr>
      </w:pPr>
    </w:p>
    <w:p w14:paraId="4121F8E9" w14:textId="252D70D4" w:rsidR="009B613E" w:rsidRPr="007223DB" w:rsidRDefault="009B613E" w:rsidP="00BF228E">
      <w:pPr>
        <w:rPr>
          <w:rFonts w:ascii="Cambria" w:eastAsia="Times New Roman" w:hAnsi="Cambria" w:cs="Times New Roman"/>
          <w:i/>
          <w:color w:val="C00000"/>
          <w:sz w:val="28"/>
          <w:szCs w:val="28"/>
        </w:rPr>
      </w:pPr>
      <w:r w:rsidRPr="007223DB">
        <w:rPr>
          <w:rFonts w:ascii="Cambria" w:eastAsia="Times New Roman" w:hAnsi="Cambria" w:cs="Times New Roman"/>
          <w:i/>
          <w:color w:val="C00000"/>
          <w:sz w:val="28"/>
          <w:szCs w:val="28"/>
        </w:rPr>
        <w:t>J3040</w:t>
      </w:r>
      <w:r w:rsidR="00527C79" w:rsidRPr="007223DB">
        <w:rPr>
          <w:rFonts w:ascii="Cambria" w:eastAsia="Times New Roman" w:hAnsi="Cambria" w:cs="Times New Roman"/>
          <w:i/>
          <w:color w:val="C00000"/>
          <w:sz w:val="28"/>
          <w:szCs w:val="28"/>
        </w:rPr>
        <w:t>5</w:t>
      </w:r>
      <w:r w:rsidRPr="007223DB">
        <w:rPr>
          <w:rFonts w:ascii="Cambria" w:eastAsia="Times New Roman" w:hAnsi="Cambria" w:cs="Times New Roman"/>
          <w:i/>
          <w:color w:val="C00000"/>
          <w:sz w:val="28"/>
          <w:szCs w:val="28"/>
        </w:rPr>
        <w:t>19/J3040</w:t>
      </w:r>
      <w:r w:rsidR="00527C79" w:rsidRPr="007223DB">
        <w:rPr>
          <w:rFonts w:ascii="Cambria" w:eastAsia="Times New Roman" w:hAnsi="Cambria" w:cs="Times New Roman"/>
          <w:i/>
          <w:color w:val="C00000"/>
          <w:sz w:val="28"/>
          <w:szCs w:val="28"/>
        </w:rPr>
        <w:t>6</w:t>
      </w:r>
      <w:r w:rsidRPr="007223DB">
        <w:rPr>
          <w:rFonts w:ascii="Cambria" w:eastAsia="Times New Roman" w:hAnsi="Cambria" w:cs="Times New Roman"/>
          <w:i/>
          <w:color w:val="C00000"/>
          <w:sz w:val="28"/>
          <w:szCs w:val="28"/>
        </w:rPr>
        <w:t xml:space="preserve">19 : </w:t>
      </w:r>
      <w:r w:rsidR="00527C79" w:rsidRPr="007223DB">
        <w:rPr>
          <w:rFonts w:ascii="Cambria" w:eastAsia="Times New Roman" w:hAnsi="Cambria" w:cs="Times New Roman"/>
          <w:i/>
          <w:color w:val="C00000"/>
          <w:sz w:val="28"/>
          <w:szCs w:val="28"/>
        </w:rPr>
        <w:t xml:space="preserve">Histoire </w:t>
      </w:r>
      <w:r w:rsidR="000607C3" w:rsidRPr="007223DB">
        <w:rPr>
          <w:rFonts w:ascii="Cambria" w:eastAsia="Times New Roman" w:hAnsi="Cambria" w:cs="Times New Roman"/>
          <w:i/>
          <w:color w:val="C00000"/>
          <w:sz w:val="28"/>
          <w:szCs w:val="28"/>
        </w:rPr>
        <w:t xml:space="preserve">contemporaine de l’Afrique du Nord et du Moyen-Orient </w:t>
      </w:r>
    </w:p>
    <w:p w14:paraId="4F56DB49" w14:textId="77777777" w:rsidR="009B613E" w:rsidRPr="007223DB" w:rsidRDefault="009B613E" w:rsidP="00BF228E">
      <w:pPr>
        <w:spacing w:after="0" w:line="276" w:lineRule="auto"/>
        <w:contextualSpacing/>
        <w:rPr>
          <w:rFonts w:ascii="Cambria" w:hAnsi="Cambria"/>
          <w:i/>
          <w:color w:val="C00000"/>
          <w:sz w:val="28"/>
          <w:szCs w:val="28"/>
        </w:rPr>
      </w:pPr>
    </w:p>
    <w:p w14:paraId="6C528870" w14:textId="077F621B" w:rsidR="0027268A" w:rsidRPr="007E18BA" w:rsidRDefault="00527C79" w:rsidP="007E18BA">
      <w:pPr>
        <w:jc w:val="center"/>
        <w:rPr>
          <w:rFonts w:ascii="Cambria" w:hAnsi="Cambria" w:cs="Times New Roman"/>
          <w:color w:val="000000"/>
          <w:sz w:val="22"/>
        </w:rPr>
      </w:pPr>
      <w:r w:rsidRPr="007E18BA">
        <w:rPr>
          <w:rFonts w:ascii="Cambria" w:hAnsi="Cambria" w:cs="Times New Roman"/>
          <w:color w:val="000000"/>
          <w:sz w:val="22"/>
        </w:rPr>
        <w:t>Philippe Pétriat (</w:t>
      </w:r>
      <w:r w:rsidR="00BF228E" w:rsidRPr="007E18BA">
        <w:rPr>
          <w:rFonts w:ascii="Cambria" w:hAnsi="Cambria" w:cs="Times New Roman"/>
          <w:color w:val="000000"/>
          <w:sz w:val="22"/>
        </w:rPr>
        <w:t>CM S1</w:t>
      </w:r>
      <w:r w:rsidR="004F270A" w:rsidRPr="007E18BA">
        <w:rPr>
          <w:rFonts w:ascii="Cambria" w:hAnsi="Cambria" w:cs="Times New Roman"/>
          <w:color w:val="000000"/>
          <w:sz w:val="22"/>
        </w:rPr>
        <w:t>/</w:t>
      </w:r>
      <w:r w:rsidRPr="007E18BA">
        <w:rPr>
          <w:rFonts w:ascii="Cambria" w:hAnsi="Cambria" w:cs="Times New Roman"/>
          <w:color w:val="000000"/>
          <w:sz w:val="22"/>
        </w:rPr>
        <w:t>TD</w:t>
      </w:r>
      <w:r w:rsidR="00BF228E" w:rsidRPr="007E18BA">
        <w:rPr>
          <w:rFonts w:ascii="Cambria" w:hAnsi="Cambria" w:cs="Times New Roman"/>
          <w:color w:val="000000"/>
          <w:sz w:val="22"/>
        </w:rPr>
        <w:t xml:space="preserve"> S1et S2</w:t>
      </w:r>
      <w:r w:rsidRPr="007E18BA">
        <w:rPr>
          <w:rFonts w:ascii="Cambria" w:hAnsi="Cambria" w:cs="Times New Roman"/>
          <w:color w:val="000000"/>
          <w:sz w:val="22"/>
        </w:rPr>
        <w:t>)</w:t>
      </w:r>
      <w:r w:rsidR="004F270A" w:rsidRPr="007E18BA">
        <w:rPr>
          <w:rFonts w:ascii="Cambria" w:hAnsi="Cambria" w:cs="Times New Roman"/>
          <w:color w:val="000000"/>
          <w:sz w:val="22"/>
        </w:rPr>
        <w:t>, Pierre Vermeren (CM S2)</w:t>
      </w:r>
    </w:p>
    <w:p w14:paraId="32B1A039" w14:textId="77777777" w:rsidR="009037F6" w:rsidRPr="007E18BA" w:rsidRDefault="009037F6" w:rsidP="00BF228E">
      <w:pPr>
        <w:rPr>
          <w:rFonts w:ascii="Cambria" w:hAnsi="Cambria" w:cs="Times New Roman"/>
          <w:color w:val="000000"/>
          <w:sz w:val="22"/>
        </w:rPr>
      </w:pPr>
    </w:p>
    <w:p w14:paraId="49EC97FB" w14:textId="7833B194" w:rsidR="00527C79" w:rsidRPr="007E18BA" w:rsidRDefault="00527C79" w:rsidP="00BF228E">
      <w:pPr>
        <w:rPr>
          <w:rFonts w:ascii="Cambria" w:eastAsia="Times New Roman" w:hAnsi="Cambria" w:cs="Times New Roman"/>
          <w:b w:val="0"/>
          <w:bCs/>
          <w:color w:val="C00000"/>
          <w:sz w:val="22"/>
          <w:lang w:eastAsia="fr-FR"/>
        </w:rPr>
      </w:pPr>
      <w:bookmarkStart w:id="27" w:name="_Hlk107305510"/>
      <w:r w:rsidRPr="007E18BA">
        <w:rPr>
          <w:rFonts w:ascii="Cambria" w:eastAsia="Times New Roman" w:hAnsi="Cambria" w:cs="Times New Roman"/>
          <w:bCs/>
          <w:color w:val="C00000"/>
          <w:sz w:val="22"/>
          <w:u w:val="single"/>
          <w:lang w:eastAsia="fr-FR"/>
        </w:rPr>
        <w:t>Sujet du cours</w:t>
      </w:r>
      <w:r w:rsidRPr="007E18BA">
        <w:rPr>
          <w:rFonts w:ascii="Cambria" w:eastAsia="Times New Roman" w:hAnsi="Cambria" w:cs="Times New Roman"/>
          <w:bCs/>
          <w:color w:val="C00000"/>
          <w:sz w:val="22"/>
          <w:lang w:eastAsia="fr-FR"/>
        </w:rPr>
        <w:t> :</w:t>
      </w:r>
      <w:r w:rsidRPr="007E18BA">
        <w:rPr>
          <w:rFonts w:ascii="Cambria" w:eastAsia="Times New Roman" w:hAnsi="Cambria" w:cs="Times New Roman"/>
          <w:b w:val="0"/>
          <w:bCs/>
          <w:color w:val="C00000"/>
          <w:sz w:val="22"/>
          <w:lang w:eastAsia="fr-FR"/>
        </w:rPr>
        <w:t xml:space="preserve"> </w:t>
      </w:r>
      <w:bookmarkStart w:id="28" w:name="_Hlk201566723"/>
      <w:r w:rsidR="000607C3" w:rsidRPr="007E18BA">
        <w:rPr>
          <w:rFonts w:ascii="Cambria" w:eastAsia="Times New Roman" w:hAnsi="Cambria" w:cs="Times New Roman"/>
          <w:bCs/>
          <w:color w:val="C00000"/>
          <w:sz w:val="22"/>
          <w:lang w:eastAsia="fr-FR"/>
        </w:rPr>
        <w:t>Histoire contemporaine de l’</w:t>
      </w:r>
      <w:r w:rsidRPr="007E18BA">
        <w:rPr>
          <w:rFonts w:ascii="Cambria" w:eastAsia="Times New Roman" w:hAnsi="Cambria" w:cs="Times New Roman"/>
          <w:bCs/>
          <w:color w:val="C00000"/>
          <w:sz w:val="22"/>
          <w:lang w:eastAsia="fr-FR"/>
        </w:rPr>
        <w:t xml:space="preserve">Afrique du </w:t>
      </w:r>
      <w:r w:rsidR="000607C3" w:rsidRPr="007E18BA">
        <w:rPr>
          <w:rFonts w:ascii="Cambria" w:eastAsia="Times New Roman" w:hAnsi="Cambria" w:cs="Times New Roman"/>
          <w:bCs/>
          <w:color w:val="C00000"/>
          <w:sz w:val="22"/>
          <w:lang w:eastAsia="fr-FR"/>
        </w:rPr>
        <w:t>Nord/Maghreb, XVIIIe- XXIe</w:t>
      </w:r>
    </w:p>
    <w:bookmarkEnd w:id="27"/>
    <w:bookmarkEnd w:id="28"/>
    <w:p w14:paraId="1E8A04D7" w14:textId="19BA8F99" w:rsidR="009B613E" w:rsidRPr="007E18BA" w:rsidRDefault="00BF228E" w:rsidP="00BF228E">
      <w:pPr>
        <w:spacing w:after="0" w:line="276" w:lineRule="auto"/>
        <w:contextualSpacing/>
        <w:jc w:val="both"/>
        <w:rPr>
          <w:rFonts w:ascii="Cambria" w:hAnsi="Cambria"/>
          <w:b w:val="0"/>
          <w:bCs/>
          <w:i/>
          <w:color w:val="C00000"/>
          <w:sz w:val="22"/>
        </w:rPr>
      </w:pPr>
      <w:r w:rsidRPr="007E18BA">
        <w:rPr>
          <w:rFonts w:ascii="Cambria" w:hAnsi="Cambria"/>
          <w:b w:val="0"/>
          <w:bCs/>
          <w:sz w:val="22"/>
        </w:rPr>
        <w:t>Ce cours porte sur le Maghreb avec "une signification essentiellement historique et dynamique" comme l'expliquait Abdallah Laroui dans son Essai de synthèse de 1982 : Algérie, Maroc, Tunisie, Libye seront étudiés depuis l'époque ottomane jusqu'aux printemps arabes et leurs conséquences. La période coloniale est ainsi replacée dans une histoire politique et sociale plus large, et l'histoire du Maghreb reliée à celle des autres pays de la Méditerranée, du Moyen-Orient, et de l'Afrique. Aucune connaissance préalable n'est nécessaire mais le cours complète les enseignements d'aire culturelle "Monde arabe" de L1 et L2. Il s'adresse à tous les étudiants intéressés par l'histoire contemporaine du Maghreb et du Moyen-Orient.</w:t>
      </w:r>
      <w:r w:rsidRPr="007E18BA">
        <w:rPr>
          <w:rFonts w:ascii="Cambria" w:hAnsi="Cambria"/>
          <w:b w:val="0"/>
          <w:bCs/>
          <w:sz w:val="22"/>
        </w:rPr>
        <w:br/>
      </w:r>
      <w:r w:rsidRPr="007E18BA">
        <w:rPr>
          <w:rFonts w:ascii="Cambria" w:hAnsi="Cambria"/>
          <w:b w:val="0"/>
          <w:bCs/>
          <w:sz w:val="22"/>
        </w:rPr>
        <w:br/>
        <w:t>Bibliographie :</w:t>
      </w:r>
      <w:r w:rsidRPr="007E18BA">
        <w:rPr>
          <w:rFonts w:ascii="Cambria" w:hAnsi="Cambria"/>
          <w:b w:val="0"/>
          <w:bCs/>
          <w:sz w:val="22"/>
        </w:rPr>
        <w:br/>
        <w:t xml:space="preserve">Charlotte Courreye, Augustin Jomier et Annick Lacroix, </w:t>
      </w:r>
      <w:r w:rsidRPr="007E18BA">
        <w:rPr>
          <w:rStyle w:val="Accentuation"/>
          <w:rFonts w:ascii="Cambria" w:hAnsi="Cambria"/>
          <w:b w:val="0"/>
          <w:bCs/>
          <w:sz w:val="22"/>
        </w:rPr>
        <w:t>Le Maghreb par les textes (xviiie-xxie)</w:t>
      </w:r>
      <w:r w:rsidRPr="007E18BA">
        <w:rPr>
          <w:rFonts w:ascii="Cambria" w:hAnsi="Cambria"/>
          <w:b w:val="0"/>
          <w:bCs/>
          <w:sz w:val="22"/>
        </w:rPr>
        <w:t>, Armand Colin, Paris, 2020.</w:t>
      </w:r>
      <w:r w:rsidRPr="007E18BA">
        <w:rPr>
          <w:rFonts w:ascii="Cambria" w:hAnsi="Cambria"/>
          <w:b w:val="0"/>
          <w:bCs/>
          <w:sz w:val="22"/>
        </w:rPr>
        <w:br/>
        <w:t xml:space="preserve">Karima Dirèche, Aurélia Dusserre et Nessim Znaien, </w:t>
      </w:r>
      <w:r w:rsidRPr="007E18BA">
        <w:rPr>
          <w:rStyle w:val="Accentuation"/>
          <w:rFonts w:ascii="Cambria" w:hAnsi="Cambria"/>
          <w:b w:val="0"/>
          <w:bCs/>
          <w:sz w:val="22"/>
        </w:rPr>
        <w:t>Histoire du Maghreb depuis les indépendances</w:t>
      </w:r>
      <w:r w:rsidRPr="007E18BA">
        <w:rPr>
          <w:rFonts w:ascii="Cambria" w:hAnsi="Cambria"/>
          <w:b w:val="0"/>
          <w:bCs/>
          <w:sz w:val="22"/>
        </w:rPr>
        <w:t>, Armand Colin, Paris, 2023.</w:t>
      </w:r>
      <w:r w:rsidRPr="007E18BA">
        <w:rPr>
          <w:rFonts w:ascii="Cambria" w:hAnsi="Cambria"/>
          <w:b w:val="0"/>
          <w:bCs/>
          <w:sz w:val="22"/>
        </w:rPr>
        <w:br/>
        <w:t xml:space="preserve">Pierre Vermeren, </w:t>
      </w:r>
      <w:r w:rsidRPr="007E18BA">
        <w:rPr>
          <w:rStyle w:val="Accentuation"/>
          <w:rFonts w:ascii="Cambria" w:hAnsi="Cambria"/>
          <w:b w:val="0"/>
          <w:bCs/>
          <w:sz w:val="22"/>
        </w:rPr>
        <w:t>La France en terre d'Islam : Empire colonial et religions, xixe-xxe siècles</w:t>
      </w:r>
      <w:r w:rsidRPr="007E18BA">
        <w:rPr>
          <w:rFonts w:ascii="Cambria" w:hAnsi="Cambria"/>
          <w:b w:val="0"/>
          <w:bCs/>
          <w:sz w:val="22"/>
        </w:rPr>
        <w:t>, Tallandier, Paris, 2020.</w:t>
      </w:r>
      <w:r w:rsidRPr="007E18BA">
        <w:rPr>
          <w:rFonts w:ascii="Cambria" w:hAnsi="Cambria"/>
          <w:b w:val="0"/>
          <w:bCs/>
          <w:sz w:val="22"/>
        </w:rPr>
        <w:br/>
        <w:t xml:space="preserve">Pierre Vermeren, </w:t>
      </w:r>
      <w:r w:rsidRPr="007E18BA">
        <w:rPr>
          <w:rStyle w:val="Accentuation"/>
          <w:rFonts w:ascii="Cambria" w:hAnsi="Cambria"/>
          <w:b w:val="0"/>
          <w:bCs/>
          <w:sz w:val="22"/>
        </w:rPr>
        <w:t>Histoire de l'Algérie contemporaine : De la Régence d'Alger au Hirak (xixe-xxie s.)</w:t>
      </w:r>
      <w:r w:rsidRPr="007E18BA">
        <w:rPr>
          <w:rFonts w:ascii="Cambria" w:hAnsi="Cambria"/>
          <w:b w:val="0"/>
          <w:bCs/>
          <w:sz w:val="22"/>
        </w:rPr>
        <w:t>, Nouveau Monde, Paris, 2024.</w:t>
      </w:r>
      <w:r w:rsidRPr="007E18BA">
        <w:rPr>
          <w:rFonts w:ascii="Cambria" w:hAnsi="Cambria"/>
          <w:b w:val="0"/>
          <w:bCs/>
          <w:sz w:val="22"/>
        </w:rPr>
        <w:br/>
        <w:t xml:space="preserve">Pierre Vermeren, </w:t>
      </w:r>
      <w:r w:rsidRPr="007E18BA">
        <w:rPr>
          <w:rStyle w:val="Accentuation"/>
          <w:rFonts w:ascii="Cambria" w:hAnsi="Cambria"/>
          <w:b w:val="0"/>
          <w:bCs/>
          <w:sz w:val="22"/>
        </w:rPr>
        <w:t>France-Algérie, de 1962 à nos jours : Histoire d'une relation pathologique</w:t>
      </w:r>
      <w:r w:rsidRPr="007E18BA">
        <w:rPr>
          <w:rFonts w:ascii="Cambria" w:hAnsi="Cambria"/>
          <w:b w:val="0"/>
          <w:bCs/>
          <w:sz w:val="22"/>
        </w:rPr>
        <w:t>, Tallandier, Paris, 2026.</w:t>
      </w:r>
    </w:p>
    <w:p w14:paraId="5BD35933" w14:textId="77777777" w:rsidR="002455A3" w:rsidRPr="007E18BA" w:rsidRDefault="002455A3" w:rsidP="002C234E">
      <w:pPr>
        <w:spacing w:after="0" w:line="276" w:lineRule="auto"/>
        <w:contextualSpacing/>
        <w:jc w:val="center"/>
        <w:rPr>
          <w:rFonts w:ascii="Cambria" w:hAnsi="Cambria"/>
          <w:i/>
          <w:color w:val="C00000"/>
          <w:sz w:val="28"/>
          <w:szCs w:val="28"/>
        </w:rPr>
      </w:pPr>
    </w:p>
    <w:p w14:paraId="057EE7F8" w14:textId="77777777" w:rsidR="002455A3" w:rsidRPr="007223DB" w:rsidRDefault="002455A3" w:rsidP="002C234E">
      <w:pPr>
        <w:spacing w:after="0" w:line="276" w:lineRule="auto"/>
        <w:contextualSpacing/>
        <w:jc w:val="center"/>
        <w:rPr>
          <w:rFonts w:ascii="Cambria" w:hAnsi="Cambria"/>
          <w:i/>
          <w:color w:val="C00000"/>
          <w:sz w:val="28"/>
          <w:szCs w:val="28"/>
        </w:rPr>
      </w:pPr>
    </w:p>
    <w:p w14:paraId="3EEE672F" w14:textId="77777777" w:rsidR="002455A3" w:rsidRPr="007223DB" w:rsidRDefault="002455A3" w:rsidP="002C234E">
      <w:pPr>
        <w:spacing w:after="0" w:line="276" w:lineRule="auto"/>
        <w:contextualSpacing/>
        <w:jc w:val="center"/>
        <w:rPr>
          <w:rFonts w:ascii="Cambria" w:hAnsi="Cambria"/>
          <w:i/>
          <w:color w:val="C00000"/>
          <w:sz w:val="28"/>
          <w:szCs w:val="28"/>
        </w:rPr>
      </w:pPr>
    </w:p>
    <w:p w14:paraId="282864F1" w14:textId="77777777" w:rsidR="002455A3" w:rsidRPr="007223DB" w:rsidRDefault="002455A3" w:rsidP="002C234E">
      <w:pPr>
        <w:spacing w:after="0" w:line="276" w:lineRule="auto"/>
        <w:contextualSpacing/>
        <w:jc w:val="center"/>
        <w:rPr>
          <w:rFonts w:ascii="Cambria" w:hAnsi="Cambria"/>
          <w:i/>
          <w:color w:val="C00000"/>
          <w:sz w:val="28"/>
          <w:szCs w:val="28"/>
        </w:rPr>
      </w:pPr>
    </w:p>
    <w:p w14:paraId="71B06222" w14:textId="77777777" w:rsidR="000607C3" w:rsidRPr="007223DB" w:rsidRDefault="000607C3" w:rsidP="002C234E">
      <w:pPr>
        <w:spacing w:after="0" w:line="276" w:lineRule="auto"/>
        <w:contextualSpacing/>
        <w:jc w:val="center"/>
        <w:rPr>
          <w:rFonts w:ascii="Cambria" w:hAnsi="Cambria"/>
          <w:i/>
          <w:color w:val="C00000"/>
          <w:sz w:val="28"/>
          <w:szCs w:val="28"/>
        </w:rPr>
      </w:pPr>
    </w:p>
    <w:p w14:paraId="3613D1B0" w14:textId="77777777" w:rsidR="000607C3" w:rsidRPr="007223DB" w:rsidRDefault="000607C3" w:rsidP="002C234E">
      <w:pPr>
        <w:spacing w:after="0" w:line="276" w:lineRule="auto"/>
        <w:contextualSpacing/>
        <w:jc w:val="center"/>
        <w:rPr>
          <w:rFonts w:ascii="Cambria" w:hAnsi="Cambria"/>
          <w:i/>
          <w:color w:val="C00000"/>
          <w:sz w:val="28"/>
          <w:szCs w:val="28"/>
        </w:rPr>
      </w:pPr>
    </w:p>
    <w:p w14:paraId="4E2A2F94" w14:textId="77777777" w:rsidR="000607C3" w:rsidRPr="007223DB" w:rsidRDefault="000607C3" w:rsidP="002C234E">
      <w:pPr>
        <w:spacing w:after="0" w:line="276" w:lineRule="auto"/>
        <w:contextualSpacing/>
        <w:jc w:val="center"/>
        <w:rPr>
          <w:rFonts w:ascii="Cambria" w:hAnsi="Cambria"/>
          <w:i/>
          <w:color w:val="C00000"/>
          <w:sz w:val="28"/>
          <w:szCs w:val="28"/>
        </w:rPr>
      </w:pPr>
    </w:p>
    <w:p w14:paraId="421AB70E" w14:textId="77777777" w:rsidR="000607C3" w:rsidRPr="007223DB" w:rsidRDefault="000607C3" w:rsidP="002C234E">
      <w:pPr>
        <w:spacing w:after="0" w:line="276" w:lineRule="auto"/>
        <w:contextualSpacing/>
        <w:jc w:val="center"/>
        <w:rPr>
          <w:rFonts w:ascii="Cambria" w:hAnsi="Cambria"/>
          <w:i/>
          <w:color w:val="C00000"/>
          <w:sz w:val="28"/>
          <w:szCs w:val="28"/>
        </w:rPr>
      </w:pPr>
    </w:p>
    <w:p w14:paraId="4EA225A9" w14:textId="77777777" w:rsidR="000607C3" w:rsidRPr="007223DB" w:rsidRDefault="000607C3" w:rsidP="002C234E">
      <w:pPr>
        <w:spacing w:after="0" w:line="276" w:lineRule="auto"/>
        <w:contextualSpacing/>
        <w:jc w:val="center"/>
        <w:rPr>
          <w:rFonts w:ascii="Cambria" w:hAnsi="Cambria"/>
          <w:i/>
          <w:color w:val="C00000"/>
          <w:sz w:val="28"/>
          <w:szCs w:val="28"/>
        </w:rPr>
      </w:pPr>
    </w:p>
    <w:p w14:paraId="30451557" w14:textId="77777777" w:rsidR="000607C3" w:rsidRPr="007223DB" w:rsidRDefault="000607C3" w:rsidP="002C234E">
      <w:pPr>
        <w:spacing w:after="0" w:line="276" w:lineRule="auto"/>
        <w:contextualSpacing/>
        <w:jc w:val="center"/>
        <w:rPr>
          <w:rFonts w:ascii="Cambria" w:hAnsi="Cambria"/>
          <w:i/>
          <w:color w:val="C00000"/>
          <w:sz w:val="28"/>
          <w:szCs w:val="28"/>
        </w:rPr>
      </w:pPr>
    </w:p>
    <w:p w14:paraId="5C4682F9" w14:textId="77777777" w:rsidR="000607C3" w:rsidRPr="007223DB" w:rsidRDefault="000607C3" w:rsidP="002C234E">
      <w:pPr>
        <w:spacing w:after="0" w:line="276" w:lineRule="auto"/>
        <w:contextualSpacing/>
        <w:jc w:val="center"/>
        <w:rPr>
          <w:rFonts w:ascii="Cambria" w:hAnsi="Cambria"/>
          <w:i/>
          <w:color w:val="C00000"/>
          <w:sz w:val="28"/>
          <w:szCs w:val="28"/>
        </w:rPr>
      </w:pPr>
    </w:p>
    <w:p w14:paraId="70FFC575" w14:textId="77777777" w:rsidR="000607C3" w:rsidRPr="007223DB" w:rsidRDefault="000607C3" w:rsidP="002C234E">
      <w:pPr>
        <w:spacing w:after="0" w:line="276" w:lineRule="auto"/>
        <w:contextualSpacing/>
        <w:jc w:val="center"/>
        <w:rPr>
          <w:rFonts w:ascii="Cambria" w:hAnsi="Cambria"/>
          <w:i/>
          <w:color w:val="C00000"/>
          <w:sz w:val="28"/>
          <w:szCs w:val="28"/>
        </w:rPr>
      </w:pPr>
    </w:p>
    <w:p w14:paraId="01485968" w14:textId="77777777" w:rsidR="000607C3" w:rsidRPr="007223DB" w:rsidRDefault="000607C3" w:rsidP="002C234E">
      <w:pPr>
        <w:spacing w:after="0" w:line="276" w:lineRule="auto"/>
        <w:contextualSpacing/>
        <w:jc w:val="center"/>
        <w:rPr>
          <w:rFonts w:ascii="Cambria" w:hAnsi="Cambria"/>
          <w:i/>
          <w:color w:val="C00000"/>
          <w:sz w:val="28"/>
          <w:szCs w:val="28"/>
        </w:rPr>
      </w:pPr>
    </w:p>
    <w:p w14:paraId="773AD83A" w14:textId="77777777" w:rsidR="000607C3" w:rsidRPr="007223DB" w:rsidRDefault="000607C3" w:rsidP="002C234E">
      <w:pPr>
        <w:spacing w:after="0" w:line="276" w:lineRule="auto"/>
        <w:contextualSpacing/>
        <w:jc w:val="center"/>
        <w:rPr>
          <w:rFonts w:ascii="Cambria" w:hAnsi="Cambria"/>
          <w:i/>
          <w:color w:val="C00000"/>
          <w:sz w:val="28"/>
          <w:szCs w:val="28"/>
        </w:rPr>
      </w:pPr>
    </w:p>
    <w:p w14:paraId="6112725D" w14:textId="77777777" w:rsidR="000607C3" w:rsidRPr="007223DB" w:rsidRDefault="000607C3" w:rsidP="002C234E">
      <w:pPr>
        <w:spacing w:after="0" w:line="276" w:lineRule="auto"/>
        <w:contextualSpacing/>
        <w:jc w:val="center"/>
        <w:rPr>
          <w:rFonts w:ascii="Cambria" w:hAnsi="Cambria"/>
          <w:i/>
          <w:color w:val="C00000"/>
          <w:sz w:val="28"/>
          <w:szCs w:val="28"/>
        </w:rPr>
      </w:pPr>
    </w:p>
    <w:p w14:paraId="552F86B2" w14:textId="77777777" w:rsidR="000607C3" w:rsidRPr="007223DB" w:rsidRDefault="000607C3" w:rsidP="002C234E">
      <w:pPr>
        <w:spacing w:after="0" w:line="276" w:lineRule="auto"/>
        <w:contextualSpacing/>
        <w:jc w:val="center"/>
        <w:rPr>
          <w:rFonts w:ascii="Cambria" w:hAnsi="Cambria"/>
          <w:i/>
          <w:color w:val="C00000"/>
          <w:sz w:val="28"/>
          <w:szCs w:val="28"/>
        </w:rPr>
      </w:pPr>
    </w:p>
    <w:p w14:paraId="4AAC12DE" w14:textId="77777777" w:rsidR="000607C3" w:rsidRPr="007223DB" w:rsidRDefault="000607C3" w:rsidP="002C234E">
      <w:pPr>
        <w:spacing w:after="0" w:line="276" w:lineRule="auto"/>
        <w:contextualSpacing/>
        <w:jc w:val="center"/>
        <w:rPr>
          <w:rFonts w:ascii="Cambria" w:hAnsi="Cambria"/>
          <w:i/>
          <w:color w:val="C00000"/>
          <w:sz w:val="28"/>
          <w:szCs w:val="28"/>
        </w:rPr>
      </w:pPr>
    </w:p>
    <w:p w14:paraId="6D9E5F39" w14:textId="77777777" w:rsidR="000607C3" w:rsidRPr="007223DB" w:rsidRDefault="000607C3" w:rsidP="002C234E">
      <w:pPr>
        <w:spacing w:after="0" w:line="276" w:lineRule="auto"/>
        <w:contextualSpacing/>
        <w:jc w:val="center"/>
        <w:rPr>
          <w:rFonts w:ascii="Cambria" w:hAnsi="Cambria"/>
          <w:i/>
          <w:color w:val="C00000"/>
          <w:sz w:val="28"/>
          <w:szCs w:val="28"/>
        </w:rPr>
      </w:pPr>
    </w:p>
    <w:p w14:paraId="02062077" w14:textId="77777777" w:rsidR="000607C3" w:rsidRPr="007223DB" w:rsidRDefault="000607C3" w:rsidP="002C234E">
      <w:pPr>
        <w:spacing w:after="0" w:line="276" w:lineRule="auto"/>
        <w:contextualSpacing/>
        <w:jc w:val="center"/>
        <w:rPr>
          <w:rFonts w:ascii="Cambria" w:hAnsi="Cambria"/>
          <w:i/>
          <w:color w:val="C00000"/>
          <w:sz w:val="28"/>
          <w:szCs w:val="28"/>
        </w:rPr>
      </w:pPr>
    </w:p>
    <w:p w14:paraId="76E79B91" w14:textId="77777777" w:rsidR="000607C3" w:rsidRPr="007223DB" w:rsidRDefault="000607C3" w:rsidP="002C234E">
      <w:pPr>
        <w:spacing w:after="0" w:line="276" w:lineRule="auto"/>
        <w:contextualSpacing/>
        <w:jc w:val="center"/>
        <w:rPr>
          <w:rFonts w:ascii="Cambria" w:hAnsi="Cambria"/>
          <w:i/>
          <w:color w:val="C00000"/>
          <w:sz w:val="28"/>
          <w:szCs w:val="28"/>
        </w:rPr>
      </w:pPr>
    </w:p>
    <w:p w14:paraId="1C6231E8" w14:textId="77777777" w:rsidR="000607C3" w:rsidRPr="007223DB" w:rsidRDefault="000607C3" w:rsidP="002C234E">
      <w:pPr>
        <w:spacing w:after="0" w:line="276" w:lineRule="auto"/>
        <w:contextualSpacing/>
        <w:jc w:val="center"/>
        <w:rPr>
          <w:rFonts w:ascii="Cambria" w:hAnsi="Cambria"/>
          <w:i/>
          <w:color w:val="C00000"/>
          <w:sz w:val="28"/>
          <w:szCs w:val="28"/>
        </w:rPr>
      </w:pPr>
    </w:p>
    <w:p w14:paraId="5CB3BF85" w14:textId="77777777" w:rsidR="000607C3" w:rsidRPr="007223DB" w:rsidRDefault="000607C3" w:rsidP="002C234E">
      <w:pPr>
        <w:spacing w:after="0" w:line="276" w:lineRule="auto"/>
        <w:contextualSpacing/>
        <w:jc w:val="center"/>
        <w:rPr>
          <w:rFonts w:ascii="Cambria" w:hAnsi="Cambria"/>
          <w:i/>
          <w:color w:val="C00000"/>
          <w:sz w:val="28"/>
          <w:szCs w:val="28"/>
        </w:rPr>
      </w:pPr>
    </w:p>
    <w:p w14:paraId="527627B4" w14:textId="77777777" w:rsidR="000607C3" w:rsidRPr="007223DB" w:rsidRDefault="000607C3" w:rsidP="002C234E">
      <w:pPr>
        <w:spacing w:after="0" w:line="276" w:lineRule="auto"/>
        <w:contextualSpacing/>
        <w:jc w:val="center"/>
        <w:rPr>
          <w:rFonts w:ascii="Cambria" w:hAnsi="Cambria"/>
          <w:i/>
          <w:color w:val="C00000"/>
          <w:sz w:val="28"/>
          <w:szCs w:val="28"/>
        </w:rPr>
      </w:pPr>
    </w:p>
    <w:p w14:paraId="730A7F24" w14:textId="77777777" w:rsidR="000607C3" w:rsidRPr="007223DB" w:rsidRDefault="000607C3" w:rsidP="002C234E">
      <w:pPr>
        <w:spacing w:after="0" w:line="276" w:lineRule="auto"/>
        <w:contextualSpacing/>
        <w:jc w:val="center"/>
        <w:rPr>
          <w:rFonts w:ascii="Cambria" w:hAnsi="Cambria"/>
          <w:i/>
          <w:color w:val="C00000"/>
          <w:sz w:val="28"/>
          <w:szCs w:val="28"/>
        </w:rPr>
      </w:pPr>
    </w:p>
    <w:p w14:paraId="7BCB71AE" w14:textId="77777777" w:rsidR="000607C3" w:rsidRPr="007223DB" w:rsidRDefault="000607C3" w:rsidP="002C234E">
      <w:pPr>
        <w:spacing w:after="0" w:line="276" w:lineRule="auto"/>
        <w:contextualSpacing/>
        <w:jc w:val="center"/>
        <w:rPr>
          <w:rFonts w:ascii="Cambria" w:hAnsi="Cambria"/>
          <w:i/>
          <w:color w:val="C00000"/>
          <w:sz w:val="28"/>
          <w:szCs w:val="28"/>
        </w:rPr>
      </w:pPr>
    </w:p>
    <w:p w14:paraId="14D1D41E" w14:textId="77777777" w:rsidR="00D246E7" w:rsidRPr="007223DB" w:rsidRDefault="00D246E7" w:rsidP="002C234E">
      <w:pPr>
        <w:spacing w:after="0" w:line="276" w:lineRule="auto"/>
        <w:contextualSpacing/>
        <w:jc w:val="center"/>
        <w:rPr>
          <w:rFonts w:ascii="Cambria" w:hAnsi="Cambria"/>
          <w:i/>
          <w:color w:val="C00000"/>
          <w:sz w:val="28"/>
          <w:szCs w:val="28"/>
        </w:rPr>
      </w:pPr>
    </w:p>
    <w:p w14:paraId="45E72ED6" w14:textId="77777777" w:rsidR="000607C3" w:rsidRPr="007223DB" w:rsidRDefault="000607C3" w:rsidP="0010279A">
      <w:pPr>
        <w:spacing w:after="0" w:line="276" w:lineRule="auto"/>
        <w:contextualSpacing/>
        <w:rPr>
          <w:rFonts w:ascii="Cambria" w:hAnsi="Cambria"/>
          <w:i/>
          <w:color w:val="C00000"/>
          <w:sz w:val="28"/>
          <w:szCs w:val="28"/>
        </w:rPr>
      </w:pPr>
    </w:p>
    <w:p w14:paraId="6BC0C9C9" w14:textId="77777777" w:rsidR="009037F6" w:rsidRPr="007223DB" w:rsidRDefault="009037F6" w:rsidP="0010279A">
      <w:pPr>
        <w:spacing w:after="0" w:line="276" w:lineRule="auto"/>
        <w:contextualSpacing/>
        <w:rPr>
          <w:rFonts w:ascii="Cambria" w:hAnsi="Cambria"/>
          <w:i/>
          <w:color w:val="C00000"/>
          <w:sz w:val="28"/>
          <w:szCs w:val="28"/>
        </w:rPr>
      </w:pPr>
    </w:p>
    <w:p w14:paraId="47D2B9A1" w14:textId="77777777" w:rsidR="000607C3" w:rsidRPr="007223DB" w:rsidRDefault="000607C3" w:rsidP="00E837A5">
      <w:pPr>
        <w:spacing w:after="0" w:line="276" w:lineRule="auto"/>
        <w:contextualSpacing/>
        <w:rPr>
          <w:rFonts w:ascii="Cambria" w:hAnsi="Cambria"/>
          <w:i/>
          <w:color w:val="C00000"/>
          <w:sz w:val="28"/>
          <w:szCs w:val="28"/>
        </w:rPr>
      </w:pPr>
    </w:p>
    <w:p w14:paraId="2FE876A9" w14:textId="77777777" w:rsidR="00E028EA" w:rsidRPr="007223DB" w:rsidRDefault="00360373" w:rsidP="002C234E">
      <w:pPr>
        <w:spacing w:after="0" w:line="276" w:lineRule="auto"/>
        <w:contextualSpacing/>
        <w:jc w:val="center"/>
        <w:rPr>
          <w:rFonts w:ascii="Cambria" w:hAnsi="Cambria"/>
          <w:i/>
          <w:color w:val="C00000"/>
          <w:sz w:val="28"/>
          <w:szCs w:val="28"/>
        </w:rPr>
      </w:pPr>
      <w:r w:rsidRPr="007223DB">
        <w:rPr>
          <w:rFonts w:ascii="Cambria" w:hAnsi="Cambria"/>
          <w:i/>
          <w:color w:val="C00000"/>
          <w:sz w:val="28"/>
          <w:szCs w:val="28"/>
        </w:rPr>
        <w:t>J3040719/J3040819</w:t>
      </w:r>
      <w:r w:rsidR="00E028EA" w:rsidRPr="007223DB">
        <w:rPr>
          <w:rFonts w:ascii="Cambria" w:hAnsi="Cambria"/>
          <w:i/>
          <w:color w:val="C00000"/>
          <w:sz w:val="28"/>
          <w:szCs w:val="28"/>
        </w:rPr>
        <w:t xml:space="preserve"> : Histoire sociale du XX</w:t>
      </w:r>
      <w:r w:rsidR="00E028EA" w:rsidRPr="007223DB">
        <w:rPr>
          <w:rFonts w:ascii="Cambria" w:hAnsi="Cambria"/>
          <w:i/>
          <w:color w:val="C00000"/>
          <w:sz w:val="28"/>
          <w:szCs w:val="28"/>
          <w:vertAlign w:val="superscript"/>
        </w:rPr>
        <w:t>ème</w:t>
      </w:r>
      <w:r w:rsidR="00624055" w:rsidRPr="007223DB">
        <w:rPr>
          <w:rFonts w:ascii="Cambria" w:hAnsi="Cambria"/>
          <w:i/>
          <w:color w:val="C00000"/>
          <w:sz w:val="28"/>
          <w:szCs w:val="28"/>
          <w:vertAlign w:val="superscript"/>
        </w:rPr>
        <w:t xml:space="preserve"> </w:t>
      </w:r>
      <w:r w:rsidR="00E028EA" w:rsidRPr="007223DB">
        <w:rPr>
          <w:rFonts w:ascii="Cambria" w:hAnsi="Cambria"/>
          <w:i/>
          <w:color w:val="C00000"/>
          <w:sz w:val="28"/>
          <w:szCs w:val="28"/>
        </w:rPr>
        <w:t>siècle</w:t>
      </w:r>
    </w:p>
    <w:p w14:paraId="1AE95762" w14:textId="77777777" w:rsidR="00FF1EAA" w:rsidRPr="007223DB" w:rsidRDefault="00FF1EAA" w:rsidP="002C234E">
      <w:pPr>
        <w:spacing w:after="0" w:line="276" w:lineRule="auto"/>
        <w:contextualSpacing/>
        <w:jc w:val="center"/>
        <w:rPr>
          <w:rFonts w:ascii="Cambria" w:hAnsi="Cambria"/>
          <w:i/>
          <w:color w:val="C00000"/>
          <w:sz w:val="28"/>
          <w:szCs w:val="28"/>
        </w:rPr>
      </w:pPr>
    </w:p>
    <w:p w14:paraId="0FD989E3" w14:textId="3E69C887" w:rsidR="00283E94" w:rsidRDefault="009037F6" w:rsidP="00CB26CC">
      <w:pPr>
        <w:spacing w:after="0" w:line="276" w:lineRule="auto"/>
        <w:contextualSpacing/>
        <w:jc w:val="center"/>
        <w:rPr>
          <w:rFonts w:ascii="Cambria" w:hAnsi="Cambria"/>
          <w:i/>
          <w:sz w:val="22"/>
        </w:rPr>
      </w:pPr>
      <w:r w:rsidRPr="007223DB">
        <w:rPr>
          <w:rFonts w:ascii="Cambria" w:hAnsi="Cambria"/>
          <w:i/>
          <w:sz w:val="22"/>
        </w:rPr>
        <w:t>Charlotte Vorms</w:t>
      </w:r>
      <w:r w:rsidR="00915F79" w:rsidRPr="007223DB">
        <w:rPr>
          <w:rFonts w:ascii="Cambria" w:hAnsi="Cambria"/>
          <w:i/>
          <w:sz w:val="22"/>
        </w:rPr>
        <w:t xml:space="preserve">, Anne-Sophie Bruno </w:t>
      </w:r>
    </w:p>
    <w:p w14:paraId="2F1AD035" w14:textId="77777777" w:rsidR="00CB26CC" w:rsidRPr="00CB26CC" w:rsidRDefault="00CB26CC" w:rsidP="00CB26CC">
      <w:pPr>
        <w:spacing w:after="0" w:line="276" w:lineRule="auto"/>
        <w:contextualSpacing/>
        <w:jc w:val="center"/>
        <w:rPr>
          <w:rFonts w:ascii="Cambria" w:hAnsi="Cambria"/>
          <w:i/>
          <w:sz w:val="22"/>
        </w:rPr>
      </w:pPr>
    </w:p>
    <w:p w14:paraId="3A31DA7A" w14:textId="1E08A6E2" w:rsidR="00915F79" w:rsidRPr="007E18BA" w:rsidRDefault="00283E94" w:rsidP="006E292C">
      <w:pPr>
        <w:jc w:val="both"/>
        <w:rPr>
          <w:rFonts w:ascii="Cambria" w:eastAsia="Times New Roman" w:hAnsi="Cambria" w:cs="Times New Roman"/>
          <w:b w:val="0"/>
          <w:bCs/>
          <w:color w:val="000000" w:themeColor="text1"/>
          <w:sz w:val="22"/>
          <w:lang w:eastAsia="fr-FR" w:bidi="yi-Hebr"/>
        </w:rPr>
      </w:pPr>
      <w:r w:rsidRPr="007E18BA">
        <w:rPr>
          <w:rFonts w:ascii="Cambria" w:hAnsi="Cambria" w:cs="Times New Roman"/>
          <w:color w:val="B71E42" w:themeColor="accent1"/>
          <w:sz w:val="22"/>
          <w:u w:val="single"/>
        </w:rPr>
        <w:t>Sujet du cours</w:t>
      </w:r>
      <w:r w:rsidR="00915F79" w:rsidRPr="007E18BA">
        <w:rPr>
          <w:rFonts w:ascii="Cambria" w:hAnsi="Cambria" w:cs="Times New Roman"/>
          <w:color w:val="B71E42" w:themeColor="accent1"/>
          <w:sz w:val="22"/>
          <w:u w:val="single"/>
        </w:rPr>
        <w:t xml:space="preserve"> </w:t>
      </w:r>
      <w:r w:rsidR="007E18BA">
        <w:rPr>
          <w:rFonts w:ascii="Cambria" w:hAnsi="Cambria" w:cs="Times New Roman"/>
          <w:color w:val="B71E42" w:themeColor="accent1"/>
          <w:sz w:val="22"/>
          <w:u w:val="single"/>
        </w:rPr>
        <w:t xml:space="preserve">semestre </w:t>
      </w:r>
      <w:r w:rsidR="00915F79" w:rsidRPr="007E18BA">
        <w:rPr>
          <w:rFonts w:ascii="Cambria" w:hAnsi="Cambria" w:cs="Times New Roman"/>
          <w:color w:val="B71E42" w:themeColor="accent1"/>
          <w:sz w:val="22"/>
          <w:u w:val="single"/>
        </w:rPr>
        <w:t>1</w:t>
      </w:r>
      <w:r w:rsidR="00915F79" w:rsidRPr="007E18BA">
        <w:rPr>
          <w:rFonts w:ascii="Cambria" w:hAnsi="Cambria" w:cs="Times New Roman"/>
          <w:color w:val="B71E42" w:themeColor="accent1"/>
          <w:sz w:val="22"/>
        </w:rPr>
        <w:t xml:space="preserve"> :</w:t>
      </w:r>
      <w:r w:rsidRPr="007E18BA">
        <w:rPr>
          <w:rFonts w:ascii="Cambria" w:hAnsi="Cambria" w:cs="Times New Roman"/>
          <w:color w:val="B71E42" w:themeColor="accent1"/>
          <w:sz w:val="22"/>
        </w:rPr>
        <w:t xml:space="preserve"> </w:t>
      </w:r>
      <w:r w:rsidR="00915F79" w:rsidRPr="007E18BA">
        <w:rPr>
          <w:rFonts w:ascii="Cambria" w:eastAsia="Times New Roman" w:hAnsi="Cambria" w:cs="Times New Roman"/>
          <w:bCs/>
          <w:color w:val="C00000"/>
          <w:sz w:val="22"/>
          <w:lang w:eastAsia="fr-FR" w:bidi="yi-Hebr"/>
        </w:rPr>
        <w:t xml:space="preserve">L’air de la ville rend-il libre ? Une histoire sociale de la fabrique du politique au </w:t>
      </w:r>
      <w:r w:rsidR="006E292C" w:rsidRPr="007E18BA">
        <w:rPr>
          <w:rFonts w:ascii="Cambria" w:hAnsi="Cambria" w:cs="Times New Roman"/>
          <w:bCs/>
          <w:smallCaps/>
          <w:color w:val="C00000"/>
          <w:sz w:val="22"/>
        </w:rPr>
        <w:t>XX</w:t>
      </w:r>
      <w:r w:rsidR="006E292C" w:rsidRPr="007E18BA">
        <w:rPr>
          <w:rFonts w:ascii="Cambria" w:hAnsi="Cambria" w:cs="Times New Roman"/>
          <w:bCs/>
          <w:color w:val="C00000"/>
          <w:sz w:val="22"/>
          <w:vertAlign w:val="superscript"/>
        </w:rPr>
        <w:t>e</w:t>
      </w:r>
      <w:r w:rsidR="00915F79" w:rsidRPr="007E18BA">
        <w:rPr>
          <w:rFonts w:ascii="Cambria" w:eastAsia="Times New Roman" w:hAnsi="Cambria" w:cs="Times New Roman"/>
          <w:bCs/>
          <w:color w:val="C00000"/>
          <w:sz w:val="22"/>
          <w:lang w:eastAsia="fr-FR" w:bidi="yi-Hebr"/>
        </w:rPr>
        <w:t xml:space="preserve"> siècle vue des grandes villes.</w:t>
      </w:r>
    </w:p>
    <w:p w14:paraId="0045883A" w14:textId="77777777" w:rsidR="00915F79" w:rsidRPr="007E18BA" w:rsidRDefault="00915F79" w:rsidP="00915F79">
      <w:pPr>
        <w:tabs>
          <w:tab w:val="left" w:pos="2426"/>
          <w:tab w:val="right" w:pos="9066"/>
        </w:tabs>
        <w:spacing w:before="60"/>
        <w:ind w:firstLine="284"/>
        <w:jc w:val="both"/>
        <w:rPr>
          <w:rFonts w:ascii="Cambria" w:hAnsi="Cambria" w:cs="Times New Roman"/>
          <w:b w:val="0"/>
          <w:bCs/>
          <w:color w:val="000000" w:themeColor="text1"/>
          <w:sz w:val="22"/>
        </w:rPr>
      </w:pPr>
      <w:r w:rsidRPr="007E18BA">
        <w:rPr>
          <w:rFonts w:ascii="Cambria" w:hAnsi="Cambria" w:cs="Times New Roman"/>
          <w:b w:val="0"/>
          <w:bCs/>
          <w:color w:val="000000" w:themeColor="text1"/>
          <w:sz w:val="22"/>
        </w:rPr>
        <w:t>Durant un long XX</w:t>
      </w:r>
      <w:r w:rsidRPr="007E18BA">
        <w:rPr>
          <w:rFonts w:ascii="Cambria" w:hAnsi="Cambria" w:cs="Times New Roman"/>
          <w:b w:val="0"/>
          <w:bCs/>
          <w:color w:val="000000" w:themeColor="text1"/>
          <w:sz w:val="22"/>
          <w:vertAlign w:val="superscript"/>
        </w:rPr>
        <w:t>e</w:t>
      </w:r>
      <w:r w:rsidRPr="007E18BA">
        <w:rPr>
          <w:rFonts w:ascii="Cambria" w:hAnsi="Cambria" w:cs="Times New Roman"/>
          <w:b w:val="0"/>
          <w:bCs/>
          <w:color w:val="000000" w:themeColor="text1"/>
          <w:sz w:val="22"/>
        </w:rPr>
        <w:t xml:space="preserve"> siècle, l’Europe et les Amériques s’urbanisent à un rythme accéléré. Aux migrations intérieures se mêlent des migrations internationales, qui font des villes des espaces accueillant des populations nombreuses, diverses et mobiles. Depuis la fin du </w:t>
      </w:r>
      <w:r w:rsidRPr="007E18BA">
        <w:rPr>
          <w:rFonts w:ascii="Cambria" w:hAnsi="Cambria" w:cs="Times New Roman"/>
          <w:b w:val="0"/>
          <w:bCs/>
          <w:smallCaps/>
          <w:color w:val="000000" w:themeColor="text1"/>
          <w:sz w:val="22"/>
        </w:rPr>
        <w:t>xix</w:t>
      </w:r>
      <w:r w:rsidRPr="007E18BA">
        <w:rPr>
          <w:rFonts w:ascii="Cambria" w:hAnsi="Cambria" w:cs="Times New Roman"/>
          <w:b w:val="0"/>
          <w:bCs/>
          <w:color w:val="000000" w:themeColor="text1"/>
          <w:sz w:val="22"/>
          <w:vertAlign w:val="superscript"/>
        </w:rPr>
        <w:t xml:space="preserve">e </w:t>
      </w:r>
      <w:r w:rsidRPr="007E18BA">
        <w:rPr>
          <w:rFonts w:ascii="Cambria" w:hAnsi="Cambria" w:cs="Times New Roman"/>
          <w:b w:val="0"/>
          <w:bCs/>
          <w:color w:val="000000" w:themeColor="text1"/>
          <w:sz w:val="22"/>
        </w:rPr>
        <w:t xml:space="preserve">siècle, des penseurs font de ces grandes villes, du fait même de leur diversité et des spécificités de la socialisation dans ces espaces, un milieu émancipateur et, ce faisant, le creuset de la modernité politique. Celle-ci est identifiée alors au libéralisme et à la démocratie. Toutefois, c’est encore en ville que les inégalités sociales sont le plus visibles et donnent lieu à une conflictualité qui s’exacerbe dans les contextes de crise, allant jusqu’à mettre en péril la survie des démocraties libérales. Celles-ci ne semblent pas tenir les promesses d’égalité dont on les croyait porteuses. </w:t>
      </w:r>
    </w:p>
    <w:p w14:paraId="47C0FD59" w14:textId="3E6CE08C" w:rsidR="00915F79" w:rsidRPr="007E18BA" w:rsidRDefault="00915F79" w:rsidP="00915F79">
      <w:pPr>
        <w:tabs>
          <w:tab w:val="left" w:pos="2426"/>
          <w:tab w:val="right" w:pos="9066"/>
        </w:tabs>
        <w:spacing w:before="60"/>
        <w:ind w:firstLine="284"/>
        <w:jc w:val="both"/>
        <w:rPr>
          <w:rFonts w:ascii="Cambria" w:hAnsi="Cambria" w:cs="Times New Roman"/>
          <w:b w:val="0"/>
          <w:bCs/>
          <w:color w:val="000000" w:themeColor="text1"/>
          <w:sz w:val="22"/>
        </w:rPr>
      </w:pPr>
      <w:r w:rsidRPr="007E18BA">
        <w:rPr>
          <w:rFonts w:ascii="Cambria" w:hAnsi="Cambria" w:cs="Times New Roman"/>
          <w:b w:val="0"/>
          <w:bCs/>
          <w:color w:val="000000" w:themeColor="text1"/>
          <w:sz w:val="22"/>
        </w:rPr>
        <w:t xml:space="preserve">Ce cours propose d’explorer le lien entre le politique et le social au prisme des sociétés urbaines. Nous partirons de Chicago, paradigme de la très grande ville multi-ethnique à croissance accélérée et berceau de réflexions fondatrices sur l’urbanité, la citadinité et la démocratie. En contrepoint de cet observatoire majeur des sciences sociales, nous évoquons les cas de Berlin, Paris, Rome, Madrid, Mexico ou Caracas, dans une démarche comparative. Nous étudierons comment s’articulent les caractéristiques des populations citadines et les modes de régulations sociales, en parcourant les questions des migrations, du voisinage, de la socialisation et des formes d’organisation sociale et politique. Nous explorerons comment se forge l’appartenance à des groupes sociaux, les mécanismes qui conduisent les individus à prendre la parole et à s’engager dans la vie collective, ainsi que les modalités selon lesquelles s’organisent les relations entre les populations et les pouvoirs publics et les autres institutions (Église, partis, etc.). Nous nous intéresserons aussi aux réflexions auxquelles ce lien entre État et populations citadines a donné lieu. </w:t>
      </w:r>
    </w:p>
    <w:p w14:paraId="6429A7CF" w14:textId="77777777" w:rsidR="00885A1D" w:rsidRPr="007E18BA" w:rsidRDefault="00885A1D" w:rsidP="00915F79">
      <w:pPr>
        <w:rPr>
          <w:rFonts w:ascii="Times New Roman" w:hAnsi="Times New Roman" w:cs="Times New Roman"/>
          <w:color w:val="000000" w:themeColor="text1"/>
          <w:sz w:val="22"/>
        </w:rPr>
      </w:pPr>
    </w:p>
    <w:p w14:paraId="6889CB43" w14:textId="00309DFD" w:rsidR="00915F79" w:rsidRPr="007E18BA" w:rsidRDefault="00915F79" w:rsidP="00915F79">
      <w:pPr>
        <w:rPr>
          <w:rFonts w:ascii="Times New Roman" w:hAnsi="Times New Roman" w:cs="Times New Roman"/>
          <w:b w:val="0"/>
          <w:color w:val="000000" w:themeColor="text1"/>
          <w:sz w:val="22"/>
        </w:rPr>
      </w:pPr>
      <w:r w:rsidRPr="007E18BA">
        <w:rPr>
          <w:rFonts w:ascii="Times New Roman" w:hAnsi="Times New Roman" w:cs="Times New Roman"/>
          <w:color w:val="000000" w:themeColor="text1"/>
          <w:sz w:val="22"/>
        </w:rPr>
        <w:t>Bibliographie</w:t>
      </w:r>
    </w:p>
    <w:p w14:paraId="0947BDB5" w14:textId="77777777" w:rsidR="00915F79" w:rsidRPr="007E18BA" w:rsidRDefault="00915F79" w:rsidP="00915F79">
      <w:pPr>
        <w:jc w:val="both"/>
        <w:rPr>
          <w:rFonts w:ascii="Times New Roman" w:hAnsi="Times New Roman" w:cs="Times New Roman"/>
          <w:b w:val="0"/>
          <w:bCs/>
          <w:color w:val="000000" w:themeColor="text1"/>
          <w:sz w:val="22"/>
          <w:u w:val="single"/>
        </w:rPr>
      </w:pPr>
      <w:r w:rsidRPr="007E18BA">
        <w:rPr>
          <w:rFonts w:ascii="Times New Roman" w:hAnsi="Times New Roman" w:cs="Times New Roman"/>
          <w:b w:val="0"/>
          <w:bCs/>
          <w:color w:val="000000" w:themeColor="text1"/>
          <w:sz w:val="22"/>
          <w:u w:val="single"/>
        </w:rPr>
        <w:t>Manuels sur l’histoire des villes</w:t>
      </w:r>
    </w:p>
    <w:p w14:paraId="20457F9B"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Duby</w:t>
      </w:r>
      <w:r w:rsidRPr="007E18BA">
        <w:rPr>
          <w:rFonts w:ascii="Times New Roman" w:hAnsi="Times New Roman" w:cs="Times New Roman"/>
          <w:b w:val="0"/>
          <w:bCs/>
          <w:color w:val="000000" w:themeColor="text1"/>
          <w:sz w:val="22"/>
        </w:rPr>
        <w:t xml:space="preserve">, Georges (dir.), </w:t>
      </w:r>
      <w:r w:rsidRPr="007E18BA">
        <w:rPr>
          <w:rFonts w:ascii="Times New Roman" w:hAnsi="Times New Roman" w:cs="Times New Roman"/>
          <w:b w:val="0"/>
          <w:bCs/>
          <w:i/>
          <w:color w:val="000000" w:themeColor="text1"/>
          <w:sz w:val="22"/>
        </w:rPr>
        <w:t>Histoire de la France urbaine</w:t>
      </w:r>
      <w:r w:rsidRPr="007E18BA">
        <w:rPr>
          <w:rFonts w:ascii="Times New Roman" w:hAnsi="Times New Roman" w:cs="Times New Roman"/>
          <w:b w:val="0"/>
          <w:bCs/>
          <w:color w:val="000000" w:themeColor="text1"/>
          <w:sz w:val="22"/>
        </w:rPr>
        <w:t>, tomes 4 et 5, Paris, Seuil, 1983 et 1985.</w:t>
      </w:r>
    </w:p>
    <w:p w14:paraId="253D0F4A"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Pinol</w:t>
      </w:r>
      <w:r w:rsidRPr="007E18BA">
        <w:rPr>
          <w:rFonts w:ascii="Times New Roman" w:hAnsi="Times New Roman" w:cs="Times New Roman"/>
          <w:b w:val="0"/>
          <w:bCs/>
          <w:color w:val="000000" w:themeColor="text1"/>
          <w:sz w:val="22"/>
        </w:rPr>
        <w:t xml:space="preserve">, Jean-Luc, </w:t>
      </w:r>
      <w:r w:rsidRPr="007E18BA">
        <w:rPr>
          <w:rFonts w:ascii="Times New Roman" w:hAnsi="Times New Roman" w:cs="Times New Roman"/>
          <w:b w:val="0"/>
          <w:bCs/>
          <w:i/>
          <w:color w:val="000000" w:themeColor="text1"/>
          <w:sz w:val="22"/>
        </w:rPr>
        <w:t>Le monde des villes au XIX</w:t>
      </w:r>
      <w:r w:rsidRPr="007E18BA">
        <w:rPr>
          <w:rFonts w:ascii="Times New Roman" w:hAnsi="Times New Roman" w:cs="Times New Roman"/>
          <w:b w:val="0"/>
          <w:bCs/>
          <w:i/>
          <w:color w:val="000000" w:themeColor="text1"/>
          <w:sz w:val="22"/>
          <w:vertAlign w:val="superscript"/>
        </w:rPr>
        <w:t>e</w:t>
      </w:r>
      <w:r w:rsidRPr="007E18BA">
        <w:rPr>
          <w:rFonts w:ascii="Times New Roman" w:hAnsi="Times New Roman" w:cs="Times New Roman"/>
          <w:b w:val="0"/>
          <w:bCs/>
          <w:i/>
          <w:color w:val="000000" w:themeColor="text1"/>
          <w:sz w:val="22"/>
        </w:rPr>
        <w:t xml:space="preserve"> siècl</w:t>
      </w:r>
      <w:r w:rsidRPr="007E18BA">
        <w:rPr>
          <w:rFonts w:ascii="Times New Roman" w:hAnsi="Times New Roman" w:cs="Times New Roman"/>
          <w:b w:val="0"/>
          <w:bCs/>
          <w:color w:val="000000" w:themeColor="text1"/>
          <w:sz w:val="22"/>
        </w:rPr>
        <w:t>e, Paris, Hachette, 2000.</w:t>
      </w:r>
    </w:p>
    <w:p w14:paraId="7DA1D9E0" w14:textId="71EF2436"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Pinol</w:t>
      </w:r>
      <w:r w:rsidRPr="007E18BA">
        <w:rPr>
          <w:rFonts w:ascii="Times New Roman" w:hAnsi="Times New Roman" w:cs="Times New Roman"/>
          <w:b w:val="0"/>
          <w:bCs/>
          <w:color w:val="000000" w:themeColor="text1"/>
          <w:sz w:val="22"/>
        </w:rPr>
        <w:t xml:space="preserve">, Jean-Luc (dir.), </w:t>
      </w:r>
      <w:r w:rsidRPr="007E18BA">
        <w:rPr>
          <w:rFonts w:ascii="Times New Roman" w:hAnsi="Times New Roman" w:cs="Times New Roman"/>
          <w:b w:val="0"/>
          <w:bCs/>
          <w:i/>
          <w:color w:val="000000" w:themeColor="text1"/>
          <w:sz w:val="22"/>
        </w:rPr>
        <w:t>Histoire de l’Europe urbaine</w:t>
      </w:r>
      <w:r w:rsidRPr="007E18BA">
        <w:rPr>
          <w:rFonts w:ascii="Times New Roman" w:hAnsi="Times New Roman" w:cs="Times New Roman"/>
          <w:b w:val="0"/>
          <w:bCs/>
          <w:color w:val="000000" w:themeColor="text1"/>
          <w:sz w:val="22"/>
        </w:rPr>
        <w:t>, Paris, Seuil, 2012, vol. 4 et 6.</w:t>
      </w:r>
    </w:p>
    <w:p w14:paraId="45305378" w14:textId="77777777" w:rsidR="00915F79" w:rsidRPr="007E18BA" w:rsidRDefault="00915F79" w:rsidP="00915F79">
      <w:pPr>
        <w:jc w:val="both"/>
        <w:rPr>
          <w:rFonts w:ascii="Times New Roman" w:hAnsi="Times New Roman" w:cs="Times New Roman"/>
          <w:b w:val="0"/>
          <w:bCs/>
          <w:color w:val="000000" w:themeColor="text1"/>
          <w:sz w:val="22"/>
          <w:u w:val="single"/>
        </w:rPr>
      </w:pPr>
      <w:r w:rsidRPr="007E18BA">
        <w:rPr>
          <w:rFonts w:ascii="Times New Roman" w:hAnsi="Times New Roman" w:cs="Times New Roman"/>
          <w:b w:val="0"/>
          <w:bCs/>
          <w:color w:val="000000" w:themeColor="text1"/>
          <w:sz w:val="22"/>
          <w:u w:val="single"/>
        </w:rPr>
        <w:t>Ouvrages portant sur les thématiques ou sur les villes que nous aborderons</w:t>
      </w:r>
    </w:p>
    <w:p w14:paraId="69FF0E6A"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Diamond,</w:t>
      </w:r>
      <w:r w:rsidRPr="007E18BA">
        <w:rPr>
          <w:rFonts w:ascii="Times New Roman" w:hAnsi="Times New Roman" w:cs="Times New Roman"/>
          <w:b w:val="0"/>
          <w:bCs/>
          <w:color w:val="000000" w:themeColor="text1"/>
          <w:sz w:val="22"/>
        </w:rPr>
        <w:t xml:space="preserve"> Andrew et </w:t>
      </w:r>
      <w:r w:rsidRPr="007E18BA">
        <w:rPr>
          <w:rFonts w:ascii="Times New Roman" w:hAnsi="Times New Roman" w:cs="Times New Roman"/>
          <w:b w:val="0"/>
          <w:bCs/>
          <w:smallCaps/>
          <w:color w:val="000000" w:themeColor="text1"/>
          <w:sz w:val="22"/>
        </w:rPr>
        <w:t>N’Diaye</w:t>
      </w:r>
      <w:r w:rsidRPr="007E18BA">
        <w:rPr>
          <w:rFonts w:ascii="Times New Roman" w:hAnsi="Times New Roman" w:cs="Times New Roman"/>
          <w:b w:val="0"/>
          <w:bCs/>
          <w:color w:val="000000" w:themeColor="text1"/>
          <w:sz w:val="22"/>
        </w:rPr>
        <w:t xml:space="preserve">, Pap, </w:t>
      </w:r>
      <w:r w:rsidRPr="007E18BA">
        <w:rPr>
          <w:rFonts w:ascii="Times New Roman" w:hAnsi="Times New Roman" w:cs="Times New Roman"/>
          <w:b w:val="0"/>
          <w:bCs/>
          <w:i/>
          <w:color w:val="000000" w:themeColor="text1"/>
          <w:sz w:val="22"/>
        </w:rPr>
        <w:t>Histoire de Chicago</w:t>
      </w:r>
      <w:r w:rsidRPr="007E18BA">
        <w:rPr>
          <w:rFonts w:ascii="Times New Roman" w:hAnsi="Times New Roman" w:cs="Times New Roman"/>
          <w:b w:val="0"/>
          <w:bCs/>
          <w:color w:val="000000" w:themeColor="text1"/>
          <w:sz w:val="22"/>
        </w:rPr>
        <w:t>, Paris, Fayard, 2013.</w:t>
      </w:r>
    </w:p>
    <w:p w14:paraId="78D8E0F4"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Backouche</w:t>
      </w:r>
      <w:r w:rsidRPr="007E18BA">
        <w:rPr>
          <w:rFonts w:ascii="Times New Roman" w:hAnsi="Times New Roman" w:cs="Times New Roman"/>
          <w:b w:val="0"/>
          <w:bCs/>
          <w:color w:val="000000" w:themeColor="text1"/>
          <w:sz w:val="22"/>
        </w:rPr>
        <w:t xml:space="preserve">, Isabelle et alii, </w:t>
      </w:r>
      <w:r w:rsidRPr="007E18BA">
        <w:rPr>
          <w:rFonts w:ascii="Times New Roman" w:hAnsi="Times New Roman" w:cs="Times New Roman"/>
          <w:b w:val="0"/>
          <w:bCs/>
          <w:i/>
          <w:iCs/>
          <w:color w:val="000000" w:themeColor="text1"/>
          <w:sz w:val="22"/>
        </w:rPr>
        <w:t>La ville est à nous ! Aménagement urbain et mobilisations sociales depuis le Moyen-Âge</w:t>
      </w:r>
      <w:r w:rsidRPr="007E18BA">
        <w:rPr>
          <w:rFonts w:ascii="Times New Roman" w:hAnsi="Times New Roman" w:cs="Times New Roman"/>
          <w:b w:val="0"/>
          <w:bCs/>
          <w:color w:val="000000" w:themeColor="text1"/>
          <w:sz w:val="22"/>
        </w:rPr>
        <w:t>, Paris, Éditions de la Sorbonne, 2012</w:t>
      </w:r>
    </w:p>
    <w:p w14:paraId="333AF8C9"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Cefaï</w:t>
      </w:r>
      <w:r w:rsidRPr="007E18BA">
        <w:rPr>
          <w:rFonts w:ascii="Times New Roman" w:hAnsi="Times New Roman" w:cs="Times New Roman"/>
          <w:b w:val="0"/>
          <w:bCs/>
          <w:color w:val="000000" w:themeColor="text1"/>
          <w:sz w:val="22"/>
        </w:rPr>
        <w:t xml:space="preserve">, Daniel, </w:t>
      </w:r>
      <w:r w:rsidRPr="007E18BA">
        <w:rPr>
          <w:rFonts w:ascii="Times New Roman" w:hAnsi="Times New Roman" w:cs="Times New Roman"/>
          <w:b w:val="0"/>
          <w:bCs/>
          <w:i/>
          <w:iCs/>
          <w:color w:val="000000" w:themeColor="text1"/>
          <w:sz w:val="22"/>
        </w:rPr>
        <w:t>Jane Addams, WEB Du Bois et le vote des femmes. Elections de 1912, organisations civiques et partie progressiste</w:t>
      </w:r>
      <w:r w:rsidRPr="007E18BA">
        <w:rPr>
          <w:rFonts w:ascii="Times New Roman" w:hAnsi="Times New Roman" w:cs="Times New Roman"/>
          <w:b w:val="0"/>
          <w:bCs/>
          <w:color w:val="000000" w:themeColor="text1"/>
          <w:sz w:val="22"/>
        </w:rPr>
        <w:t>, La Bibliothèque de Pragmata, 2023</w:t>
      </w:r>
    </w:p>
    <w:p w14:paraId="78671281" w14:textId="77777777" w:rsidR="00915F79" w:rsidRPr="007E18BA" w:rsidRDefault="00915F79" w:rsidP="00915F79">
      <w:pPr>
        <w:ind w:left="284" w:hanging="284"/>
        <w:jc w:val="both"/>
        <w:rPr>
          <w:rFonts w:ascii="Times New Roman" w:eastAsia="Times New Roman" w:hAnsi="Times New Roman" w:cs="Times New Roman"/>
          <w:b w:val="0"/>
          <w:bCs/>
          <w:color w:val="000000" w:themeColor="text1"/>
          <w:sz w:val="22"/>
          <w:lang w:eastAsia="fr-FR" w:bidi="yi-Hebr"/>
        </w:rPr>
      </w:pPr>
      <w:r w:rsidRPr="007E18BA">
        <w:rPr>
          <w:rFonts w:ascii="Times New Roman" w:hAnsi="Times New Roman" w:cs="Times New Roman"/>
          <w:b w:val="0"/>
          <w:bCs/>
          <w:smallCaps/>
          <w:color w:val="000000" w:themeColor="text1"/>
          <w:sz w:val="22"/>
        </w:rPr>
        <w:t xml:space="preserve">Coing, </w:t>
      </w:r>
      <w:r w:rsidRPr="007E18BA">
        <w:rPr>
          <w:rFonts w:ascii="Times New Roman" w:hAnsi="Times New Roman" w:cs="Times New Roman"/>
          <w:b w:val="0"/>
          <w:bCs/>
          <w:color w:val="000000" w:themeColor="text1"/>
          <w:sz w:val="22"/>
        </w:rPr>
        <w:t xml:space="preserve">Henri, </w:t>
      </w:r>
      <w:r w:rsidRPr="007E18BA">
        <w:rPr>
          <w:rFonts w:ascii="Times New Roman" w:eastAsia="Times New Roman" w:hAnsi="Times New Roman" w:cs="Times New Roman"/>
          <w:b w:val="0"/>
          <w:bCs/>
          <w:i/>
          <w:iCs/>
          <w:color w:val="000000" w:themeColor="text1"/>
          <w:sz w:val="22"/>
          <w:lang w:eastAsia="fr-FR" w:bidi="yi-Hebr"/>
        </w:rPr>
        <w:t>Rénovation urbaine et changement social. L'îlot n° 4 (Paris 13</w:t>
      </w:r>
      <w:r w:rsidRPr="007E18BA">
        <w:rPr>
          <w:rFonts w:ascii="Times New Roman" w:eastAsia="Times New Roman" w:hAnsi="Times New Roman" w:cs="Times New Roman"/>
          <w:b w:val="0"/>
          <w:bCs/>
          <w:i/>
          <w:iCs/>
          <w:color w:val="000000" w:themeColor="text1"/>
          <w:sz w:val="22"/>
          <w:vertAlign w:val="superscript"/>
          <w:lang w:eastAsia="fr-FR" w:bidi="yi-Hebr"/>
        </w:rPr>
        <w:t>e</w:t>
      </w:r>
      <w:r w:rsidRPr="007E18BA">
        <w:rPr>
          <w:rFonts w:ascii="Times New Roman" w:eastAsia="Times New Roman" w:hAnsi="Times New Roman" w:cs="Times New Roman"/>
          <w:b w:val="0"/>
          <w:bCs/>
          <w:i/>
          <w:iCs/>
          <w:color w:val="000000" w:themeColor="text1"/>
          <w:sz w:val="22"/>
          <w:lang w:eastAsia="fr-FR" w:bidi="yi-Hebr"/>
        </w:rPr>
        <w:t xml:space="preserve">), </w:t>
      </w:r>
      <w:r w:rsidRPr="007E18BA">
        <w:rPr>
          <w:rFonts w:ascii="Times New Roman" w:eastAsia="Times New Roman" w:hAnsi="Times New Roman" w:cs="Times New Roman"/>
          <w:b w:val="0"/>
          <w:bCs/>
          <w:color w:val="000000" w:themeColor="text1"/>
          <w:sz w:val="22"/>
          <w:lang w:eastAsia="fr-FR" w:bidi="yi-Hebr"/>
        </w:rPr>
        <w:t>Pairs, les Éditions ouvrières, 1966.</w:t>
      </w:r>
    </w:p>
    <w:p w14:paraId="253DD6C0" w14:textId="77777777" w:rsidR="00915F79" w:rsidRPr="007E18BA" w:rsidRDefault="00915F79" w:rsidP="00915F79">
      <w:pPr>
        <w:ind w:left="284" w:hanging="284"/>
        <w:jc w:val="both"/>
        <w:rPr>
          <w:rFonts w:ascii="Times New Roman" w:hAnsi="Times New Roman" w:cs="Times New Roman"/>
          <w:b w:val="0"/>
          <w:bCs/>
          <w:sz w:val="22"/>
        </w:rPr>
      </w:pPr>
      <w:r w:rsidRPr="007E18BA">
        <w:rPr>
          <w:rFonts w:ascii="Times New Roman" w:hAnsi="Times New Roman" w:cs="Times New Roman"/>
          <w:b w:val="0"/>
          <w:bCs/>
          <w:smallCaps/>
          <w:color w:val="000000" w:themeColor="text1"/>
          <w:sz w:val="22"/>
        </w:rPr>
        <w:t>Coudroy</w:t>
      </w:r>
      <w:r w:rsidRPr="007E18BA">
        <w:rPr>
          <w:rFonts w:ascii="Times New Roman" w:hAnsi="Times New Roman" w:cs="Times New Roman"/>
          <w:b w:val="0"/>
          <w:bCs/>
          <w:sz w:val="22"/>
        </w:rPr>
        <w:t xml:space="preserve"> </w:t>
      </w:r>
      <w:r w:rsidRPr="007E18BA">
        <w:rPr>
          <w:rFonts w:ascii="Times New Roman" w:hAnsi="Times New Roman" w:cs="Times New Roman"/>
          <w:b w:val="0"/>
          <w:bCs/>
          <w:smallCaps/>
          <w:color w:val="000000" w:themeColor="text1"/>
          <w:sz w:val="22"/>
        </w:rPr>
        <w:t>de Lille</w:t>
      </w:r>
      <w:r w:rsidRPr="007E18BA">
        <w:rPr>
          <w:rFonts w:ascii="Times New Roman" w:hAnsi="Times New Roman" w:cs="Times New Roman"/>
          <w:b w:val="0"/>
          <w:bCs/>
          <w:sz w:val="22"/>
        </w:rPr>
        <w:t xml:space="preserve">, Laurent et </w:t>
      </w:r>
      <w:r w:rsidRPr="007E18BA">
        <w:rPr>
          <w:rFonts w:ascii="Times New Roman" w:hAnsi="Times New Roman" w:cs="Times New Roman"/>
          <w:b w:val="0"/>
          <w:bCs/>
          <w:smallCaps/>
          <w:color w:val="000000" w:themeColor="text1"/>
          <w:sz w:val="22"/>
        </w:rPr>
        <w:t>Vorms</w:t>
      </w:r>
      <w:r w:rsidRPr="007E18BA">
        <w:rPr>
          <w:rFonts w:ascii="Times New Roman" w:hAnsi="Times New Roman" w:cs="Times New Roman"/>
          <w:b w:val="0"/>
          <w:bCs/>
          <w:sz w:val="22"/>
        </w:rPr>
        <w:t xml:space="preserve">, Charlotte, « L’urbanisation comme activité économique et sociale </w:t>
      </w:r>
      <w:r w:rsidRPr="007E18BA">
        <w:rPr>
          <w:rStyle w:val="Accentuation"/>
          <w:b w:val="0"/>
          <w:bCs/>
          <w:sz w:val="22"/>
        </w:rPr>
        <w:t>(</w:t>
      </w:r>
      <w:r w:rsidRPr="007E18BA">
        <w:rPr>
          <w:rFonts w:ascii="Times New Roman" w:hAnsi="Times New Roman" w:cs="Times New Roman"/>
          <w:b w:val="0"/>
          <w:bCs/>
          <w:smallCaps/>
          <w:color w:val="000000" w:themeColor="text1"/>
          <w:sz w:val="22"/>
        </w:rPr>
        <w:t>xix</w:t>
      </w:r>
      <w:r w:rsidRPr="007E18BA">
        <w:rPr>
          <w:rFonts w:ascii="Times New Roman" w:hAnsi="Times New Roman" w:cs="Times New Roman"/>
          <w:b w:val="0"/>
          <w:bCs/>
          <w:sz w:val="22"/>
          <w:vertAlign w:val="superscript"/>
        </w:rPr>
        <w:t>e</w:t>
      </w:r>
      <w:r w:rsidRPr="007E18BA">
        <w:rPr>
          <w:rStyle w:val="Accentuation"/>
          <w:b w:val="0"/>
          <w:bCs/>
          <w:sz w:val="22"/>
        </w:rPr>
        <w:t>–</w:t>
      </w:r>
      <w:r w:rsidRPr="007E18BA">
        <w:rPr>
          <w:rFonts w:ascii="Times New Roman" w:hAnsi="Times New Roman" w:cs="Times New Roman"/>
          <w:b w:val="0"/>
          <w:bCs/>
          <w:smallCaps/>
          <w:color w:val="000000" w:themeColor="text1"/>
          <w:sz w:val="22"/>
        </w:rPr>
        <w:t>xxi</w:t>
      </w:r>
      <w:r w:rsidRPr="007E18BA">
        <w:rPr>
          <w:rFonts w:ascii="Times New Roman" w:hAnsi="Times New Roman" w:cs="Times New Roman"/>
          <w:b w:val="0"/>
          <w:bCs/>
          <w:sz w:val="22"/>
          <w:vertAlign w:val="superscript"/>
        </w:rPr>
        <w:t>e</w:t>
      </w:r>
      <w:r w:rsidRPr="007E18BA">
        <w:rPr>
          <w:rStyle w:val="Accentuation"/>
          <w:b w:val="0"/>
          <w:bCs/>
          <w:sz w:val="22"/>
        </w:rPr>
        <w:t xml:space="preserve"> siècles) »</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in</w:t>
      </w:r>
      <w:r w:rsidRPr="007E18BA">
        <w:rPr>
          <w:rFonts w:ascii="Times New Roman" w:hAnsi="Times New Roman" w:cs="Times New Roman"/>
          <w:b w:val="0"/>
          <w:bCs/>
          <w:sz w:val="22"/>
        </w:rPr>
        <w:t xml:space="preserve"> Catherine Virlouvet et Pierre-Cyrille Hautcoeur (dir.), </w:t>
      </w:r>
      <w:r w:rsidRPr="007E18BA">
        <w:rPr>
          <w:rStyle w:val="Accentuation"/>
          <w:b w:val="0"/>
          <w:bCs/>
          <w:sz w:val="22"/>
        </w:rPr>
        <w:t>Nouvelle histoire économique et sociale de la France</w:t>
      </w:r>
      <w:r w:rsidRPr="007E18BA">
        <w:rPr>
          <w:rFonts w:ascii="Times New Roman" w:hAnsi="Times New Roman" w:cs="Times New Roman"/>
          <w:b w:val="0"/>
          <w:bCs/>
          <w:sz w:val="22"/>
        </w:rPr>
        <w:t>, Paris, Éditions Passés composés, 2025.</w:t>
      </w:r>
    </w:p>
    <w:p w14:paraId="50644F34"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Fourcaut</w:t>
      </w:r>
      <w:r w:rsidRPr="007E18BA">
        <w:rPr>
          <w:rFonts w:ascii="Times New Roman" w:hAnsi="Times New Roman" w:cs="Times New Roman"/>
          <w:b w:val="0"/>
          <w:bCs/>
          <w:color w:val="000000" w:themeColor="text1"/>
          <w:sz w:val="22"/>
        </w:rPr>
        <w:t>, Annie, </w:t>
      </w:r>
      <w:r w:rsidRPr="007E18BA">
        <w:rPr>
          <w:rFonts w:ascii="Times New Roman" w:hAnsi="Times New Roman" w:cs="Times New Roman"/>
          <w:b w:val="0"/>
          <w:bCs/>
          <w:i/>
          <w:iCs/>
          <w:color w:val="000000" w:themeColor="text1"/>
          <w:sz w:val="22"/>
        </w:rPr>
        <w:t>La banlieue en morceaux. La crise des lotissements défectueux en France dans l’entre-deux-guerres</w:t>
      </w:r>
      <w:r w:rsidRPr="007E18BA">
        <w:rPr>
          <w:rFonts w:ascii="Times New Roman" w:hAnsi="Times New Roman" w:cs="Times New Roman"/>
          <w:b w:val="0"/>
          <w:bCs/>
          <w:color w:val="000000" w:themeColor="text1"/>
          <w:sz w:val="22"/>
        </w:rPr>
        <w:t>, Paris, Créaphis, 2000.</w:t>
      </w:r>
    </w:p>
    <w:p w14:paraId="333F545C"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 xml:space="preserve">Füzessery, </w:t>
      </w:r>
      <w:r w:rsidRPr="007E18BA">
        <w:rPr>
          <w:rFonts w:ascii="Times New Roman" w:hAnsi="Times New Roman" w:cs="Times New Roman"/>
          <w:b w:val="0"/>
          <w:bCs/>
          <w:color w:val="000000" w:themeColor="text1"/>
          <w:sz w:val="22"/>
        </w:rPr>
        <w:t>Stéphane, </w:t>
      </w:r>
      <w:r w:rsidRPr="007E18BA">
        <w:rPr>
          <w:rFonts w:ascii="Times New Roman" w:hAnsi="Times New Roman" w:cs="Times New Roman"/>
          <w:b w:val="0"/>
          <w:bCs/>
          <w:i/>
          <w:iCs/>
          <w:color w:val="000000" w:themeColor="text1"/>
          <w:sz w:val="22"/>
        </w:rPr>
        <w:t xml:space="preserve">La destruction de Berlin. De l'explosion urbaine à Germania, 1860-1945, </w:t>
      </w:r>
      <w:r w:rsidRPr="007E18BA">
        <w:rPr>
          <w:rFonts w:ascii="Times New Roman" w:hAnsi="Times New Roman" w:cs="Times New Roman"/>
          <w:b w:val="0"/>
          <w:bCs/>
          <w:color w:val="000000" w:themeColor="text1"/>
          <w:sz w:val="22"/>
        </w:rPr>
        <w:t>Paris, La Découverte, 2025.</w:t>
      </w:r>
    </w:p>
    <w:p w14:paraId="1F94186D" w14:textId="77777777" w:rsidR="00915F79" w:rsidRPr="007E18BA" w:rsidRDefault="00915F79" w:rsidP="00915F79">
      <w:pPr>
        <w:ind w:left="284" w:hanging="284"/>
        <w:jc w:val="both"/>
        <w:rPr>
          <w:rFonts w:ascii="Times New Roman" w:hAnsi="Times New Roman"/>
          <w:b w:val="0"/>
          <w:bCs/>
          <w:color w:val="000000" w:themeColor="text1"/>
          <w:sz w:val="22"/>
        </w:rPr>
      </w:pPr>
      <w:r w:rsidRPr="007E18BA">
        <w:rPr>
          <w:rFonts w:ascii="Times New Roman" w:hAnsi="Times New Roman" w:cs="Times New Roman"/>
          <w:b w:val="0"/>
          <w:bCs/>
          <w:smallCaps/>
          <w:color w:val="000000" w:themeColor="text1"/>
          <w:sz w:val="22"/>
        </w:rPr>
        <w:t>Grafmeyer</w:t>
      </w:r>
      <w:r w:rsidRPr="007E18BA">
        <w:rPr>
          <w:rFonts w:ascii="Times New Roman" w:hAnsi="Times New Roman"/>
          <w:b w:val="0"/>
          <w:bCs/>
          <w:color w:val="000000" w:themeColor="text1"/>
          <w:sz w:val="22"/>
        </w:rPr>
        <w:t xml:space="preserve">, Yves et </w:t>
      </w:r>
      <w:r w:rsidRPr="007E18BA">
        <w:rPr>
          <w:rFonts w:ascii="Times New Roman" w:hAnsi="Times New Roman" w:cs="Times New Roman"/>
          <w:b w:val="0"/>
          <w:bCs/>
          <w:smallCaps/>
          <w:color w:val="000000" w:themeColor="text1"/>
          <w:sz w:val="22"/>
        </w:rPr>
        <w:t>Joseph</w:t>
      </w:r>
      <w:r w:rsidRPr="007E18BA">
        <w:rPr>
          <w:rFonts w:ascii="Times New Roman" w:hAnsi="Times New Roman"/>
          <w:b w:val="0"/>
          <w:bCs/>
          <w:color w:val="000000" w:themeColor="text1"/>
          <w:sz w:val="22"/>
        </w:rPr>
        <w:t xml:space="preserve">, Isaac, </w:t>
      </w:r>
      <w:r w:rsidRPr="007E18BA">
        <w:rPr>
          <w:rFonts w:ascii="Times New Roman" w:hAnsi="Times New Roman"/>
          <w:b w:val="0"/>
          <w:bCs/>
          <w:i/>
          <w:color w:val="000000" w:themeColor="text1"/>
          <w:sz w:val="22"/>
        </w:rPr>
        <w:t>L’École de Chicago. Naissance de l'écologie urbaine</w:t>
      </w:r>
      <w:r w:rsidRPr="007E18BA">
        <w:rPr>
          <w:rFonts w:ascii="Times New Roman" w:hAnsi="Times New Roman"/>
          <w:b w:val="0"/>
          <w:bCs/>
          <w:color w:val="000000" w:themeColor="text1"/>
          <w:sz w:val="22"/>
        </w:rPr>
        <w:t>, Paris, Aubier, 1984.</w:t>
      </w:r>
    </w:p>
    <w:p w14:paraId="0F79E09F" w14:textId="77777777" w:rsidR="00915F79" w:rsidRPr="007E18BA" w:rsidRDefault="00915F79" w:rsidP="00915F79">
      <w:pPr>
        <w:ind w:left="284" w:hanging="284"/>
        <w:jc w:val="both"/>
        <w:rPr>
          <w:rFonts w:ascii="Times New Roman" w:hAnsi="Times New Roman" w:cs="Times New Roman"/>
          <w:b w:val="0"/>
          <w:bCs/>
          <w:smallCaps/>
          <w:color w:val="000000" w:themeColor="text1"/>
          <w:sz w:val="22"/>
        </w:rPr>
      </w:pPr>
      <w:r w:rsidRPr="007E18BA">
        <w:rPr>
          <w:rFonts w:ascii="Times New Roman" w:hAnsi="Times New Roman" w:cs="Times New Roman"/>
          <w:b w:val="0"/>
          <w:bCs/>
          <w:smallCaps/>
          <w:color w:val="000000" w:themeColor="text1"/>
          <w:sz w:val="22"/>
        </w:rPr>
        <w:t xml:space="preserve">Jacobs, </w:t>
      </w:r>
      <w:r w:rsidRPr="007E18BA">
        <w:rPr>
          <w:rFonts w:ascii="Times New Roman" w:hAnsi="Times New Roman" w:cs="Times New Roman"/>
          <w:b w:val="0"/>
          <w:bCs/>
          <w:color w:val="000000" w:themeColor="text1"/>
          <w:sz w:val="22"/>
        </w:rPr>
        <w:t>Jane</w:t>
      </w:r>
      <w:r w:rsidRPr="007E18BA">
        <w:rPr>
          <w:rFonts w:ascii="Times New Roman" w:hAnsi="Times New Roman" w:cs="Times New Roman"/>
          <w:b w:val="0"/>
          <w:bCs/>
          <w:smallCaps/>
          <w:color w:val="000000" w:themeColor="text1"/>
          <w:sz w:val="22"/>
        </w:rPr>
        <w:t xml:space="preserve">, </w:t>
      </w:r>
      <w:r w:rsidRPr="007E18BA">
        <w:rPr>
          <w:rStyle w:val="CitationHTML"/>
          <w:rFonts w:ascii="Times New Roman" w:hAnsi="Times New Roman" w:cs="Times New Roman"/>
          <w:b w:val="0"/>
          <w:bCs/>
          <w:sz w:val="22"/>
        </w:rPr>
        <w:t>Déclin et survie des grandes villes américaines</w:t>
      </w:r>
      <w:r w:rsidRPr="007E18BA">
        <w:rPr>
          <w:rStyle w:val="ouvrage"/>
          <w:rFonts w:ascii="Times New Roman" w:hAnsi="Times New Roman" w:cs="Times New Roman"/>
          <w:b w:val="0"/>
          <w:bCs/>
          <w:sz w:val="22"/>
        </w:rPr>
        <w:t>, Marseille, Editions Parentheses, 2012.</w:t>
      </w:r>
    </w:p>
    <w:p w14:paraId="51AAF121"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Magri</w:t>
      </w:r>
      <w:r w:rsidRPr="007E18BA">
        <w:rPr>
          <w:rFonts w:ascii="Times New Roman" w:hAnsi="Times New Roman" w:cs="Times New Roman"/>
          <w:b w:val="0"/>
          <w:bCs/>
          <w:color w:val="000000" w:themeColor="text1"/>
          <w:sz w:val="22"/>
        </w:rPr>
        <w:t xml:space="preserve">, Susanna, </w:t>
      </w:r>
      <w:r w:rsidRPr="007E18BA">
        <w:rPr>
          <w:rFonts w:ascii="Times New Roman" w:hAnsi="Times New Roman" w:cs="Times New Roman"/>
          <w:b w:val="0"/>
          <w:bCs/>
          <w:smallCaps/>
          <w:color w:val="000000" w:themeColor="text1"/>
          <w:sz w:val="22"/>
        </w:rPr>
        <w:t>Topalov</w:t>
      </w:r>
      <w:r w:rsidRPr="007E18BA">
        <w:rPr>
          <w:rFonts w:ascii="Times New Roman" w:hAnsi="Times New Roman" w:cs="Times New Roman"/>
          <w:b w:val="0"/>
          <w:bCs/>
          <w:color w:val="000000" w:themeColor="text1"/>
          <w:sz w:val="22"/>
        </w:rPr>
        <w:t>, Christian (dir.), </w:t>
      </w:r>
      <w:r w:rsidRPr="007E18BA">
        <w:rPr>
          <w:rFonts w:ascii="Times New Roman" w:hAnsi="Times New Roman" w:cs="Times New Roman"/>
          <w:b w:val="0"/>
          <w:bCs/>
          <w:i/>
          <w:iCs/>
          <w:color w:val="000000" w:themeColor="text1"/>
          <w:sz w:val="22"/>
        </w:rPr>
        <w:t>Villes ouvrières</w:t>
      </w:r>
      <w:r w:rsidRPr="007E18BA">
        <w:rPr>
          <w:rFonts w:ascii="Times New Roman" w:hAnsi="Times New Roman" w:cs="Times New Roman"/>
          <w:b w:val="0"/>
          <w:bCs/>
          <w:color w:val="000000" w:themeColor="text1"/>
          <w:sz w:val="22"/>
        </w:rPr>
        <w:t>, 1900-1950, Paris, L'Harmattan, 1989.</w:t>
      </w:r>
    </w:p>
    <w:p w14:paraId="25F14FC3" w14:textId="77777777" w:rsidR="00915F79" w:rsidRPr="007E18BA" w:rsidRDefault="00915F79" w:rsidP="00915F79">
      <w:pPr>
        <w:tabs>
          <w:tab w:val="left" w:pos="2426"/>
          <w:tab w:val="right" w:pos="9066"/>
        </w:tabs>
        <w:spacing w:before="60"/>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Noiriel, G</w:t>
      </w:r>
      <w:r w:rsidRPr="007E18BA">
        <w:rPr>
          <w:rFonts w:ascii="Times New Roman" w:eastAsia="Times New Roman" w:hAnsi="Times New Roman" w:cs="Times New Roman"/>
          <w:b w:val="0"/>
          <w:bCs/>
          <w:color w:val="000000" w:themeColor="text1"/>
          <w:sz w:val="22"/>
        </w:rPr>
        <w:t xml:space="preserve">érard, </w:t>
      </w:r>
      <w:r w:rsidRPr="007E18BA">
        <w:rPr>
          <w:rFonts w:ascii="Times New Roman" w:eastAsia="Times New Roman" w:hAnsi="Times New Roman" w:cs="Times New Roman"/>
          <w:b w:val="0"/>
          <w:bCs/>
          <w:i/>
          <w:color w:val="000000" w:themeColor="text1"/>
          <w:sz w:val="22"/>
        </w:rPr>
        <w:t>Le creuset français</w:t>
      </w:r>
      <w:r w:rsidRPr="007E18BA">
        <w:rPr>
          <w:rFonts w:ascii="Times New Roman" w:eastAsia="Times New Roman" w:hAnsi="Times New Roman" w:cs="Times New Roman"/>
          <w:b w:val="0"/>
          <w:bCs/>
          <w:color w:val="000000" w:themeColor="text1"/>
          <w:sz w:val="22"/>
        </w:rPr>
        <w:t xml:space="preserve">. </w:t>
      </w:r>
      <w:r w:rsidRPr="007E18BA">
        <w:rPr>
          <w:rFonts w:ascii="Times New Roman" w:eastAsia="Times New Roman" w:hAnsi="Times New Roman" w:cs="Times New Roman"/>
          <w:b w:val="0"/>
          <w:bCs/>
          <w:i/>
          <w:iCs/>
          <w:color w:val="000000" w:themeColor="text1"/>
          <w:sz w:val="22"/>
        </w:rPr>
        <w:t>Histoire de l’immigration (</w:t>
      </w:r>
      <w:r w:rsidRPr="007E18BA">
        <w:rPr>
          <w:rFonts w:ascii="Times New Roman" w:hAnsi="Times New Roman" w:cs="Times New Roman"/>
          <w:b w:val="0"/>
          <w:bCs/>
          <w:i/>
          <w:iCs/>
          <w:smallCaps/>
          <w:color w:val="000000" w:themeColor="text1"/>
          <w:sz w:val="22"/>
        </w:rPr>
        <w:t>xix</w:t>
      </w:r>
      <w:r w:rsidRPr="007E18BA">
        <w:rPr>
          <w:rFonts w:ascii="Times New Roman" w:hAnsi="Times New Roman" w:cs="Times New Roman"/>
          <w:b w:val="0"/>
          <w:bCs/>
          <w:i/>
          <w:iCs/>
          <w:color w:val="000000" w:themeColor="text1"/>
          <w:sz w:val="22"/>
          <w:vertAlign w:val="superscript"/>
        </w:rPr>
        <w:t>e</w:t>
      </w:r>
      <w:r w:rsidRPr="007E18BA">
        <w:rPr>
          <w:rFonts w:ascii="Times New Roman" w:eastAsia="Times New Roman" w:hAnsi="Times New Roman" w:cs="Times New Roman"/>
          <w:b w:val="0"/>
          <w:bCs/>
          <w:i/>
          <w:iCs/>
          <w:color w:val="000000" w:themeColor="text1"/>
          <w:sz w:val="22"/>
        </w:rPr>
        <w:t>-</w:t>
      </w:r>
      <w:r w:rsidRPr="007E18BA">
        <w:rPr>
          <w:rFonts w:ascii="Times New Roman" w:hAnsi="Times New Roman" w:cs="Times New Roman"/>
          <w:b w:val="0"/>
          <w:bCs/>
          <w:i/>
          <w:iCs/>
          <w:smallCaps/>
          <w:color w:val="000000" w:themeColor="text1"/>
          <w:sz w:val="22"/>
        </w:rPr>
        <w:t>xx</w:t>
      </w:r>
      <w:r w:rsidRPr="007E18BA">
        <w:rPr>
          <w:rFonts w:ascii="Times New Roman" w:hAnsi="Times New Roman" w:cs="Times New Roman"/>
          <w:b w:val="0"/>
          <w:bCs/>
          <w:i/>
          <w:iCs/>
          <w:color w:val="000000" w:themeColor="text1"/>
          <w:sz w:val="22"/>
          <w:vertAlign w:val="superscript"/>
        </w:rPr>
        <w:t>e</w:t>
      </w:r>
      <w:r w:rsidRPr="007E18BA">
        <w:rPr>
          <w:rFonts w:ascii="Times New Roman" w:hAnsi="Times New Roman" w:cs="Times New Roman"/>
          <w:b w:val="0"/>
          <w:bCs/>
          <w:i/>
          <w:iCs/>
          <w:color w:val="000000" w:themeColor="text1"/>
          <w:sz w:val="22"/>
        </w:rPr>
        <w:t xml:space="preserve"> siècles),</w:t>
      </w:r>
      <w:r w:rsidRPr="007E18BA">
        <w:rPr>
          <w:rFonts w:ascii="Times New Roman" w:hAnsi="Times New Roman" w:cs="Times New Roman"/>
          <w:b w:val="0"/>
          <w:bCs/>
          <w:color w:val="000000" w:themeColor="text1"/>
          <w:sz w:val="22"/>
        </w:rPr>
        <w:t xml:space="preserve"> </w:t>
      </w:r>
      <w:r w:rsidRPr="007E18BA">
        <w:rPr>
          <w:rFonts w:ascii="Times New Roman" w:eastAsia="Times New Roman" w:hAnsi="Times New Roman" w:cs="Times New Roman"/>
          <w:b w:val="0"/>
          <w:bCs/>
          <w:color w:val="000000" w:themeColor="text1"/>
          <w:sz w:val="22"/>
        </w:rPr>
        <w:t>Paris, Éditions du Seuil, 2016 (éd. Originale 1988).</w:t>
      </w:r>
    </w:p>
    <w:p w14:paraId="358DBE56"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Peretz,</w:t>
      </w:r>
      <w:r w:rsidRPr="007E18BA">
        <w:rPr>
          <w:rFonts w:ascii="Times New Roman" w:hAnsi="Times New Roman" w:cs="Times New Roman"/>
          <w:b w:val="0"/>
          <w:bCs/>
          <w:color w:val="000000" w:themeColor="text1"/>
          <w:sz w:val="22"/>
        </w:rPr>
        <w:t xml:space="preserve"> Pauline (dir), </w:t>
      </w:r>
      <w:r w:rsidRPr="007E18BA">
        <w:rPr>
          <w:rFonts w:ascii="Times New Roman" w:hAnsi="Times New Roman" w:cs="Times New Roman"/>
          <w:b w:val="0"/>
          <w:bCs/>
          <w:i/>
          <w:color w:val="000000" w:themeColor="text1"/>
          <w:sz w:val="22"/>
        </w:rPr>
        <w:t>New York. Histoire, promenades, anthologie et dictionnaire</w:t>
      </w:r>
      <w:r w:rsidRPr="007E18BA">
        <w:rPr>
          <w:rFonts w:ascii="Times New Roman" w:hAnsi="Times New Roman" w:cs="Times New Roman"/>
          <w:b w:val="0"/>
          <w:bCs/>
          <w:color w:val="000000" w:themeColor="text1"/>
          <w:sz w:val="22"/>
        </w:rPr>
        <w:t>, Paris, Robert Laffont, 2009.</w:t>
      </w:r>
    </w:p>
    <w:p w14:paraId="19CBC28F" w14:textId="77777777" w:rsidR="00915F79" w:rsidRPr="007E18BA" w:rsidRDefault="00915F79" w:rsidP="00915F79">
      <w:pPr>
        <w:tabs>
          <w:tab w:val="left" w:pos="2426"/>
          <w:tab w:val="right" w:pos="9066"/>
        </w:tabs>
        <w:spacing w:before="60"/>
        <w:ind w:left="284" w:hanging="284"/>
        <w:jc w:val="both"/>
        <w:rPr>
          <w:rFonts w:ascii="Times New Roman" w:hAnsi="Times New Roman"/>
          <w:b w:val="0"/>
          <w:bCs/>
          <w:color w:val="000000" w:themeColor="text1"/>
          <w:sz w:val="22"/>
        </w:rPr>
      </w:pPr>
      <w:r w:rsidRPr="007E18BA">
        <w:rPr>
          <w:rFonts w:ascii="Times New Roman" w:hAnsi="Times New Roman" w:cs="Times New Roman"/>
          <w:b w:val="0"/>
          <w:bCs/>
          <w:smallCaps/>
          <w:color w:val="000000" w:themeColor="text1"/>
          <w:sz w:val="22"/>
          <w:lang w:val="en-US"/>
        </w:rPr>
        <w:t>Rolland-Diamond</w:t>
      </w:r>
      <w:r w:rsidRPr="007E18BA">
        <w:rPr>
          <w:rFonts w:ascii="Times New Roman" w:hAnsi="Times New Roman" w:cs="Times New Roman"/>
          <w:b w:val="0"/>
          <w:bCs/>
          <w:color w:val="000000" w:themeColor="text1"/>
          <w:sz w:val="22"/>
          <w:lang w:val="en-US"/>
        </w:rPr>
        <w:t xml:space="preserve">, Caroline, </w:t>
      </w:r>
      <w:r w:rsidRPr="007E18BA">
        <w:rPr>
          <w:rFonts w:ascii="Times New Roman" w:hAnsi="Times New Roman" w:cs="Times New Roman"/>
          <w:b w:val="0"/>
          <w:bCs/>
          <w:i/>
          <w:iCs/>
          <w:color w:val="000000" w:themeColor="text1"/>
          <w:sz w:val="22"/>
          <w:lang w:val="en-US"/>
        </w:rPr>
        <w:t xml:space="preserve">Black America. </w:t>
      </w:r>
      <w:r w:rsidRPr="007E18BA">
        <w:rPr>
          <w:rFonts w:ascii="Times New Roman" w:hAnsi="Times New Roman" w:cs="Times New Roman"/>
          <w:b w:val="0"/>
          <w:bCs/>
          <w:i/>
          <w:iCs/>
          <w:color w:val="000000" w:themeColor="text1"/>
          <w:sz w:val="22"/>
        </w:rPr>
        <w:t>Une histoire des luttes pour l’égalité et la justice (</w:t>
      </w:r>
      <w:r w:rsidRPr="007E18BA">
        <w:rPr>
          <w:rFonts w:ascii="Times New Roman" w:hAnsi="Times New Roman"/>
          <w:b w:val="0"/>
          <w:bCs/>
          <w:smallCaps/>
          <w:color w:val="000000" w:themeColor="text1"/>
          <w:sz w:val="22"/>
        </w:rPr>
        <w:t>xix</w:t>
      </w:r>
      <w:r w:rsidRPr="007E18BA">
        <w:rPr>
          <w:rFonts w:ascii="Times New Roman" w:hAnsi="Times New Roman"/>
          <w:b w:val="0"/>
          <w:bCs/>
          <w:color w:val="000000" w:themeColor="text1"/>
          <w:sz w:val="22"/>
          <w:vertAlign w:val="superscript"/>
        </w:rPr>
        <w:t>e</w:t>
      </w:r>
      <w:r w:rsidRPr="007E18BA">
        <w:rPr>
          <w:rFonts w:ascii="Times New Roman" w:hAnsi="Times New Roman" w:cs="Times New Roman"/>
          <w:b w:val="0"/>
          <w:bCs/>
          <w:i/>
          <w:iCs/>
          <w:color w:val="000000" w:themeColor="text1"/>
          <w:sz w:val="22"/>
        </w:rPr>
        <w:t>-</w:t>
      </w:r>
      <w:r w:rsidRPr="007E18BA">
        <w:rPr>
          <w:rFonts w:ascii="Times New Roman" w:hAnsi="Times New Roman"/>
          <w:b w:val="0"/>
          <w:bCs/>
          <w:smallCaps/>
          <w:color w:val="000000" w:themeColor="text1"/>
          <w:sz w:val="22"/>
        </w:rPr>
        <w:t>xx</w:t>
      </w:r>
      <w:r w:rsidRPr="007E18BA">
        <w:rPr>
          <w:rFonts w:ascii="Times New Roman" w:hAnsi="Times New Roman"/>
          <w:b w:val="0"/>
          <w:bCs/>
          <w:color w:val="000000" w:themeColor="text1"/>
          <w:sz w:val="22"/>
          <w:vertAlign w:val="superscript"/>
        </w:rPr>
        <w:t>e</w:t>
      </w:r>
      <w:r w:rsidRPr="007E18BA">
        <w:rPr>
          <w:rFonts w:ascii="Times New Roman" w:hAnsi="Times New Roman" w:cs="Times New Roman"/>
          <w:b w:val="0"/>
          <w:bCs/>
          <w:i/>
          <w:iCs/>
          <w:color w:val="000000" w:themeColor="text1"/>
          <w:sz w:val="22"/>
        </w:rPr>
        <w:t xml:space="preserve"> siècle)</w:t>
      </w:r>
      <w:r w:rsidRPr="007E18BA">
        <w:rPr>
          <w:rFonts w:ascii="Times New Roman" w:hAnsi="Times New Roman" w:cs="Times New Roman"/>
          <w:b w:val="0"/>
          <w:bCs/>
          <w:color w:val="000000" w:themeColor="text1"/>
          <w:sz w:val="22"/>
        </w:rPr>
        <w:t>, Paris, La Découverte, 2016</w:t>
      </w:r>
    </w:p>
    <w:p w14:paraId="38F3AF35"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 xml:space="preserve">Topalov, </w:t>
      </w:r>
      <w:r w:rsidRPr="007E18BA">
        <w:rPr>
          <w:rFonts w:ascii="Times New Roman" w:hAnsi="Times New Roman" w:cs="Times New Roman"/>
          <w:b w:val="0"/>
          <w:bCs/>
          <w:color w:val="000000" w:themeColor="text1"/>
          <w:sz w:val="22"/>
        </w:rPr>
        <w:t>Christian</w:t>
      </w:r>
      <w:r w:rsidRPr="007E18BA">
        <w:rPr>
          <w:rFonts w:ascii="Times New Roman" w:hAnsi="Times New Roman" w:cs="Times New Roman"/>
          <w:b w:val="0"/>
          <w:bCs/>
          <w:smallCaps/>
          <w:color w:val="000000" w:themeColor="text1"/>
          <w:sz w:val="22"/>
        </w:rPr>
        <w:t xml:space="preserve">, Coudroy de Lille, </w:t>
      </w:r>
      <w:r w:rsidRPr="007E18BA">
        <w:rPr>
          <w:rFonts w:ascii="Times New Roman" w:hAnsi="Times New Roman" w:cs="Times New Roman"/>
          <w:b w:val="0"/>
          <w:bCs/>
          <w:color w:val="000000" w:themeColor="text1"/>
          <w:sz w:val="22"/>
        </w:rPr>
        <w:t xml:space="preserve">Laurent (et al.), </w:t>
      </w:r>
      <w:r w:rsidRPr="007E18BA">
        <w:rPr>
          <w:rFonts w:ascii="Times New Roman" w:hAnsi="Times New Roman" w:cs="Times New Roman"/>
          <w:b w:val="0"/>
          <w:bCs/>
          <w:i/>
          <w:color w:val="000000" w:themeColor="text1"/>
          <w:sz w:val="22"/>
        </w:rPr>
        <w:t>L’Aventure des mots de la ville</w:t>
      </w:r>
      <w:r w:rsidRPr="007E18BA">
        <w:rPr>
          <w:rFonts w:ascii="Times New Roman" w:hAnsi="Times New Roman" w:cs="Times New Roman"/>
          <w:b w:val="0"/>
          <w:bCs/>
          <w:color w:val="000000" w:themeColor="text1"/>
          <w:sz w:val="22"/>
        </w:rPr>
        <w:t>, Paris, Robert Laffont,</w:t>
      </w:r>
      <w:r w:rsidRPr="007E18BA">
        <w:rPr>
          <w:rFonts w:ascii="Times New Roman" w:hAnsi="Times New Roman" w:cs="Times New Roman"/>
          <w:b w:val="0"/>
          <w:bCs/>
          <w:smallCaps/>
          <w:color w:val="000000" w:themeColor="text1"/>
          <w:sz w:val="22"/>
        </w:rPr>
        <w:t xml:space="preserve"> 2010.</w:t>
      </w:r>
    </w:p>
    <w:p w14:paraId="77955420"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Vorms</w:t>
      </w:r>
      <w:r w:rsidRPr="007E18BA">
        <w:rPr>
          <w:rFonts w:ascii="Times New Roman" w:hAnsi="Times New Roman" w:cs="Times New Roman"/>
          <w:b w:val="0"/>
          <w:bCs/>
          <w:color w:val="000000" w:themeColor="text1"/>
          <w:sz w:val="22"/>
        </w:rPr>
        <w:t xml:space="preserve">, Charlotte, </w:t>
      </w:r>
      <w:r w:rsidRPr="007E18BA">
        <w:rPr>
          <w:rFonts w:ascii="Times New Roman" w:hAnsi="Times New Roman" w:cs="Times New Roman"/>
          <w:b w:val="0"/>
          <w:bCs/>
          <w:i/>
          <w:color w:val="000000" w:themeColor="text1"/>
          <w:sz w:val="22"/>
        </w:rPr>
        <w:t>Bâtisseurs de banlieue. Le quartier de la Prosperidad à Madrid (1860-1936),</w:t>
      </w:r>
      <w:r w:rsidRPr="007E18BA">
        <w:rPr>
          <w:rFonts w:ascii="Times New Roman" w:hAnsi="Times New Roman" w:cs="Times New Roman"/>
          <w:b w:val="0"/>
          <w:bCs/>
          <w:color w:val="000000" w:themeColor="text1"/>
          <w:sz w:val="22"/>
        </w:rPr>
        <w:t xml:space="preserve"> Paris, Créaphis, 2012.</w:t>
      </w:r>
    </w:p>
    <w:p w14:paraId="36C94198" w14:textId="77777777" w:rsidR="00915F79" w:rsidRPr="007E18BA" w:rsidRDefault="00915F79" w:rsidP="00915F79">
      <w:pPr>
        <w:pStyle w:val="Titre3"/>
        <w:ind w:left="284" w:hanging="284"/>
        <w:jc w:val="both"/>
        <w:rPr>
          <w:rFonts w:ascii="Times New Roman" w:hAnsi="Times New Roman" w:cs="Times New Roman"/>
          <w:color w:val="000000" w:themeColor="text1"/>
          <w:sz w:val="22"/>
          <w:lang w:val="en-US"/>
        </w:rPr>
      </w:pPr>
      <w:r w:rsidRPr="007E18BA">
        <w:rPr>
          <w:rFonts w:ascii="Times New Roman" w:hAnsi="Times New Roman" w:cs="Times New Roman"/>
          <w:smallCaps/>
          <w:color w:val="000000" w:themeColor="text1"/>
          <w:sz w:val="22"/>
          <w:lang w:val="en-US"/>
        </w:rPr>
        <w:t>Vorms</w:t>
      </w:r>
      <w:r w:rsidRPr="007E18BA">
        <w:rPr>
          <w:rFonts w:ascii="Times New Roman" w:hAnsi="Times New Roman" w:cs="Times New Roman"/>
          <w:color w:val="000000" w:themeColor="text1"/>
          <w:sz w:val="22"/>
          <w:lang w:val="en-US"/>
        </w:rPr>
        <w:t xml:space="preserve">, Charlotte et </w:t>
      </w:r>
      <w:r w:rsidRPr="007E18BA">
        <w:rPr>
          <w:rFonts w:ascii="Times New Roman" w:hAnsi="Times New Roman" w:cs="Times New Roman"/>
          <w:smallCaps/>
          <w:color w:val="000000" w:themeColor="text1"/>
          <w:sz w:val="22"/>
          <w:lang w:val="en-US"/>
        </w:rPr>
        <w:t>Fischer</w:t>
      </w:r>
      <w:r w:rsidRPr="007E18BA">
        <w:rPr>
          <w:rFonts w:ascii="Times New Roman" w:hAnsi="Times New Roman" w:cs="Times New Roman"/>
          <w:color w:val="000000" w:themeColor="text1"/>
          <w:sz w:val="22"/>
          <w:lang w:val="en-US"/>
        </w:rPr>
        <w:t xml:space="preserve">, Brodwyn, </w:t>
      </w:r>
      <w:r w:rsidRPr="007E18BA">
        <w:rPr>
          <w:rFonts w:ascii="Times New Roman" w:hAnsi="Times New Roman" w:cs="Times New Roman"/>
          <w:i/>
          <w:iCs/>
          <w:color w:val="000000" w:themeColor="text1"/>
          <w:sz w:val="22"/>
          <w:lang w:val="en-US"/>
        </w:rPr>
        <w:t>Informal Cities. Histories of Governance and Inequality in Latin Europe, Latin America, and Colonial North Africa</w:t>
      </w:r>
      <w:r w:rsidRPr="007E18BA">
        <w:rPr>
          <w:rFonts w:ascii="Times New Roman" w:hAnsi="Times New Roman" w:cs="Times New Roman"/>
          <w:color w:val="000000" w:themeColor="text1"/>
          <w:sz w:val="22"/>
          <w:lang w:val="en-US"/>
        </w:rPr>
        <w:t>, Chicago, University of Chicago Press, 2025.</w:t>
      </w:r>
    </w:p>
    <w:p w14:paraId="04C31778" w14:textId="5D65AE8E" w:rsidR="0036069A" w:rsidRPr="007E18BA" w:rsidRDefault="00915F79" w:rsidP="00885A1D">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Weil</w:t>
      </w:r>
      <w:r w:rsidRPr="007E18BA">
        <w:rPr>
          <w:rFonts w:ascii="Times New Roman" w:hAnsi="Times New Roman" w:cs="Times New Roman"/>
          <w:b w:val="0"/>
          <w:bCs/>
          <w:color w:val="000000" w:themeColor="text1"/>
          <w:sz w:val="22"/>
        </w:rPr>
        <w:t xml:space="preserve">, François, </w:t>
      </w:r>
      <w:r w:rsidRPr="007E18BA">
        <w:rPr>
          <w:rFonts w:ascii="Times New Roman" w:hAnsi="Times New Roman" w:cs="Times New Roman"/>
          <w:b w:val="0"/>
          <w:bCs/>
          <w:i/>
          <w:color w:val="000000" w:themeColor="text1"/>
          <w:sz w:val="22"/>
        </w:rPr>
        <w:t>Histoire de New York</w:t>
      </w:r>
      <w:r w:rsidRPr="007E18BA">
        <w:rPr>
          <w:rFonts w:ascii="Times New Roman" w:hAnsi="Times New Roman" w:cs="Times New Roman"/>
          <w:b w:val="0"/>
          <w:bCs/>
          <w:color w:val="000000" w:themeColor="text1"/>
          <w:sz w:val="22"/>
        </w:rPr>
        <w:t>, Paris, Fayard, 2005.</w:t>
      </w:r>
    </w:p>
    <w:p w14:paraId="3B25C88B" w14:textId="0CEBB23B" w:rsidR="0036069A" w:rsidRPr="007E18BA" w:rsidRDefault="006E292C" w:rsidP="006E292C">
      <w:pPr>
        <w:tabs>
          <w:tab w:val="left" w:pos="2426"/>
          <w:tab w:val="right" w:pos="9066"/>
        </w:tabs>
        <w:spacing w:before="60"/>
        <w:jc w:val="both"/>
        <w:rPr>
          <w:rFonts w:ascii="Times New Roman" w:hAnsi="Times New Roman" w:cs="Times New Roman"/>
          <w:b w:val="0"/>
          <w:bCs/>
          <w:color w:val="C00000"/>
          <w:sz w:val="22"/>
        </w:rPr>
      </w:pPr>
      <w:r w:rsidRPr="007E18BA">
        <w:rPr>
          <w:rFonts w:ascii="Times New Roman" w:hAnsi="Times New Roman" w:cs="Times New Roman"/>
          <w:bCs/>
          <w:color w:val="C00000"/>
          <w:sz w:val="22"/>
          <w:u w:val="single"/>
        </w:rPr>
        <w:t>Sujet du cours</w:t>
      </w:r>
      <w:r w:rsidR="007E18BA">
        <w:rPr>
          <w:rFonts w:ascii="Times New Roman" w:hAnsi="Times New Roman" w:cs="Times New Roman"/>
          <w:bCs/>
          <w:color w:val="C00000"/>
          <w:sz w:val="22"/>
          <w:u w:val="single"/>
        </w:rPr>
        <w:t xml:space="preserve"> semestre </w:t>
      </w:r>
      <w:r w:rsidRPr="007E18BA">
        <w:rPr>
          <w:rFonts w:ascii="Times New Roman" w:hAnsi="Times New Roman" w:cs="Times New Roman"/>
          <w:bCs/>
          <w:color w:val="C00000"/>
          <w:sz w:val="22"/>
          <w:u w:val="single"/>
        </w:rPr>
        <w:t>2</w:t>
      </w:r>
      <w:r w:rsidRPr="007E18BA">
        <w:rPr>
          <w:rFonts w:ascii="Times New Roman" w:hAnsi="Times New Roman" w:cs="Times New Roman"/>
          <w:bCs/>
          <w:color w:val="C00000"/>
          <w:sz w:val="22"/>
        </w:rPr>
        <w:t xml:space="preserve"> : </w:t>
      </w:r>
      <w:r w:rsidR="0036069A" w:rsidRPr="007E18BA">
        <w:rPr>
          <w:rFonts w:ascii="Times New Roman" w:hAnsi="Times New Roman" w:cs="Times New Roman"/>
          <w:bCs/>
          <w:color w:val="C00000"/>
          <w:sz w:val="22"/>
        </w:rPr>
        <w:t>Parisiens et Parisiennes d’Haussmann aux grands ensembles</w:t>
      </w:r>
    </w:p>
    <w:p w14:paraId="2FBA9345" w14:textId="3E40AFC8" w:rsidR="0036069A" w:rsidRPr="007E18BA" w:rsidRDefault="0036069A" w:rsidP="0036069A">
      <w:pPr>
        <w:jc w:val="both"/>
        <w:rPr>
          <w:rFonts w:ascii="Cambria" w:hAnsi="Cambria" w:cs="Times New Roman"/>
          <w:b w:val="0"/>
          <w:bCs/>
          <w:sz w:val="22"/>
        </w:rPr>
      </w:pPr>
      <w:r w:rsidRPr="007E18BA">
        <w:rPr>
          <w:rFonts w:ascii="Cambria" w:hAnsi="Cambria" w:cs="Times New Roman"/>
          <w:b w:val="0"/>
          <w:bCs/>
          <w:sz w:val="22"/>
        </w:rPr>
        <w:t>Le cours propose la traversée d’un siècle d’histoire de l’agglomération parisienne, encadré par deux périodes de transformations morphologiques, économiques et sociales accélérées : l’haussmannisation et la croissance orientée par les politiques d’aménagement de la république gaullienne. Pensées en leur temps en termes de modernisation, ces deux périodes de croissance économique, d’extension urbaine et d’essor démographique nourri par l’exode rural et l’immigration changent la face de l’agglomération, ainsi que les modes de vie et de consommation. Le cours s’ouvrira sur la première, l’haussmannisation (années 1850-60), laquelle donne à la ville centre le visage qu’on lui connait depuis lors, popularisé par le cinéma ; il évoquera la seconde, qui s’amorce au mitan des années 1950. Entre les deux, les deux guerres mondiales bouleversent la société, affectent lourdement les populations et impriment leur marque sur les trajectoires biographiques des individus. Ce cours se déroulera, pour un tiers des séances, hors les murs de l’université. Nous arpenterons ensemble l’agglomération parisienne pour comprendre, en l’expérimentant, son fonctionnement et sa genèse.</w:t>
      </w:r>
    </w:p>
    <w:p w14:paraId="7C7631E9" w14:textId="77777777" w:rsidR="00885A1D" w:rsidRPr="007E18BA" w:rsidRDefault="00885A1D" w:rsidP="0036069A">
      <w:pPr>
        <w:jc w:val="both"/>
        <w:rPr>
          <w:rFonts w:ascii="Times New Roman" w:hAnsi="Times New Roman" w:cs="Times New Roman"/>
          <w:bCs/>
          <w:sz w:val="22"/>
        </w:rPr>
      </w:pPr>
    </w:p>
    <w:p w14:paraId="23B07FB5" w14:textId="2D17932F" w:rsidR="0036069A" w:rsidRPr="007E18BA" w:rsidRDefault="0036069A" w:rsidP="0036069A">
      <w:pPr>
        <w:jc w:val="both"/>
        <w:rPr>
          <w:rFonts w:ascii="Times New Roman" w:hAnsi="Times New Roman" w:cs="Times New Roman"/>
          <w:b w:val="0"/>
          <w:bCs/>
          <w:sz w:val="22"/>
        </w:rPr>
      </w:pPr>
      <w:r w:rsidRPr="007E18BA">
        <w:rPr>
          <w:rFonts w:ascii="Times New Roman" w:hAnsi="Times New Roman" w:cs="Times New Roman"/>
          <w:bCs/>
          <w:sz w:val="22"/>
        </w:rPr>
        <w:t>Bibliographie</w:t>
      </w:r>
    </w:p>
    <w:p w14:paraId="452011BA"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Isabelle Backouche, </w:t>
      </w:r>
      <w:r w:rsidRPr="007E18BA">
        <w:rPr>
          <w:rFonts w:ascii="Times New Roman" w:hAnsi="Times New Roman" w:cs="Times New Roman"/>
          <w:b w:val="0"/>
          <w:bCs/>
          <w:i/>
          <w:iCs/>
          <w:sz w:val="22"/>
        </w:rPr>
        <w:t>Paris transformé. Le Marais 1900-1980</w:t>
      </w:r>
      <w:r w:rsidRPr="007E18BA">
        <w:rPr>
          <w:rFonts w:ascii="Times New Roman" w:hAnsi="Times New Roman" w:cs="Times New Roman"/>
          <w:b w:val="0"/>
          <w:bCs/>
          <w:sz w:val="22"/>
        </w:rPr>
        <w:t>, Paris, Créaphis, 2016.</w:t>
      </w:r>
    </w:p>
    <w:p w14:paraId="7A54F7A4"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Christophe Charle, </w:t>
      </w:r>
      <w:r w:rsidRPr="007E18BA">
        <w:rPr>
          <w:rFonts w:ascii="Times New Roman" w:hAnsi="Times New Roman" w:cs="Times New Roman"/>
          <w:b w:val="0"/>
          <w:bCs/>
          <w:i/>
          <w:iCs/>
          <w:sz w:val="22"/>
        </w:rPr>
        <w:t xml:space="preserve">Paris « capitales » des </w:t>
      </w:r>
      <w:r w:rsidRPr="007E18BA">
        <w:rPr>
          <w:rFonts w:ascii="Times New Roman" w:hAnsi="Times New Roman" w:cs="Times New Roman"/>
          <w:b w:val="0"/>
          <w:bCs/>
          <w:i/>
          <w:iCs/>
          <w:smallCaps/>
          <w:sz w:val="22"/>
        </w:rPr>
        <w:t>xix</w:t>
      </w:r>
      <w:r w:rsidRPr="007E18BA">
        <w:rPr>
          <w:rFonts w:ascii="Times New Roman" w:hAnsi="Times New Roman" w:cs="Times New Roman"/>
          <w:b w:val="0"/>
          <w:bCs/>
          <w:i/>
          <w:iCs/>
          <w:sz w:val="22"/>
          <w:vertAlign w:val="superscript"/>
        </w:rPr>
        <w:t>e</w:t>
      </w:r>
      <w:r w:rsidRPr="007E18BA">
        <w:rPr>
          <w:rFonts w:ascii="Times New Roman" w:hAnsi="Times New Roman" w:cs="Times New Roman"/>
          <w:b w:val="0"/>
          <w:bCs/>
          <w:i/>
          <w:iCs/>
          <w:sz w:val="22"/>
        </w:rPr>
        <w:t xml:space="preserve"> siècle</w:t>
      </w:r>
      <w:r w:rsidRPr="007E18BA">
        <w:rPr>
          <w:rFonts w:ascii="Times New Roman" w:hAnsi="Times New Roman" w:cs="Times New Roman"/>
          <w:b w:val="0"/>
          <w:bCs/>
          <w:sz w:val="22"/>
        </w:rPr>
        <w:t>, Paris, Seuil, 2021.</w:t>
      </w:r>
    </w:p>
    <w:p w14:paraId="28AD3E13"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Laurent Coudroy de Lille et Charlotte Vorms, « L’urbanisation comme activité économique et sociale </w:t>
      </w:r>
      <w:r w:rsidRPr="007E18BA">
        <w:rPr>
          <w:rStyle w:val="Accentuation"/>
          <w:rFonts w:ascii="Times New Roman" w:hAnsi="Times New Roman" w:cs="Times New Roman"/>
          <w:b w:val="0"/>
          <w:bCs/>
          <w:i w:val="0"/>
          <w:iCs w:val="0"/>
          <w:sz w:val="22"/>
        </w:rPr>
        <w:t>(</w:t>
      </w:r>
      <w:r w:rsidRPr="007E18BA">
        <w:rPr>
          <w:rFonts w:ascii="Times New Roman" w:hAnsi="Times New Roman" w:cs="Times New Roman"/>
          <w:b w:val="0"/>
          <w:bCs/>
          <w:smallCaps/>
          <w:sz w:val="22"/>
        </w:rPr>
        <w:t>xix</w:t>
      </w:r>
      <w:r w:rsidRPr="007E18BA">
        <w:rPr>
          <w:rFonts w:ascii="Times New Roman" w:hAnsi="Times New Roman" w:cs="Times New Roman"/>
          <w:b w:val="0"/>
          <w:bCs/>
          <w:sz w:val="22"/>
          <w:vertAlign w:val="superscript"/>
        </w:rPr>
        <w:t>e</w:t>
      </w:r>
      <w:r w:rsidRPr="007E18BA">
        <w:rPr>
          <w:rStyle w:val="Accentuation"/>
          <w:rFonts w:ascii="Times New Roman" w:hAnsi="Times New Roman" w:cs="Times New Roman"/>
          <w:b w:val="0"/>
          <w:bCs/>
          <w:sz w:val="22"/>
        </w:rPr>
        <w:t>–</w:t>
      </w:r>
      <w:r w:rsidRPr="007E18BA">
        <w:rPr>
          <w:rFonts w:ascii="Times New Roman" w:hAnsi="Times New Roman" w:cs="Times New Roman"/>
          <w:b w:val="0"/>
          <w:bCs/>
          <w:smallCaps/>
          <w:sz w:val="22"/>
        </w:rPr>
        <w:t>xxi</w:t>
      </w:r>
      <w:r w:rsidRPr="007E18BA">
        <w:rPr>
          <w:rFonts w:ascii="Times New Roman" w:hAnsi="Times New Roman" w:cs="Times New Roman"/>
          <w:b w:val="0"/>
          <w:bCs/>
          <w:sz w:val="22"/>
          <w:vertAlign w:val="superscript"/>
        </w:rPr>
        <w:t>e</w:t>
      </w:r>
      <w:r w:rsidRPr="007E18BA">
        <w:rPr>
          <w:rStyle w:val="Accentuation"/>
          <w:rFonts w:ascii="Times New Roman" w:hAnsi="Times New Roman" w:cs="Times New Roman"/>
          <w:b w:val="0"/>
          <w:bCs/>
          <w:i w:val="0"/>
          <w:iCs w:val="0"/>
          <w:sz w:val="22"/>
        </w:rPr>
        <w:t xml:space="preserve"> siècles)</w:t>
      </w:r>
      <w:r w:rsidRPr="007E18BA">
        <w:rPr>
          <w:rStyle w:val="Accentuation"/>
          <w:rFonts w:ascii="Times New Roman" w:hAnsi="Times New Roman" w:cs="Times New Roman"/>
          <w:b w:val="0"/>
          <w:bCs/>
          <w:sz w:val="22"/>
        </w:rPr>
        <w:t> »</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in</w:t>
      </w:r>
      <w:r w:rsidRPr="007E18BA">
        <w:rPr>
          <w:rFonts w:ascii="Times New Roman" w:hAnsi="Times New Roman" w:cs="Times New Roman"/>
          <w:b w:val="0"/>
          <w:bCs/>
          <w:sz w:val="22"/>
        </w:rPr>
        <w:t xml:space="preserve"> Catherine Virlouvet et Pierre-Cyrille Hautcoeur (dir.), </w:t>
      </w:r>
      <w:r w:rsidRPr="007E18BA">
        <w:rPr>
          <w:rStyle w:val="Accentuation"/>
          <w:rFonts w:ascii="Times New Roman" w:hAnsi="Times New Roman" w:cs="Times New Roman"/>
          <w:b w:val="0"/>
          <w:bCs/>
          <w:sz w:val="22"/>
        </w:rPr>
        <w:t>Nouvelle histoire économique et sociale de la France</w:t>
      </w:r>
      <w:r w:rsidRPr="007E18BA">
        <w:rPr>
          <w:rFonts w:ascii="Times New Roman" w:hAnsi="Times New Roman" w:cs="Times New Roman"/>
          <w:b w:val="0"/>
          <w:bCs/>
          <w:sz w:val="22"/>
        </w:rPr>
        <w:t>, Paris, Éditions Passés composés, 2025.</w:t>
      </w:r>
    </w:p>
    <w:p w14:paraId="19331D2C"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Georges Duby (dir.), </w:t>
      </w:r>
      <w:r w:rsidRPr="007E18BA">
        <w:rPr>
          <w:rFonts w:ascii="Times New Roman" w:hAnsi="Times New Roman" w:cs="Times New Roman"/>
          <w:b w:val="0"/>
          <w:bCs/>
          <w:i/>
          <w:iCs/>
          <w:sz w:val="22"/>
        </w:rPr>
        <w:t>Histoire de la France urbaine</w:t>
      </w:r>
      <w:r w:rsidRPr="007E18BA">
        <w:rPr>
          <w:rFonts w:ascii="Times New Roman" w:hAnsi="Times New Roman" w:cs="Times New Roman"/>
          <w:b w:val="0"/>
          <w:bCs/>
          <w:sz w:val="22"/>
        </w:rPr>
        <w:t>, tome 4 « La ville de l’âge industriel, le cycle haussmannien » et tome 5, « La ville aujourd’hui », Paris, Seuil, 1983 et 1985 (1</w:t>
      </w:r>
      <w:r w:rsidRPr="007E18BA">
        <w:rPr>
          <w:rFonts w:ascii="Times New Roman" w:hAnsi="Times New Roman" w:cs="Times New Roman"/>
          <w:b w:val="0"/>
          <w:bCs/>
          <w:sz w:val="22"/>
          <w:vertAlign w:val="superscript"/>
        </w:rPr>
        <w:t>ère</w:t>
      </w:r>
      <w:r w:rsidRPr="007E18BA">
        <w:rPr>
          <w:rFonts w:ascii="Times New Roman" w:hAnsi="Times New Roman" w:cs="Times New Roman"/>
          <w:b w:val="0"/>
          <w:bCs/>
          <w:sz w:val="22"/>
        </w:rPr>
        <w:t xml:space="preserve"> éd.).</w:t>
      </w:r>
    </w:p>
    <w:p w14:paraId="58F2D249"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Alain Faure, </w:t>
      </w:r>
      <w:r w:rsidRPr="007E18BA">
        <w:rPr>
          <w:rFonts w:ascii="Times New Roman" w:hAnsi="Times New Roman" w:cs="Times New Roman"/>
          <w:b w:val="0"/>
          <w:bCs/>
          <w:i/>
          <w:iCs/>
          <w:sz w:val="22"/>
        </w:rPr>
        <w:t>Les premiers banlieusards. Aux origines des banlieues de Paris. 1860-1940</w:t>
      </w:r>
      <w:r w:rsidRPr="007E18BA">
        <w:rPr>
          <w:rFonts w:ascii="Times New Roman" w:hAnsi="Times New Roman" w:cs="Times New Roman"/>
          <w:b w:val="0"/>
          <w:bCs/>
          <w:sz w:val="22"/>
        </w:rPr>
        <w:t>, Paris, Créaphis, 1991.</w:t>
      </w:r>
    </w:p>
    <w:p w14:paraId="767A2849"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Alain Faure et Claire Lévy-Vroélant, </w:t>
      </w:r>
      <w:r w:rsidRPr="007E18BA">
        <w:rPr>
          <w:rFonts w:ascii="Times New Roman" w:hAnsi="Times New Roman" w:cs="Times New Roman"/>
          <w:b w:val="0"/>
          <w:bCs/>
          <w:i/>
          <w:iCs/>
          <w:sz w:val="22"/>
        </w:rPr>
        <w:t>Une chambre en ville, Hôtels meublés et garnis parisiens 1860-1990</w:t>
      </w:r>
      <w:r w:rsidRPr="007E18BA">
        <w:rPr>
          <w:rFonts w:ascii="Times New Roman" w:hAnsi="Times New Roman" w:cs="Times New Roman"/>
          <w:b w:val="0"/>
          <w:bCs/>
          <w:sz w:val="22"/>
        </w:rPr>
        <w:t>, Paris, Créaphis, 2007.</w:t>
      </w:r>
    </w:p>
    <w:p w14:paraId="47687CB1"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Annie Fourcaut, </w:t>
      </w:r>
      <w:r w:rsidRPr="007E18BA">
        <w:rPr>
          <w:rFonts w:ascii="Times New Roman" w:hAnsi="Times New Roman" w:cs="Times New Roman"/>
          <w:b w:val="0"/>
          <w:bCs/>
          <w:i/>
          <w:iCs/>
          <w:sz w:val="22"/>
        </w:rPr>
        <w:t>La banlieue en morceaux.</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La crise des lotissements défectueux en France dans l'entre-deux-guerres</w:t>
      </w:r>
      <w:r w:rsidRPr="007E18BA">
        <w:rPr>
          <w:rFonts w:ascii="Times New Roman" w:hAnsi="Times New Roman" w:cs="Times New Roman"/>
          <w:b w:val="0"/>
          <w:bCs/>
          <w:sz w:val="22"/>
        </w:rPr>
        <w:t>, Paris, Créaphis, 2000.</w:t>
      </w:r>
    </w:p>
    <w:p w14:paraId="0E847C07"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Annie Fourcaut, Emmanuel Bellanger et Mathieu Flonneau (dir.), </w:t>
      </w:r>
      <w:r w:rsidRPr="007E18BA">
        <w:rPr>
          <w:rFonts w:ascii="Times New Roman" w:hAnsi="Times New Roman" w:cs="Times New Roman"/>
          <w:b w:val="0"/>
          <w:bCs/>
          <w:i/>
          <w:iCs/>
          <w:sz w:val="22"/>
        </w:rPr>
        <w:t>Paris/Banlieues. Conflits et solidarités. Historiographie, anthologie, chronologie 1788-2006</w:t>
      </w:r>
      <w:r w:rsidRPr="007E18BA">
        <w:rPr>
          <w:rFonts w:ascii="Times New Roman" w:hAnsi="Times New Roman" w:cs="Times New Roman"/>
          <w:b w:val="0"/>
          <w:bCs/>
          <w:sz w:val="22"/>
        </w:rPr>
        <w:t>, Paris, Créaphis, 2007.</w:t>
      </w:r>
    </w:p>
    <w:p w14:paraId="0B96D756"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Nancy Green, </w:t>
      </w:r>
      <w:r w:rsidRPr="007E18BA">
        <w:rPr>
          <w:rStyle w:val="Accentuation"/>
          <w:rFonts w:ascii="Times New Roman" w:hAnsi="Times New Roman" w:cs="Times New Roman"/>
          <w:b w:val="0"/>
          <w:bCs/>
          <w:sz w:val="22"/>
        </w:rPr>
        <w:t>Les travailleurs immigrés juifs à la Belle Époque. Le « Pletzl » de Paris</w:t>
      </w:r>
      <w:r w:rsidRPr="007E18BA">
        <w:rPr>
          <w:rFonts w:ascii="Times New Roman" w:hAnsi="Times New Roman" w:cs="Times New Roman"/>
          <w:b w:val="0"/>
          <w:bCs/>
          <w:sz w:val="22"/>
        </w:rPr>
        <w:t>, Paris, Fayard, 1985.</w:t>
      </w:r>
    </w:p>
    <w:p w14:paraId="34CFB9F6"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Gérard Jacquemet, </w:t>
      </w:r>
      <w:r w:rsidRPr="007E18BA">
        <w:rPr>
          <w:rFonts w:ascii="Times New Roman" w:hAnsi="Times New Roman" w:cs="Times New Roman"/>
          <w:b w:val="0"/>
          <w:bCs/>
          <w:i/>
          <w:iCs/>
          <w:sz w:val="22"/>
        </w:rPr>
        <w:t>Belleville au XIX</w:t>
      </w:r>
      <w:r w:rsidRPr="007E18BA">
        <w:rPr>
          <w:rFonts w:ascii="Times New Roman" w:hAnsi="Times New Roman" w:cs="Times New Roman"/>
          <w:b w:val="0"/>
          <w:bCs/>
          <w:i/>
          <w:iCs/>
          <w:sz w:val="22"/>
          <w:vertAlign w:val="superscript"/>
        </w:rPr>
        <w:t>e</w:t>
      </w:r>
      <w:r w:rsidRPr="007E18BA">
        <w:rPr>
          <w:rFonts w:ascii="Times New Roman" w:hAnsi="Times New Roman" w:cs="Times New Roman"/>
          <w:b w:val="0"/>
          <w:bCs/>
          <w:i/>
          <w:iCs/>
          <w:sz w:val="22"/>
        </w:rPr>
        <w:t> s. Du faubourg à la ville</w:t>
      </w:r>
      <w:r w:rsidRPr="007E18BA">
        <w:rPr>
          <w:rFonts w:ascii="Times New Roman" w:hAnsi="Times New Roman" w:cs="Times New Roman"/>
          <w:b w:val="0"/>
          <w:bCs/>
          <w:sz w:val="22"/>
        </w:rPr>
        <w:t>, Paris, éd. de l’EHESS, 1984.</w:t>
      </w:r>
    </w:p>
    <w:p w14:paraId="201DE34B"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Pierre Pinon, </w:t>
      </w:r>
      <w:r w:rsidRPr="007E18BA">
        <w:rPr>
          <w:rFonts w:ascii="Times New Roman" w:hAnsi="Times New Roman" w:cs="Times New Roman"/>
          <w:b w:val="0"/>
          <w:bCs/>
          <w:i/>
          <w:iCs/>
          <w:sz w:val="22"/>
        </w:rPr>
        <w:t>Atlas du Paris haussmannien</w:t>
      </w:r>
      <w:r w:rsidRPr="007E18BA">
        <w:rPr>
          <w:rFonts w:ascii="Times New Roman" w:hAnsi="Times New Roman" w:cs="Times New Roman"/>
          <w:b w:val="0"/>
          <w:bCs/>
          <w:sz w:val="22"/>
        </w:rPr>
        <w:t>, Paris, Parigramme, 2023.</w:t>
      </w:r>
    </w:p>
    <w:p w14:paraId="35A56E51"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Thomas Leroux, </w:t>
      </w:r>
      <w:r w:rsidRPr="007E18BA">
        <w:rPr>
          <w:rFonts w:ascii="Times New Roman" w:hAnsi="Times New Roman" w:cs="Times New Roman"/>
          <w:b w:val="0"/>
          <w:bCs/>
          <w:i/>
          <w:iCs/>
          <w:sz w:val="22"/>
        </w:rPr>
        <w:t>Les Paris de l’industrie. 1750-1920</w:t>
      </w:r>
      <w:r w:rsidRPr="007E18BA">
        <w:rPr>
          <w:rFonts w:ascii="Times New Roman" w:hAnsi="Times New Roman" w:cs="Times New Roman"/>
          <w:b w:val="0"/>
          <w:bCs/>
          <w:sz w:val="22"/>
        </w:rPr>
        <w:t>, Paris, Créaphis, 2016.</w:t>
      </w:r>
    </w:p>
    <w:p w14:paraId="2685EA80"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Christian Topalov et Susanna Magri (dir.), </w:t>
      </w:r>
      <w:r w:rsidRPr="007E18BA">
        <w:rPr>
          <w:rFonts w:ascii="Times New Roman" w:hAnsi="Times New Roman" w:cs="Times New Roman"/>
          <w:b w:val="0"/>
          <w:bCs/>
          <w:i/>
          <w:iCs/>
          <w:sz w:val="22"/>
        </w:rPr>
        <w:t>Villes ouvrières. 1900-1950</w:t>
      </w:r>
      <w:r w:rsidRPr="007E18BA">
        <w:rPr>
          <w:rFonts w:ascii="Times New Roman" w:hAnsi="Times New Roman" w:cs="Times New Roman"/>
          <w:b w:val="0"/>
          <w:bCs/>
          <w:sz w:val="22"/>
        </w:rPr>
        <w:t>, L’Harmattan, 1989 (1</w:t>
      </w:r>
      <w:r w:rsidRPr="007E18BA">
        <w:rPr>
          <w:rFonts w:ascii="Times New Roman" w:hAnsi="Times New Roman" w:cs="Times New Roman"/>
          <w:b w:val="0"/>
          <w:bCs/>
          <w:sz w:val="22"/>
          <w:vertAlign w:val="superscript"/>
        </w:rPr>
        <w:t>ère</w:t>
      </w:r>
      <w:r w:rsidRPr="007E18BA">
        <w:rPr>
          <w:rFonts w:ascii="Times New Roman" w:hAnsi="Times New Roman" w:cs="Times New Roman"/>
          <w:b w:val="0"/>
          <w:bCs/>
          <w:sz w:val="22"/>
        </w:rPr>
        <w:t xml:space="preserve"> édition).</w:t>
      </w:r>
    </w:p>
    <w:p w14:paraId="7A81F881" w14:textId="77777777" w:rsidR="0036069A" w:rsidRPr="007E18BA" w:rsidRDefault="0036069A" w:rsidP="0036069A">
      <w:pPr>
        <w:tabs>
          <w:tab w:val="left" w:pos="2426"/>
          <w:tab w:val="right" w:pos="9066"/>
        </w:tabs>
        <w:spacing w:before="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Claire Zalc, </w:t>
      </w:r>
      <w:r w:rsidRPr="007E18BA">
        <w:rPr>
          <w:rFonts w:ascii="Times New Roman" w:hAnsi="Times New Roman" w:cs="Times New Roman"/>
          <w:b w:val="0"/>
          <w:bCs/>
          <w:i/>
          <w:iCs/>
          <w:sz w:val="22"/>
        </w:rPr>
        <w:t>Melting shops. Une histoire des commerçants étrangers en France</w:t>
      </w:r>
      <w:r w:rsidRPr="007E18BA">
        <w:rPr>
          <w:rFonts w:ascii="Times New Roman" w:hAnsi="Times New Roman" w:cs="Times New Roman"/>
          <w:b w:val="0"/>
          <w:bCs/>
          <w:sz w:val="22"/>
        </w:rPr>
        <w:t>, Paris, Perrin, 2010.</w:t>
      </w:r>
    </w:p>
    <w:p w14:paraId="40091D5E" w14:textId="77777777" w:rsidR="00506D9A" w:rsidRPr="007E18BA" w:rsidRDefault="00506D9A" w:rsidP="00114E87">
      <w:pPr>
        <w:rPr>
          <w:rFonts w:ascii="Cambria" w:hAnsi="Cambria" w:cs="Times New Roman"/>
          <w:b w:val="0"/>
          <w:bCs/>
          <w:sz w:val="22"/>
        </w:rPr>
      </w:pPr>
    </w:p>
    <w:p w14:paraId="16E120C7" w14:textId="77777777" w:rsidR="00506D9A" w:rsidRPr="007E18BA" w:rsidRDefault="00506D9A" w:rsidP="00114E87">
      <w:pPr>
        <w:rPr>
          <w:rFonts w:ascii="Cambria" w:hAnsi="Cambria" w:cs="Times New Roman"/>
          <w:b w:val="0"/>
          <w:bCs/>
          <w:sz w:val="22"/>
        </w:rPr>
      </w:pPr>
    </w:p>
    <w:p w14:paraId="546C4BDC" w14:textId="77777777" w:rsidR="00506D9A" w:rsidRPr="007E18BA" w:rsidRDefault="00506D9A" w:rsidP="00114E87">
      <w:pPr>
        <w:rPr>
          <w:rFonts w:ascii="Cambria" w:hAnsi="Cambria" w:cs="Times New Roman"/>
          <w:b w:val="0"/>
          <w:bCs/>
          <w:sz w:val="22"/>
        </w:rPr>
      </w:pPr>
    </w:p>
    <w:p w14:paraId="79351AC4" w14:textId="77777777" w:rsidR="00506D9A" w:rsidRPr="007E18BA" w:rsidRDefault="00506D9A" w:rsidP="00114E87">
      <w:pPr>
        <w:rPr>
          <w:rFonts w:ascii="Cambria" w:hAnsi="Cambria" w:cs="Times New Roman"/>
          <w:b w:val="0"/>
          <w:bCs/>
          <w:sz w:val="22"/>
        </w:rPr>
      </w:pPr>
    </w:p>
    <w:p w14:paraId="09A94715" w14:textId="77777777" w:rsidR="00506D9A" w:rsidRPr="007E18BA" w:rsidRDefault="00506D9A" w:rsidP="00114E87">
      <w:pPr>
        <w:rPr>
          <w:rFonts w:ascii="Cambria" w:hAnsi="Cambria" w:cs="Times New Roman"/>
          <w:b w:val="0"/>
          <w:bCs/>
          <w:sz w:val="22"/>
        </w:rPr>
      </w:pPr>
    </w:p>
    <w:p w14:paraId="5259919C" w14:textId="77777777" w:rsidR="00506D9A" w:rsidRPr="007E18BA" w:rsidRDefault="00506D9A" w:rsidP="00114E87">
      <w:pPr>
        <w:rPr>
          <w:rFonts w:ascii="Cambria" w:hAnsi="Cambria" w:cs="Times New Roman"/>
          <w:sz w:val="22"/>
        </w:rPr>
      </w:pPr>
    </w:p>
    <w:p w14:paraId="4FD237ED" w14:textId="77777777" w:rsidR="00506D9A" w:rsidRPr="007E18BA" w:rsidRDefault="00506D9A" w:rsidP="00114E87">
      <w:pPr>
        <w:rPr>
          <w:rFonts w:ascii="Cambria" w:hAnsi="Cambria" w:cs="Times New Roman"/>
          <w:sz w:val="22"/>
        </w:rPr>
      </w:pPr>
    </w:p>
    <w:p w14:paraId="0FA37319" w14:textId="77777777" w:rsidR="00506D9A" w:rsidRPr="007E18BA" w:rsidRDefault="00506D9A" w:rsidP="00114E87">
      <w:pPr>
        <w:rPr>
          <w:rFonts w:ascii="Cambria" w:hAnsi="Cambria" w:cs="Times New Roman"/>
          <w:sz w:val="22"/>
        </w:rPr>
      </w:pPr>
    </w:p>
    <w:p w14:paraId="220A4BB3" w14:textId="77777777" w:rsidR="00506D9A" w:rsidRPr="007E18BA" w:rsidRDefault="00506D9A" w:rsidP="00114E87">
      <w:pPr>
        <w:rPr>
          <w:rFonts w:ascii="Cambria" w:hAnsi="Cambria" w:cs="Times New Roman"/>
          <w:sz w:val="22"/>
        </w:rPr>
      </w:pPr>
    </w:p>
    <w:p w14:paraId="2223B163" w14:textId="77777777" w:rsidR="00506D9A" w:rsidRPr="007E18BA" w:rsidRDefault="00506D9A" w:rsidP="00114E87">
      <w:pPr>
        <w:rPr>
          <w:rFonts w:ascii="Cambria" w:hAnsi="Cambria" w:cs="Times New Roman"/>
          <w:sz w:val="22"/>
        </w:rPr>
      </w:pPr>
    </w:p>
    <w:p w14:paraId="42DF5893" w14:textId="77777777" w:rsidR="00506D9A" w:rsidRPr="007E18BA" w:rsidRDefault="00506D9A" w:rsidP="00114E87">
      <w:pPr>
        <w:rPr>
          <w:rFonts w:ascii="Cambria" w:hAnsi="Cambria" w:cs="Times New Roman"/>
          <w:sz w:val="22"/>
        </w:rPr>
      </w:pPr>
    </w:p>
    <w:p w14:paraId="2F3FEAEF" w14:textId="77777777" w:rsidR="00506D9A" w:rsidRPr="007E18BA" w:rsidRDefault="00506D9A" w:rsidP="00114E87">
      <w:pPr>
        <w:rPr>
          <w:rFonts w:ascii="Cambria" w:hAnsi="Cambria" w:cs="Times New Roman"/>
          <w:sz w:val="22"/>
        </w:rPr>
      </w:pPr>
    </w:p>
    <w:p w14:paraId="105A9177" w14:textId="77777777" w:rsidR="00506D9A" w:rsidRPr="007E18BA" w:rsidRDefault="00506D9A" w:rsidP="00114E87">
      <w:pPr>
        <w:rPr>
          <w:rFonts w:ascii="Cambria" w:hAnsi="Cambria" w:cs="Times New Roman"/>
          <w:sz w:val="22"/>
        </w:rPr>
      </w:pPr>
    </w:p>
    <w:p w14:paraId="60059905" w14:textId="77777777" w:rsidR="00506D9A" w:rsidRPr="007E18BA" w:rsidRDefault="00506D9A" w:rsidP="00114E87">
      <w:pPr>
        <w:rPr>
          <w:rFonts w:ascii="Cambria" w:hAnsi="Cambria" w:cs="Times New Roman"/>
          <w:sz w:val="22"/>
        </w:rPr>
      </w:pPr>
    </w:p>
    <w:p w14:paraId="23D895AB" w14:textId="77777777" w:rsidR="00506D9A" w:rsidRPr="007E18BA" w:rsidRDefault="00506D9A" w:rsidP="00114E87">
      <w:pPr>
        <w:rPr>
          <w:rFonts w:ascii="Cambria" w:hAnsi="Cambria" w:cs="Times New Roman"/>
          <w:sz w:val="22"/>
        </w:rPr>
      </w:pPr>
    </w:p>
    <w:p w14:paraId="5FA0958B" w14:textId="77777777" w:rsidR="00506D9A" w:rsidRPr="007E18BA" w:rsidRDefault="00506D9A" w:rsidP="00114E87">
      <w:pPr>
        <w:rPr>
          <w:rFonts w:ascii="Cambria" w:hAnsi="Cambria" w:cs="Times New Roman"/>
          <w:sz w:val="22"/>
        </w:rPr>
      </w:pPr>
    </w:p>
    <w:p w14:paraId="47B54015" w14:textId="77777777" w:rsidR="00506D9A" w:rsidRPr="007E18BA" w:rsidRDefault="00506D9A" w:rsidP="00114E87">
      <w:pPr>
        <w:rPr>
          <w:rFonts w:ascii="Cambria" w:hAnsi="Cambria" w:cs="Times New Roman"/>
          <w:sz w:val="22"/>
        </w:rPr>
      </w:pPr>
    </w:p>
    <w:p w14:paraId="2CC7F6BC" w14:textId="77777777" w:rsidR="00506D9A" w:rsidRPr="007E18BA" w:rsidRDefault="00506D9A" w:rsidP="00114E87">
      <w:pPr>
        <w:rPr>
          <w:rFonts w:ascii="Cambria" w:hAnsi="Cambria" w:cs="Times New Roman"/>
          <w:sz w:val="22"/>
        </w:rPr>
      </w:pPr>
    </w:p>
    <w:p w14:paraId="5FCC8ECE" w14:textId="77777777" w:rsidR="00506D9A" w:rsidRPr="007E18BA" w:rsidRDefault="00506D9A" w:rsidP="00114E87">
      <w:pPr>
        <w:rPr>
          <w:rFonts w:ascii="Cambria" w:hAnsi="Cambria" w:cs="Times New Roman"/>
          <w:sz w:val="22"/>
        </w:rPr>
      </w:pPr>
    </w:p>
    <w:p w14:paraId="1AA561BC" w14:textId="77777777" w:rsidR="00AA2CF1" w:rsidRPr="007E18BA" w:rsidRDefault="00AA2CF1" w:rsidP="00114E87">
      <w:pPr>
        <w:rPr>
          <w:rFonts w:ascii="Cambria" w:hAnsi="Cambria" w:cs="Times New Roman"/>
          <w:sz w:val="22"/>
        </w:rPr>
      </w:pPr>
    </w:p>
    <w:p w14:paraId="711D20DC" w14:textId="77777777" w:rsidR="00AA2CF1" w:rsidRPr="007223DB" w:rsidRDefault="00AA2CF1" w:rsidP="00114E87">
      <w:pPr>
        <w:rPr>
          <w:rFonts w:ascii="Cambria" w:hAnsi="Cambria" w:cs="Times New Roman"/>
        </w:rPr>
      </w:pPr>
    </w:p>
    <w:p w14:paraId="7EF02B56" w14:textId="77777777" w:rsidR="00AA2CF1" w:rsidRPr="007223DB" w:rsidRDefault="00AA2CF1" w:rsidP="00114E87">
      <w:pPr>
        <w:rPr>
          <w:rFonts w:ascii="Cambria" w:hAnsi="Cambria" w:cs="Times New Roman"/>
        </w:rPr>
      </w:pPr>
    </w:p>
    <w:p w14:paraId="7B206721" w14:textId="77777777" w:rsidR="00DF3D38" w:rsidRPr="007223DB" w:rsidRDefault="00DF3D38" w:rsidP="00885106">
      <w:pPr>
        <w:spacing w:after="0" w:line="276" w:lineRule="auto"/>
        <w:contextualSpacing/>
        <w:jc w:val="both"/>
        <w:rPr>
          <w:rFonts w:ascii="Cambria" w:hAnsi="Cambria" w:cs="Times New Roman"/>
          <w:b w:val="0"/>
          <w:sz w:val="22"/>
        </w:rPr>
      </w:pPr>
    </w:p>
    <w:p w14:paraId="350CEAA4" w14:textId="77777777" w:rsidR="00F05730" w:rsidRPr="007223DB" w:rsidRDefault="00F05730" w:rsidP="00885106">
      <w:pPr>
        <w:spacing w:after="0" w:line="276" w:lineRule="auto"/>
        <w:contextualSpacing/>
        <w:jc w:val="both"/>
        <w:rPr>
          <w:rFonts w:ascii="Cambria" w:hAnsi="Cambria" w:cs="Times New Roman"/>
          <w:b w:val="0"/>
          <w:sz w:val="22"/>
        </w:rPr>
      </w:pPr>
    </w:p>
    <w:p w14:paraId="49A14660" w14:textId="77777777" w:rsidR="00F05730" w:rsidRPr="007223DB" w:rsidRDefault="00F05730" w:rsidP="00885106">
      <w:pPr>
        <w:spacing w:after="0" w:line="276" w:lineRule="auto"/>
        <w:contextualSpacing/>
        <w:jc w:val="both"/>
        <w:rPr>
          <w:rFonts w:ascii="Cambria" w:hAnsi="Cambria" w:cs="Times New Roman"/>
          <w:b w:val="0"/>
          <w:sz w:val="22"/>
        </w:rPr>
      </w:pPr>
    </w:p>
    <w:p w14:paraId="5EADBC30" w14:textId="77777777" w:rsidR="00F05730" w:rsidRPr="007223DB" w:rsidRDefault="00F05730" w:rsidP="00885106">
      <w:pPr>
        <w:spacing w:after="0" w:line="276" w:lineRule="auto"/>
        <w:contextualSpacing/>
        <w:jc w:val="both"/>
        <w:rPr>
          <w:rFonts w:ascii="Cambria" w:hAnsi="Cambria" w:cs="Times New Roman"/>
          <w:b w:val="0"/>
          <w:sz w:val="22"/>
        </w:rPr>
      </w:pPr>
    </w:p>
    <w:p w14:paraId="40F59E39" w14:textId="77777777" w:rsidR="0006566E" w:rsidRPr="007223DB" w:rsidRDefault="0006566E" w:rsidP="00885106">
      <w:pPr>
        <w:spacing w:after="0" w:line="276" w:lineRule="auto"/>
        <w:contextualSpacing/>
        <w:jc w:val="both"/>
        <w:rPr>
          <w:rFonts w:ascii="Cambria" w:hAnsi="Cambria" w:cs="Times New Roman"/>
          <w:b w:val="0"/>
          <w:sz w:val="22"/>
        </w:rPr>
      </w:pPr>
    </w:p>
    <w:p w14:paraId="595D7616" w14:textId="77777777" w:rsidR="0006566E" w:rsidRDefault="0006566E" w:rsidP="00885106">
      <w:pPr>
        <w:spacing w:after="0" w:line="276" w:lineRule="auto"/>
        <w:contextualSpacing/>
        <w:jc w:val="both"/>
        <w:rPr>
          <w:rFonts w:ascii="Cambria" w:hAnsi="Cambria" w:cs="Times New Roman"/>
          <w:b w:val="0"/>
          <w:sz w:val="22"/>
        </w:rPr>
      </w:pPr>
    </w:p>
    <w:p w14:paraId="37672F7F" w14:textId="77777777" w:rsidR="001B00BA" w:rsidRDefault="001B00BA" w:rsidP="00885106">
      <w:pPr>
        <w:spacing w:after="0" w:line="276" w:lineRule="auto"/>
        <w:contextualSpacing/>
        <w:jc w:val="both"/>
        <w:rPr>
          <w:rFonts w:ascii="Cambria" w:hAnsi="Cambria" w:cs="Times New Roman"/>
          <w:b w:val="0"/>
          <w:sz w:val="22"/>
        </w:rPr>
      </w:pPr>
    </w:p>
    <w:p w14:paraId="6DF8629B" w14:textId="77777777" w:rsidR="001B00BA" w:rsidRDefault="001B00BA" w:rsidP="00885106">
      <w:pPr>
        <w:spacing w:after="0" w:line="276" w:lineRule="auto"/>
        <w:contextualSpacing/>
        <w:jc w:val="both"/>
        <w:rPr>
          <w:rFonts w:ascii="Cambria" w:hAnsi="Cambria" w:cs="Times New Roman"/>
          <w:b w:val="0"/>
          <w:sz w:val="22"/>
        </w:rPr>
      </w:pPr>
    </w:p>
    <w:p w14:paraId="2A92C1F6" w14:textId="77777777" w:rsidR="001B00BA" w:rsidRDefault="001B00BA" w:rsidP="00885106">
      <w:pPr>
        <w:spacing w:after="0" w:line="276" w:lineRule="auto"/>
        <w:contextualSpacing/>
        <w:jc w:val="both"/>
        <w:rPr>
          <w:rFonts w:ascii="Cambria" w:hAnsi="Cambria" w:cs="Times New Roman"/>
          <w:b w:val="0"/>
          <w:sz w:val="22"/>
        </w:rPr>
      </w:pPr>
    </w:p>
    <w:p w14:paraId="20445B1A" w14:textId="77777777" w:rsidR="001B00BA" w:rsidRDefault="001B00BA" w:rsidP="00885106">
      <w:pPr>
        <w:spacing w:after="0" w:line="276" w:lineRule="auto"/>
        <w:contextualSpacing/>
        <w:jc w:val="both"/>
        <w:rPr>
          <w:rFonts w:ascii="Cambria" w:hAnsi="Cambria" w:cs="Times New Roman"/>
          <w:b w:val="0"/>
          <w:sz w:val="22"/>
        </w:rPr>
      </w:pPr>
    </w:p>
    <w:p w14:paraId="1CEBE902" w14:textId="77777777" w:rsidR="001B00BA" w:rsidRDefault="001B00BA" w:rsidP="00885106">
      <w:pPr>
        <w:spacing w:after="0" w:line="276" w:lineRule="auto"/>
        <w:contextualSpacing/>
        <w:jc w:val="both"/>
        <w:rPr>
          <w:rFonts w:ascii="Cambria" w:hAnsi="Cambria" w:cs="Times New Roman"/>
          <w:b w:val="0"/>
          <w:sz w:val="22"/>
        </w:rPr>
      </w:pPr>
    </w:p>
    <w:p w14:paraId="13C790AB" w14:textId="77777777" w:rsidR="001B00BA" w:rsidRDefault="001B00BA" w:rsidP="00885106">
      <w:pPr>
        <w:spacing w:after="0" w:line="276" w:lineRule="auto"/>
        <w:contextualSpacing/>
        <w:jc w:val="both"/>
        <w:rPr>
          <w:rFonts w:ascii="Cambria" w:hAnsi="Cambria" w:cs="Times New Roman"/>
          <w:b w:val="0"/>
          <w:sz w:val="22"/>
        </w:rPr>
      </w:pPr>
    </w:p>
    <w:p w14:paraId="78A390BF" w14:textId="77777777" w:rsidR="001B00BA" w:rsidRDefault="001B00BA" w:rsidP="00885106">
      <w:pPr>
        <w:spacing w:after="0" w:line="276" w:lineRule="auto"/>
        <w:contextualSpacing/>
        <w:jc w:val="both"/>
        <w:rPr>
          <w:rFonts w:ascii="Cambria" w:hAnsi="Cambria" w:cs="Times New Roman"/>
          <w:b w:val="0"/>
          <w:sz w:val="22"/>
        </w:rPr>
      </w:pPr>
    </w:p>
    <w:p w14:paraId="0FA6D078" w14:textId="77777777" w:rsidR="001B00BA" w:rsidRDefault="001B00BA" w:rsidP="00885106">
      <w:pPr>
        <w:spacing w:after="0" w:line="276" w:lineRule="auto"/>
        <w:contextualSpacing/>
        <w:jc w:val="both"/>
        <w:rPr>
          <w:rFonts w:ascii="Cambria" w:hAnsi="Cambria" w:cs="Times New Roman"/>
          <w:b w:val="0"/>
          <w:sz w:val="22"/>
        </w:rPr>
      </w:pPr>
    </w:p>
    <w:p w14:paraId="25D4FA69" w14:textId="77777777" w:rsidR="001B00BA" w:rsidRDefault="001B00BA" w:rsidP="00885106">
      <w:pPr>
        <w:spacing w:after="0" w:line="276" w:lineRule="auto"/>
        <w:contextualSpacing/>
        <w:jc w:val="both"/>
        <w:rPr>
          <w:rFonts w:ascii="Cambria" w:hAnsi="Cambria" w:cs="Times New Roman"/>
          <w:b w:val="0"/>
          <w:sz w:val="22"/>
        </w:rPr>
      </w:pPr>
    </w:p>
    <w:p w14:paraId="25C58B07" w14:textId="77777777" w:rsidR="001B00BA" w:rsidRDefault="001B00BA" w:rsidP="00885106">
      <w:pPr>
        <w:spacing w:after="0" w:line="276" w:lineRule="auto"/>
        <w:contextualSpacing/>
        <w:jc w:val="both"/>
        <w:rPr>
          <w:rFonts w:ascii="Cambria" w:hAnsi="Cambria" w:cs="Times New Roman"/>
          <w:b w:val="0"/>
          <w:sz w:val="22"/>
        </w:rPr>
      </w:pPr>
    </w:p>
    <w:p w14:paraId="316A5047" w14:textId="77777777" w:rsidR="001B00BA" w:rsidRDefault="001B00BA" w:rsidP="00885106">
      <w:pPr>
        <w:spacing w:after="0" w:line="276" w:lineRule="auto"/>
        <w:contextualSpacing/>
        <w:jc w:val="both"/>
        <w:rPr>
          <w:rFonts w:ascii="Cambria" w:hAnsi="Cambria" w:cs="Times New Roman"/>
          <w:b w:val="0"/>
          <w:sz w:val="22"/>
        </w:rPr>
      </w:pPr>
    </w:p>
    <w:p w14:paraId="68401778" w14:textId="77777777" w:rsidR="001B00BA" w:rsidRDefault="001B00BA" w:rsidP="00885106">
      <w:pPr>
        <w:spacing w:after="0" w:line="276" w:lineRule="auto"/>
        <w:contextualSpacing/>
        <w:jc w:val="both"/>
        <w:rPr>
          <w:rFonts w:ascii="Cambria" w:hAnsi="Cambria" w:cs="Times New Roman"/>
          <w:b w:val="0"/>
          <w:sz w:val="22"/>
        </w:rPr>
      </w:pPr>
    </w:p>
    <w:p w14:paraId="6294266F" w14:textId="77777777" w:rsidR="001B00BA" w:rsidRDefault="001B00BA" w:rsidP="00885106">
      <w:pPr>
        <w:spacing w:after="0" w:line="276" w:lineRule="auto"/>
        <w:contextualSpacing/>
        <w:jc w:val="both"/>
        <w:rPr>
          <w:rFonts w:ascii="Cambria" w:hAnsi="Cambria" w:cs="Times New Roman"/>
          <w:b w:val="0"/>
          <w:sz w:val="22"/>
        </w:rPr>
      </w:pPr>
    </w:p>
    <w:p w14:paraId="7A81C606" w14:textId="77777777" w:rsidR="001B00BA" w:rsidRDefault="001B00BA" w:rsidP="00885106">
      <w:pPr>
        <w:spacing w:after="0" w:line="276" w:lineRule="auto"/>
        <w:contextualSpacing/>
        <w:jc w:val="both"/>
        <w:rPr>
          <w:rFonts w:ascii="Cambria" w:hAnsi="Cambria" w:cs="Times New Roman"/>
          <w:b w:val="0"/>
          <w:sz w:val="22"/>
        </w:rPr>
      </w:pPr>
    </w:p>
    <w:p w14:paraId="36C657B7" w14:textId="77777777" w:rsidR="001B00BA" w:rsidRDefault="001B00BA" w:rsidP="00885106">
      <w:pPr>
        <w:spacing w:after="0" w:line="276" w:lineRule="auto"/>
        <w:contextualSpacing/>
        <w:jc w:val="both"/>
        <w:rPr>
          <w:rFonts w:ascii="Cambria" w:hAnsi="Cambria" w:cs="Times New Roman"/>
          <w:b w:val="0"/>
          <w:sz w:val="22"/>
        </w:rPr>
      </w:pPr>
    </w:p>
    <w:p w14:paraId="48C3DE9D" w14:textId="77777777" w:rsidR="001B00BA" w:rsidRDefault="001B00BA" w:rsidP="00885106">
      <w:pPr>
        <w:spacing w:after="0" w:line="276" w:lineRule="auto"/>
        <w:contextualSpacing/>
        <w:jc w:val="both"/>
        <w:rPr>
          <w:rFonts w:ascii="Cambria" w:hAnsi="Cambria" w:cs="Times New Roman"/>
          <w:b w:val="0"/>
          <w:sz w:val="22"/>
        </w:rPr>
      </w:pPr>
    </w:p>
    <w:p w14:paraId="3A7D2642" w14:textId="77777777" w:rsidR="001B00BA" w:rsidRDefault="001B00BA" w:rsidP="00885106">
      <w:pPr>
        <w:spacing w:after="0" w:line="276" w:lineRule="auto"/>
        <w:contextualSpacing/>
        <w:jc w:val="both"/>
        <w:rPr>
          <w:rFonts w:ascii="Cambria" w:hAnsi="Cambria" w:cs="Times New Roman"/>
          <w:b w:val="0"/>
          <w:sz w:val="22"/>
        </w:rPr>
      </w:pPr>
    </w:p>
    <w:p w14:paraId="7B88FCB8" w14:textId="77777777" w:rsidR="001B00BA" w:rsidRDefault="001B00BA" w:rsidP="00885106">
      <w:pPr>
        <w:spacing w:after="0" w:line="276" w:lineRule="auto"/>
        <w:contextualSpacing/>
        <w:jc w:val="both"/>
        <w:rPr>
          <w:rFonts w:ascii="Cambria" w:hAnsi="Cambria" w:cs="Times New Roman"/>
          <w:b w:val="0"/>
          <w:sz w:val="22"/>
        </w:rPr>
      </w:pPr>
    </w:p>
    <w:p w14:paraId="216BF5CD" w14:textId="77777777" w:rsidR="001B00BA" w:rsidRDefault="001B00BA" w:rsidP="00885106">
      <w:pPr>
        <w:spacing w:after="0" w:line="276" w:lineRule="auto"/>
        <w:contextualSpacing/>
        <w:jc w:val="both"/>
        <w:rPr>
          <w:rFonts w:ascii="Cambria" w:hAnsi="Cambria" w:cs="Times New Roman"/>
          <w:b w:val="0"/>
          <w:sz w:val="22"/>
        </w:rPr>
      </w:pPr>
    </w:p>
    <w:p w14:paraId="2A8B8049" w14:textId="77777777" w:rsidR="001B00BA" w:rsidRDefault="001B00BA" w:rsidP="00885106">
      <w:pPr>
        <w:spacing w:after="0" w:line="276" w:lineRule="auto"/>
        <w:contextualSpacing/>
        <w:jc w:val="both"/>
        <w:rPr>
          <w:rFonts w:ascii="Cambria" w:hAnsi="Cambria" w:cs="Times New Roman"/>
          <w:b w:val="0"/>
          <w:sz w:val="22"/>
        </w:rPr>
      </w:pPr>
    </w:p>
    <w:p w14:paraId="5BE88973" w14:textId="77777777" w:rsidR="001B00BA" w:rsidRPr="007223DB" w:rsidRDefault="001B00BA" w:rsidP="00885106">
      <w:pPr>
        <w:spacing w:after="0" w:line="276" w:lineRule="auto"/>
        <w:contextualSpacing/>
        <w:jc w:val="both"/>
        <w:rPr>
          <w:rFonts w:ascii="Cambria" w:hAnsi="Cambria" w:cs="Times New Roman"/>
          <w:b w:val="0"/>
          <w:sz w:val="22"/>
        </w:rPr>
      </w:pPr>
    </w:p>
    <w:p w14:paraId="0DF8C6A9" w14:textId="77777777" w:rsidR="0006566E" w:rsidRDefault="0006566E" w:rsidP="00885106">
      <w:pPr>
        <w:spacing w:after="0" w:line="276" w:lineRule="auto"/>
        <w:contextualSpacing/>
        <w:jc w:val="both"/>
        <w:rPr>
          <w:rFonts w:ascii="Cambria" w:hAnsi="Cambria" w:cs="Times New Roman"/>
          <w:b w:val="0"/>
          <w:sz w:val="22"/>
        </w:rPr>
      </w:pPr>
    </w:p>
    <w:p w14:paraId="5DD9796B" w14:textId="77777777" w:rsidR="008D65C6" w:rsidRPr="007223DB" w:rsidRDefault="008D65C6" w:rsidP="00885106">
      <w:pPr>
        <w:spacing w:after="0" w:line="276" w:lineRule="auto"/>
        <w:contextualSpacing/>
        <w:jc w:val="both"/>
        <w:rPr>
          <w:rFonts w:ascii="Cambria" w:hAnsi="Cambria" w:cs="Times New Roman"/>
          <w:b w:val="0"/>
          <w:sz w:val="22"/>
        </w:rPr>
      </w:pPr>
    </w:p>
    <w:p w14:paraId="25215D0B" w14:textId="77777777" w:rsidR="00CB729D" w:rsidRPr="007223DB" w:rsidRDefault="00CB729D" w:rsidP="00885106">
      <w:pPr>
        <w:spacing w:after="0" w:line="276" w:lineRule="auto"/>
        <w:contextualSpacing/>
        <w:jc w:val="both"/>
        <w:rPr>
          <w:rFonts w:ascii="Cambria" w:hAnsi="Cambria"/>
          <w:b w:val="0"/>
          <w:sz w:val="22"/>
        </w:rPr>
      </w:pPr>
    </w:p>
    <w:p w14:paraId="0BFB32CF" w14:textId="77777777" w:rsidR="004B2A46" w:rsidRPr="007223DB" w:rsidRDefault="00360373" w:rsidP="004B2A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J3040919</w:t>
      </w:r>
      <w:r w:rsidR="004B2A46" w:rsidRPr="007223DB">
        <w:rPr>
          <w:rFonts w:ascii="Cambria" w:hAnsi="Cambria"/>
          <w:i/>
          <w:color w:val="C00000"/>
          <w:sz w:val="28"/>
          <w:szCs w:val="28"/>
          <w:lang w:eastAsia="fr-FR"/>
        </w:rPr>
        <w:t>/</w:t>
      </w:r>
      <w:r w:rsidR="00624055" w:rsidRPr="007223DB">
        <w:rPr>
          <w:rFonts w:ascii="Cambria" w:hAnsi="Cambria"/>
          <w:i/>
          <w:color w:val="C00000"/>
          <w:sz w:val="28"/>
          <w:szCs w:val="28"/>
          <w:lang w:eastAsia="fr-FR"/>
        </w:rPr>
        <w:t>J3041019</w:t>
      </w:r>
      <w:r w:rsidR="004B2A46" w:rsidRPr="007223DB">
        <w:rPr>
          <w:rFonts w:ascii="Cambria" w:hAnsi="Cambria"/>
          <w:i/>
          <w:color w:val="C00000"/>
          <w:sz w:val="28"/>
          <w:szCs w:val="28"/>
          <w:lang w:eastAsia="fr-FR"/>
        </w:rPr>
        <w:t xml:space="preserve"> : Histoire contemporaine des relations internationales</w:t>
      </w:r>
    </w:p>
    <w:p w14:paraId="3ED8F170" w14:textId="77777777" w:rsidR="004B2A46" w:rsidRPr="007223DB" w:rsidRDefault="004B2A46" w:rsidP="004B2A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lang w:eastAsia="fr-FR"/>
        </w:rPr>
      </w:pPr>
    </w:p>
    <w:p w14:paraId="741F4B5D" w14:textId="6F9B271E" w:rsidR="00EF1408" w:rsidRPr="007223DB" w:rsidRDefault="00044F85" w:rsidP="00044F85">
      <w:pPr>
        <w:jc w:val="center"/>
        <w:rPr>
          <w:rFonts w:ascii="Cambria" w:hAnsi="Cambria"/>
          <w:bCs/>
          <w:sz w:val="22"/>
        </w:rPr>
      </w:pPr>
      <w:r w:rsidRPr="007223DB">
        <w:rPr>
          <w:rFonts w:ascii="Cambria" w:hAnsi="Cambria"/>
          <w:bCs/>
          <w:sz w:val="22"/>
        </w:rPr>
        <w:t xml:space="preserve">Laurence Badel (CM) </w:t>
      </w:r>
    </w:p>
    <w:p w14:paraId="5563F69A" w14:textId="43F6F4EF" w:rsidR="00044F85" w:rsidRPr="007223DB" w:rsidRDefault="00044F85" w:rsidP="00044F85">
      <w:pPr>
        <w:jc w:val="center"/>
        <w:rPr>
          <w:rFonts w:ascii="Cambria" w:hAnsi="Cambria"/>
          <w:bCs/>
          <w:sz w:val="22"/>
        </w:rPr>
      </w:pPr>
      <w:r w:rsidRPr="007223DB">
        <w:rPr>
          <w:rFonts w:ascii="Cambria" w:hAnsi="Cambria"/>
          <w:bCs/>
          <w:sz w:val="22"/>
        </w:rPr>
        <w:t>Jean-Michel Guieu, Céline Paillette (TD)</w:t>
      </w:r>
    </w:p>
    <w:p w14:paraId="76F84E54" w14:textId="77777777" w:rsidR="00044F85" w:rsidRPr="007223DB" w:rsidRDefault="00044F85" w:rsidP="00044F85">
      <w:pPr>
        <w:rPr>
          <w:rFonts w:ascii="Cambria" w:hAnsi="Cambria"/>
        </w:rPr>
      </w:pPr>
    </w:p>
    <w:p w14:paraId="2C0C82F9" w14:textId="6271E063" w:rsidR="00044F85" w:rsidRPr="007223DB" w:rsidRDefault="00044F85" w:rsidP="00044F85">
      <w:pPr>
        <w:tabs>
          <w:tab w:val="left" w:pos="1418"/>
        </w:tabs>
        <w:jc w:val="center"/>
        <w:rPr>
          <w:rFonts w:ascii="Cambria" w:hAnsi="Cambria"/>
          <w:b w:val="0"/>
          <w:bCs/>
          <w:color w:val="C00000"/>
          <w:sz w:val="22"/>
        </w:rPr>
      </w:pPr>
      <w:r w:rsidRPr="007223DB">
        <w:rPr>
          <w:rFonts w:ascii="Cambria" w:hAnsi="Cambria"/>
          <w:bCs/>
          <w:color w:val="C00000"/>
          <w:sz w:val="22"/>
          <w:u w:val="single"/>
        </w:rPr>
        <w:t>Sujet du cours</w:t>
      </w:r>
      <w:r w:rsidRPr="007223DB">
        <w:rPr>
          <w:rFonts w:ascii="Cambria" w:hAnsi="Cambria"/>
          <w:bCs/>
          <w:color w:val="C00000"/>
          <w:sz w:val="22"/>
        </w:rPr>
        <w:t xml:space="preserve"> : De Versailles </w:t>
      </w:r>
      <w:r w:rsidR="005034AC" w:rsidRPr="007223DB">
        <w:rPr>
          <w:rFonts w:ascii="Cambria" w:hAnsi="Cambria"/>
          <w:bCs/>
          <w:color w:val="C00000"/>
          <w:sz w:val="22"/>
        </w:rPr>
        <w:t xml:space="preserve">aux guerres de Yougoslavie : fondements, construction et limites d’une diplomatie européenne (1919-1995) </w:t>
      </w:r>
    </w:p>
    <w:p w14:paraId="2EA136AE" w14:textId="77777777" w:rsidR="005034AC" w:rsidRPr="007223DB" w:rsidRDefault="005034AC" w:rsidP="005034AC">
      <w:pPr>
        <w:spacing w:before="100" w:beforeAutospacing="1" w:after="100" w:afterAutospacing="1" w:line="240" w:lineRule="auto"/>
        <w:jc w:val="both"/>
        <w:rPr>
          <w:rFonts w:ascii="Times New Roman" w:eastAsia="Times New Roman" w:hAnsi="Times New Roman" w:cs="Times New Roman"/>
          <w:b w:val="0"/>
          <w:kern w:val="0"/>
          <w:szCs w:val="24"/>
          <w:lang w:eastAsia="fr-FR"/>
        </w:rPr>
      </w:pPr>
      <w:r w:rsidRPr="007223DB">
        <w:rPr>
          <w:rFonts w:ascii="Cambria" w:eastAsia="Times New Roman" w:hAnsi="Cambria" w:cs="Times New Roman"/>
          <w:b w:val="0"/>
          <w:color w:val="000000"/>
          <w:kern w:val="0"/>
          <w:sz w:val="22"/>
          <w:lang w:eastAsia="fr-FR"/>
        </w:rPr>
        <w:t>L’impuissance apparente de l’Union européenne et de ses États dans les graves crises en cours (Ukraine, Gaza, nucléaire iranien) ne manque pas d’interpeller le citoyen. Elle questionne la capacité des États européens à coordonner leur politique extérieure autour d’un socle d’objectifs et d’outils communs.</w:t>
      </w:r>
    </w:p>
    <w:p w14:paraId="655FF146" w14:textId="77777777" w:rsidR="005034AC" w:rsidRPr="007223DB" w:rsidRDefault="005034AC" w:rsidP="005034AC">
      <w:pPr>
        <w:spacing w:before="100" w:beforeAutospacing="1" w:after="100" w:afterAutospacing="1"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Afin de comprendre les difficultés qui se posent aujourd’hui, le cours se propose de revenir au premier semestre sur les facteurs structurants des politiques étrangères des États européens en insistant sur la diversité de leur statut et de leurs pratiques au sein de la communauté internationale à partir de 1919. L’épanouissement de la diplomatie multilatérale au lendemain de la Première Guerre mondiale les oblige, en principe, à rendre compatible la défense de leurs intérêts nationaux avec ceux de leurs voisins, voire à rechercher la stabilité des relations internationales par la coopération dans certains domaines « globaux » transcendant les frontières. L’échec tragique, que constituèrent l’essor de dictatures révisionnistes et expansionnistes dans les décennies 1920 et 1930 et la seconde guerre mondiale, conduisit une poignée d’entre eux à prendre une décision plus radicale : entrer dans un processus d’intégration économique régionale à l’Ouest de l’Europe. Il est allé de pair avec la structuration progressive, depuis les années 1970, d’un mécanisme de coordination des politiques extérieures qui a donné naissance en 2007 au</w:t>
      </w:r>
      <w:r w:rsidRPr="007223DB">
        <w:rPr>
          <w:rFonts w:ascii="Cambria" w:eastAsia="Times New Roman" w:hAnsi="Cambria" w:cs="Times New Roman"/>
          <w:b w:val="0"/>
          <w:color w:val="000000"/>
          <w:kern w:val="0"/>
          <w:sz w:val="22"/>
          <w:lang w:eastAsia="fr-FR"/>
        </w:rPr>
        <w:t xml:space="preserve"> poste de haut(e) représentant(e) de l’Union pour les affaires étrangères et la politique de sécurité, occupé depuis décembre 2024 par l’Estonienne Kaja Kallas</w:t>
      </w:r>
      <w:r w:rsidRPr="007223DB">
        <w:rPr>
          <w:rFonts w:ascii="Cambria" w:eastAsia="Times New Roman" w:hAnsi="Cambria" w:cs="Times New Roman"/>
          <w:b w:val="0"/>
          <w:kern w:val="0"/>
          <w:sz w:val="22"/>
          <w:lang w:eastAsia="fr-FR"/>
        </w:rPr>
        <w:t xml:space="preserve">. Cela n’a pas épuisé toutes les formes de coopération entre les États européens éprouvées par la Guerre froide, puis la disparition de l’Union soviétique. </w:t>
      </w:r>
    </w:p>
    <w:p w14:paraId="4E799A16" w14:textId="601F9C1D" w:rsidR="005034AC" w:rsidRPr="007223DB" w:rsidRDefault="005034AC" w:rsidP="005034AC">
      <w:pPr>
        <w:spacing w:before="100" w:beforeAutospacing="1" w:after="100" w:afterAutospacing="1"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Au travers d’études de cas mettant à l’épreuve la solidarité entre les Européens, le cours révèlera les fondements des forces contradictoires s’exerçant sur la diplomatie européenne jusqu’à nos jours.</w:t>
      </w:r>
    </w:p>
    <w:p w14:paraId="6BD723FF" w14:textId="77777777" w:rsidR="00044F85" w:rsidRPr="007223DB" w:rsidRDefault="00044F85" w:rsidP="00044F85">
      <w:pPr>
        <w:jc w:val="both"/>
        <w:rPr>
          <w:rFonts w:ascii="Cambria" w:hAnsi="Cambria"/>
          <w:color w:val="C00000"/>
          <w:sz w:val="22"/>
          <w:u w:val="single"/>
        </w:rPr>
      </w:pPr>
      <w:r w:rsidRPr="007223DB">
        <w:rPr>
          <w:rFonts w:ascii="Cambria" w:hAnsi="Cambria"/>
          <w:color w:val="C00000"/>
          <w:sz w:val="22"/>
          <w:u w:val="single"/>
        </w:rPr>
        <w:t xml:space="preserve">Orientation bibliographique : </w:t>
      </w:r>
    </w:p>
    <w:p w14:paraId="378CCD2C"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Laurence Badel, </w:t>
      </w:r>
      <w:r w:rsidRPr="007223DB">
        <w:rPr>
          <w:rFonts w:ascii="Cambria" w:hAnsi="Cambria"/>
          <w:b w:val="0"/>
          <w:i/>
          <w:sz w:val="22"/>
        </w:rPr>
        <w:t>Diplomaties européennes, XIX</w:t>
      </w:r>
      <w:r w:rsidRPr="007223DB">
        <w:rPr>
          <w:rFonts w:ascii="Cambria" w:hAnsi="Cambria"/>
          <w:b w:val="0"/>
          <w:i/>
          <w:sz w:val="22"/>
          <w:vertAlign w:val="superscript"/>
        </w:rPr>
        <w:t>e</w:t>
      </w:r>
      <w:r w:rsidRPr="007223DB">
        <w:rPr>
          <w:rFonts w:ascii="Cambria" w:hAnsi="Cambria"/>
          <w:b w:val="0"/>
          <w:i/>
          <w:sz w:val="22"/>
        </w:rPr>
        <w:t>-XXI</w:t>
      </w:r>
      <w:r w:rsidRPr="007223DB">
        <w:rPr>
          <w:rFonts w:ascii="Cambria" w:hAnsi="Cambria"/>
          <w:b w:val="0"/>
          <w:i/>
          <w:sz w:val="22"/>
          <w:vertAlign w:val="superscript"/>
        </w:rPr>
        <w:t>e</w:t>
      </w:r>
      <w:r w:rsidRPr="007223DB">
        <w:rPr>
          <w:rFonts w:ascii="Cambria" w:hAnsi="Cambria"/>
          <w:b w:val="0"/>
          <w:i/>
          <w:sz w:val="22"/>
        </w:rPr>
        <w:t xml:space="preserve"> siècle</w:t>
      </w:r>
      <w:r w:rsidRPr="007223DB">
        <w:rPr>
          <w:rFonts w:ascii="Cambria" w:hAnsi="Cambria"/>
          <w:b w:val="0"/>
          <w:iCs/>
          <w:sz w:val="22"/>
        </w:rPr>
        <w:t>, Paris, Presses de Sciences Po, 2021.</w:t>
      </w:r>
    </w:p>
    <w:p w14:paraId="2FA7F22B" w14:textId="77777777" w:rsidR="00044F85" w:rsidRPr="007223DB" w:rsidRDefault="00044F85" w:rsidP="00044F85">
      <w:pPr>
        <w:jc w:val="both"/>
        <w:rPr>
          <w:rFonts w:ascii="Cambria" w:hAnsi="Cambria"/>
          <w:b w:val="0"/>
          <w:bCs/>
          <w:iCs/>
          <w:sz w:val="22"/>
        </w:rPr>
      </w:pPr>
      <w:r w:rsidRPr="007223DB">
        <w:rPr>
          <w:rFonts w:ascii="Cambria" w:hAnsi="Cambria"/>
          <w:b w:val="0"/>
          <w:bCs/>
          <w:iCs/>
          <w:sz w:val="22"/>
        </w:rPr>
        <w:t xml:space="preserve">René Girault et Robert Frank, </w:t>
      </w:r>
      <w:r w:rsidRPr="007223DB">
        <w:rPr>
          <w:rFonts w:ascii="Cambria" w:hAnsi="Cambria"/>
          <w:b w:val="0"/>
          <w:bCs/>
          <w:i/>
          <w:sz w:val="22"/>
        </w:rPr>
        <w:t>Turbulente Europe et nouveaux mondes (1914-1941)</w:t>
      </w:r>
      <w:r w:rsidRPr="007223DB">
        <w:rPr>
          <w:rFonts w:ascii="Cambria" w:hAnsi="Cambria"/>
          <w:b w:val="0"/>
          <w:bCs/>
          <w:iCs/>
          <w:sz w:val="22"/>
        </w:rPr>
        <w:t>, Paris, Masson, 1988.</w:t>
      </w:r>
    </w:p>
    <w:p w14:paraId="590225A6" w14:textId="77777777" w:rsidR="00044F85" w:rsidRPr="007223DB" w:rsidRDefault="00044F85" w:rsidP="00044F85">
      <w:pPr>
        <w:jc w:val="both"/>
        <w:rPr>
          <w:rFonts w:ascii="Cambria" w:hAnsi="Cambria"/>
          <w:b w:val="0"/>
          <w:iCs/>
          <w:sz w:val="22"/>
        </w:rPr>
      </w:pPr>
      <w:r w:rsidRPr="007223DB">
        <w:rPr>
          <w:rFonts w:ascii="Cambria" w:hAnsi="Cambria"/>
          <w:b w:val="0"/>
          <w:iCs/>
          <w:sz w:val="22"/>
        </w:rPr>
        <w:t>Sylvain Schirmann,</w:t>
      </w:r>
      <w:r w:rsidRPr="007223DB">
        <w:rPr>
          <w:rFonts w:ascii="Cambria" w:hAnsi="Cambria"/>
        </w:rPr>
        <w:t xml:space="preserve"> </w:t>
      </w:r>
      <w:r w:rsidRPr="007223DB">
        <w:rPr>
          <w:rFonts w:ascii="Cambria" w:hAnsi="Cambria"/>
          <w:b w:val="0"/>
          <w:i/>
          <w:sz w:val="22"/>
        </w:rPr>
        <w:t>Quel ordre européen ? De Versailles à la chute du III</w:t>
      </w:r>
      <w:r w:rsidRPr="007223DB">
        <w:rPr>
          <w:rFonts w:ascii="Cambria" w:hAnsi="Cambria"/>
          <w:b w:val="0"/>
          <w:i/>
          <w:sz w:val="22"/>
          <w:vertAlign w:val="superscript"/>
        </w:rPr>
        <w:t>e</w:t>
      </w:r>
      <w:r w:rsidRPr="007223DB">
        <w:rPr>
          <w:rFonts w:ascii="Cambria" w:hAnsi="Cambria"/>
          <w:b w:val="0"/>
          <w:i/>
          <w:sz w:val="22"/>
        </w:rPr>
        <w:t xml:space="preserve"> Reich</w:t>
      </w:r>
      <w:r w:rsidRPr="007223DB">
        <w:rPr>
          <w:rFonts w:ascii="Cambria" w:hAnsi="Cambria"/>
          <w:b w:val="0"/>
          <w:iCs/>
          <w:sz w:val="22"/>
        </w:rPr>
        <w:t>, Paris, Armand Colin, 2006.</w:t>
      </w:r>
    </w:p>
    <w:p w14:paraId="426B3CD4"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Georges-Henri Soutou, </w:t>
      </w:r>
      <w:r w:rsidRPr="007223DB">
        <w:rPr>
          <w:rFonts w:ascii="Cambria" w:hAnsi="Cambria"/>
          <w:b w:val="0"/>
          <w:i/>
          <w:sz w:val="22"/>
        </w:rPr>
        <w:t>La guerre de cinquante ans. Les relations Est-Ouest 1943-1990</w:t>
      </w:r>
      <w:r w:rsidRPr="007223DB">
        <w:rPr>
          <w:rFonts w:ascii="Cambria" w:hAnsi="Cambria"/>
          <w:b w:val="0"/>
          <w:iCs/>
          <w:sz w:val="22"/>
        </w:rPr>
        <w:t>, Paris, Fayard, 2001.</w:t>
      </w:r>
    </w:p>
    <w:p w14:paraId="27095D98"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Laurent Warlouzet, </w:t>
      </w:r>
      <w:r w:rsidRPr="007223DB">
        <w:rPr>
          <w:rFonts w:ascii="Cambria" w:hAnsi="Cambria"/>
          <w:b w:val="0"/>
          <w:i/>
          <w:sz w:val="22"/>
        </w:rPr>
        <w:t>Europe contre Europe. Entre liberté, solidarité et puissance</w:t>
      </w:r>
      <w:r w:rsidRPr="007223DB">
        <w:rPr>
          <w:rFonts w:ascii="Cambria" w:hAnsi="Cambria"/>
          <w:b w:val="0"/>
          <w:iCs/>
          <w:sz w:val="22"/>
        </w:rPr>
        <w:t>, Paris, CNRS Éditions, 2022.</w:t>
      </w:r>
    </w:p>
    <w:p w14:paraId="5DF4B73F" w14:textId="77777777" w:rsidR="00DF3D38" w:rsidRPr="007223DB" w:rsidRDefault="00DF3D38"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026E0A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E8433D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0C49CA9"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BAE10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9579718"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04C4D7B"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A4558C0"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16A9B5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D60710"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AD9BBF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E0CD3B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B933C25" w14:textId="77777777" w:rsidR="0006566E" w:rsidRPr="007223DB" w:rsidRDefault="0006566E" w:rsidP="00044F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EFD968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18482B4"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396D5B5" w14:textId="77777777" w:rsidR="00F053B7" w:rsidRPr="007223DB" w:rsidRDefault="00360373"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J3041119/J3041219</w:t>
      </w:r>
      <w:r w:rsidR="00D04F29" w:rsidRPr="007223DB">
        <w:rPr>
          <w:rFonts w:ascii="Cambria" w:hAnsi="Cambria"/>
          <w:i/>
          <w:color w:val="C00000"/>
          <w:sz w:val="28"/>
          <w:szCs w:val="28"/>
          <w:lang w:eastAsia="fr-FR"/>
        </w:rPr>
        <w:t xml:space="preserve"> </w:t>
      </w:r>
      <w:r w:rsidR="00F053B7" w:rsidRPr="007223DB">
        <w:rPr>
          <w:rFonts w:ascii="Cambria" w:hAnsi="Cambria"/>
          <w:i/>
          <w:color w:val="C00000"/>
          <w:sz w:val="28"/>
          <w:szCs w:val="28"/>
          <w:lang w:eastAsia="fr-FR"/>
        </w:rPr>
        <w:t>: Histoire contemporaine de l’Amérique du Nord</w:t>
      </w:r>
    </w:p>
    <w:p w14:paraId="5C9161F0" w14:textId="77777777" w:rsidR="00F053B7" w:rsidRPr="007223DB" w:rsidRDefault="00F053B7" w:rsidP="00F053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rPr>
      </w:pPr>
    </w:p>
    <w:p w14:paraId="2A5EBDB7" w14:textId="3FDDF8B1" w:rsidR="00D36DFD" w:rsidRPr="007223DB" w:rsidRDefault="00D36DFD" w:rsidP="00AF18F0">
      <w:pPr>
        <w:shd w:val="clear" w:color="auto" w:fill="FFFFFF"/>
        <w:spacing w:after="0" w:line="240" w:lineRule="auto"/>
        <w:jc w:val="center"/>
        <w:rPr>
          <w:rFonts w:ascii="Cambria" w:eastAsia="Times New Roman" w:hAnsi="Cambria" w:cs="Times New Roman"/>
          <w:b w:val="0"/>
          <w:bCs/>
          <w:color w:val="222222"/>
          <w:sz w:val="22"/>
          <w:lang w:eastAsia="fr-FR"/>
        </w:rPr>
      </w:pPr>
      <w:r w:rsidRPr="007223DB">
        <w:rPr>
          <w:rFonts w:ascii="Cambria" w:eastAsia="Times New Roman" w:hAnsi="Cambria" w:cs="Times New Roman"/>
          <w:bCs/>
          <w:color w:val="222222"/>
          <w:sz w:val="22"/>
          <w:lang w:eastAsia="fr-FR"/>
        </w:rPr>
        <w:t>Nicolas Vaicbourdt (</w:t>
      </w:r>
      <w:r w:rsidR="00C73F02" w:rsidRPr="007223DB">
        <w:rPr>
          <w:rFonts w:ascii="Cambria" w:eastAsia="Times New Roman" w:hAnsi="Cambria" w:cs="Times New Roman"/>
          <w:bCs/>
          <w:color w:val="222222"/>
          <w:sz w:val="22"/>
          <w:lang w:eastAsia="fr-FR"/>
        </w:rPr>
        <w:t>CM/TD</w:t>
      </w:r>
      <w:r w:rsidRPr="007223DB">
        <w:rPr>
          <w:rFonts w:ascii="Cambria" w:eastAsia="Times New Roman" w:hAnsi="Cambria" w:cs="Times New Roman"/>
          <w:bCs/>
          <w:color w:val="222222"/>
          <w:sz w:val="22"/>
          <w:lang w:eastAsia="fr-FR"/>
        </w:rPr>
        <w:t>)</w:t>
      </w:r>
    </w:p>
    <w:p w14:paraId="270AC803" w14:textId="687313B8" w:rsidR="00BB60C7" w:rsidRPr="007223DB" w:rsidRDefault="00D36DFD" w:rsidP="00C73F02">
      <w:pPr>
        <w:shd w:val="clear" w:color="auto" w:fill="FFFFFF"/>
        <w:spacing w:after="0" w:line="240" w:lineRule="auto"/>
        <w:jc w:val="center"/>
        <w:rPr>
          <w:rFonts w:ascii="Cambria" w:eastAsia="Times New Roman" w:hAnsi="Cambria" w:cs="Times New Roman"/>
          <w:b w:val="0"/>
          <w:bCs/>
          <w:color w:val="222222"/>
          <w:sz w:val="22"/>
          <w:lang w:eastAsia="fr-FR"/>
        </w:rPr>
      </w:pPr>
      <w:r w:rsidRPr="007223DB">
        <w:rPr>
          <w:rFonts w:ascii="Cambria" w:eastAsia="Times New Roman" w:hAnsi="Cambria" w:cs="Times New Roman"/>
          <w:color w:val="222222"/>
          <w:sz w:val="22"/>
          <w:lang w:eastAsia="fr-FR"/>
        </w:rPr>
        <w:t> </w:t>
      </w:r>
    </w:p>
    <w:p w14:paraId="63A7ECE9" w14:textId="77777777" w:rsidR="00BB60C7" w:rsidRPr="007223DB" w:rsidRDefault="00BB60C7" w:rsidP="00BB60C7">
      <w:pPr>
        <w:shd w:val="clear" w:color="auto" w:fill="FFFFFF"/>
        <w:spacing w:after="0" w:line="240" w:lineRule="auto"/>
        <w:jc w:val="center"/>
        <w:rPr>
          <w:rFonts w:ascii="Cambria" w:eastAsia="Times New Roman" w:hAnsi="Cambria" w:cs="Times New Roman"/>
          <w:bCs/>
          <w:color w:val="7030A0"/>
          <w:sz w:val="22"/>
          <w:u w:val="single"/>
          <w:lang w:eastAsia="fr-FR"/>
        </w:rPr>
      </w:pPr>
    </w:p>
    <w:p w14:paraId="7434E50C" w14:textId="1970E83E" w:rsidR="00C26B0B" w:rsidRPr="001B00BA" w:rsidRDefault="00C26B0B" w:rsidP="00C26B0B">
      <w:pPr>
        <w:widowControl w:val="0"/>
        <w:autoSpaceDE w:val="0"/>
        <w:autoSpaceDN w:val="0"/>
        <w:adjustRightInd w:val="0"/>
        <w:spacing w:after="120" w:line="240" w:lineRule="auto"/>
        <w:rPr>
          <w:rFonts w:ascii="Cambria" w:eastAsia="Times New Roman" w:hAnsi="Cambria" w:cs="Times New Roman"/>
          <w:color w:val="C00000"/>
          <w:kern w:val="0"/>
          <w:sz w:val="22"/>
          <w:lang w:eastAsia="fr-FR"/>
        </w:rPr>
      </w:pPr>
      <w:r w:rsidRPr="001B00BA">
        <w:rPr>
          <w:rFonts w:ascii="Cambria" w:eastAsia="Times New Roman" w:hAnsi="Cambria" w:cs="Times New Roman"/>
          <w:color w:val="C00000"/>
          <w:kern w:val="0"/>
          <w:sz w:val="22"/>
          <w:u w:val="single"/>
          <w:lang w:eastAsia="fr-FR"/>
        </w:rPr>
        <w:t>Sujet du cours semestre 1</w:t>
      </w:r>
      <w:r w:rsidRPr="001B00BA">
        <w:rPr>
          <w:rFonts w:ascii="Cambria" w:eastAsia="Times New Roman" w:hAnsi="Cambria" w:cs="Times New Roman"/>
          <w:color w:val="C00000"/>
          <w:kern w:val="0"/>
          <w:sz w:val="22"/>
          <w:lang w:eastAsia="fr-FR"/>
        </w:rPr>
        <w:t xml:space="preserve"> :</w:t>
      </w:r>
      <w:r w:rsidR="000114A2" w:rsidRPr="001B00BA">
        <w:rPr>
          <w:rFonts w:ascii="Cambria" w:eastAsia="Times New Roman" w:hAnsi="Cambria" w:cs="Times New Roman"/>
          <w:color w:val="C00000"/>
          <w:kern w:val="0"/>
          <w:sz w:val="22"/>
          <w:lang w:eastAsia="fr-FR"/>
        </w:rPr>
        <w:t xml:space="preserve"> De la grandeur de l’Amérique </w:t>
      </w:r>
    </w:p>
    <w:p w14:paraId="0E7C25B0" w14:textId="77777777" w:rsidR="000114A2" w:rsidRPr="001B00BA" w:rsidRDefault="000114A2" w:rsidP="000114A2">
      <w:pPr>
        <w:jc w:val="both"/>
        <w:rPr>
          <w:rFonts w:ascii="Cambria" w:hAnsi="Cambria"/>
          <w:b w:val="0"/>
          <w:bCs/>
          <w:color w:val="000000" w:themeColor="text1"/>
          <w:sz w:val="22"/>
        </w:rPr>
      </w:pPr>
      <w:r w:rsidRPr="001B00BA">
        <w:rPr>
          <w:rFonts w:ascii="Cambria" w:hAnsi="Cambria"/>
          <w:b w:val="0"/>
          <w:bCs/>
          <w:color w:val="000000" w:themeColor="text1"/>
          <w:sz w:val="22"/>
        </w:rPr>
        <w:t>Cette année, les États-Unis célèbrent le 250</w:t>
      </w:r>
      <w:r w:rsidRPr="001B00BA">
        <w:rPr>
          <w:rFonts w:ascii="Cambria" w:hAnsi="Cambria"/>
          <w:b w:val="0"/>
          <w:bCs/>
          <w:color w:val="000000" w:themeColor="text1"/>
          <w:sz w:val="22"/>
          <w:vertAlign w:val="superscript"/>
        </w:rPr>
        <w:t>ème</w:t>
      </w:r>
      <w:r w:rsidRPr="001B00BA">
        <w:rPr>
          <w:rFonts w:ascii="Cambria" w:hAnsi="Cambria"/>
          <w:b w:val="0"/>
          <w:bCs/>
          <w:color w:val="000000" w:themeColor="text1"/>
          <w:sz w:val="22"/>
        </w:rPr>
        <w:t xml:space="preserve"> anniversaire de la Déclaration d’indépendance. Sans nul doute, ce sera aussi l’occasion pour le président en exercice de célébrer la grandeur de l’Amérique et vanter une nation « exceptionnelle », « à nouveau grande ». Pourtant le pays a rarement paru autant en crise. La polarisation de la vie politique remet en question une nouvelle fois le modèle idéologique et institutionnel instauré par les Pères fondateurs, fondé sur la quête du consensus. Les clivages raciaux, sociaux et culturels ne sont pas résorbés ; au point qu’il n’y a même plus de consensus sur la lecture du passé alors que se confrontent des représentations mémorielles de plus en plus antagoniques. </w:t>
      </w:r>
    </w:p>
    <w:p w14:paraId="4BBE82D7" w14:textId="77777777" w:rsidR="000114A2" w:rsidRPr="001B00BA" w:rsidRDefault="000114A2" w:rsidP="000114A2">
      <w:pPr>
        <w:jc w:val="both"/>
        <w:rPr>
          <w:rFonts w:ascii="Cambria" w:hAnsi="Cambria"/>
          <w:b w:val="0"/>
          <w:bCs/>
          <w:color w:val="000000" w:themeColor="text1"/>
          <w:sz w:val="22"/>
        </w:rPr>
      </w:pPr>
      <w:r w:rsidRPr="001B00BA">
        <w:rPr>
          <w:rFonts w:ascii="Cambria" w:hAnsi="Cambria"/>
          <w:b w:val="0"/>
          <w:bCs/>
          <w:color w:val="000000" w:themeColor="text1"/>
          <w:sz w:val="22"/>
        </w:rPr>
        <w:t>Ce semestre sera l’occasion de remettre en perspective les fondements autant que les mythes fondateurs d’un pays qui demeure central du fait de son « </w:t>
      </w:r>
      <w:r w:rsidRPr="001B00BA">
        <w:rPr>
          <w:rFonts w:ascii="Cambria" w:hAnsi="Cambria"/>
          <w:b w:val="0"/>
          <w:bCs/>
          <w:i/>
          <w:iCs/>
          <w:color w:val="000000" w:themeColor="text1"/>
          <w:sz w:val="22"/>
        </w:rPr>
        <w:t>hard</w:t>
      </w:r>
      <w:r w:rsidRPr="001B00BA">
        <w:rPr>
          <w:rFonts w:ascii="Cambria" w:hAnsi="Cambria"/>
          <w:b w:val="0"/>
          <w:bCs/>
          <w:color w:val="000000" w:themeColor="text1"/>
          <w:sz w:val="22"/>
        </w:rPr>
        <w:t xml:space="preserve"> et </w:t>
      </w:r>
      <w:r w:rsidRPr="001B00BA">
        <w:rPr>
          <w:rFonts w:ascii="Cambria" w:hAnsi="Cambria"/>
          <w:b w:val="0"/>
          <w:bCs/>
          <w:i/>
          <w:iCs/>
          <w:color w:val="000000" w:themeColor="text1"/>
          <w:sz w:val="22"/>
        </w:rPr>
        <w:t>soft power</w:t>
      </w:r>
      <w:r w:rsidRPr="001B00BA">
        <w:rPr>
          <w:rFonts w:ascii="Cambria" w:hAnsi="Cambria"/>
          <w:b w:val="0"/>
          <w:bCs/>
          <w:color w:val="000000" w:themeColor="text1"/>
          <w:sz w:val="22"/>
        </w:rPr>
        <w:t xml:space="preserve"> », et d’évaluer la réalité de la crise américaine en se focalisant sur l’évolution du pays au cours des dernières décennies. </w:t>
      </w:r>
    </w:p>
    <w:p w14:paraId="66AE4AE5" w14:textId="77777777" w:rsidR="000114A2" w:rsidRPr="001B00BA" w:rsidRDefault="000114A2" w:rsidP="000114A2">
      <w:pPr>
        <w:jc w:val="both"/>
        <w:rPr>
          <w:rFonts w:ascii="Cambria" w:hAnsi="Cambria"/>
          <w:color w:val="000000" w:themeColor="text1"/>
          <w:sz w:val="22"/>
        </w:rPr>
      </w:pPr>
    </w:p>
    <w:p w14:paraId="477C1665" w14:textId="77777777" w:rsidR="000114A2" w:rsidRPr="001B00BA" w:rsidRDefault="000114A2" w:rsidP="000114A2">
      <w:pPr>
        <w:widowControl w:val="0"/>
        <w:autoSpaceDE w:val="0"/>
        <w:autoSpaceDN w:val="0"/>
        <w:adjustRightInd w:val="0"/>
        <w:spacing w:after="120"/>
        <w:rPr>
          <w:rFonts w:ascii="Cambria" w:hAnsi="Cambria"/>
          <w:color w:val="000000" w:themeColor="text1"/>
          <w:sz w:val="22"/>
          <w:u w:val="single"/>
          <w:lang w:val="en-US"/>
        </w:rPr>
      </w:pPr>
      <w:r w:rsidRPr="001B00BA">
        <w:rPr>
          <w:rFonts w:ascii="Cambria" w:hAnsi="Cambria"/>
          <w:color w:val="000000" w:themeColor="text1"/>
          <w:sz w:val="22"/>
          <w:u w:val="single"/>
          <w:lang w:val="en-US"/>
        </w:rPr>
        <w:t>Bibliographie indicative</w:t>
      </w:r>
    </w:p>
    <w:p w14:paraId="7E740D69" w14:textId="77777777" w:rsidR="000114A2" w:rsidRPr="001B00BA" w:rsidRDefault="000114A2" w:rsidP="000114A2">
      <w:pPr>
        <w:spacing w:after="0"/>
        <w:jc w:val="both"/>
        <w:rPr>
          <w:rFonts w:ascii="Cambria" w:hAnsi="Cambria"/>
          <w:b w:val="0"/>
          <w:bCs/>
          <w:color w:val="000000" w:themeColor="text1"/>
          <w:sz w:val="22"/>
          <w:lang w:val="en-US"/>
        </w:rPr>
      </w:pPr>
      <w:r w:rsidRPr="001B00BA">
        <w:rPr>
          <w:rFonts w:ascii="Cambria" w:hAnsi="Cambria"/>
          <w:b w:val="0"/>
          <w:bCs/>
          <w:color w:val="000000" w:themeColor="text1"/>
          <w:sz w:val="22"/>
          <w:lang w:val="en-US"/>
        </w:rPr>
        <w:t xml:space="preserve">BENDER Thomas, ed., </w:t>
      </w:r>
      <w:r w:rsidRPr="001B00BA">
        <w:rPr>
          <w:rFonts w:ascii="Cambria" w:hAnsi="Cambria"/>
          <w:b w:val="0"/>
          <w:bCs/>
          <w:i/>
          <w:iCs/>
          <w:color w:val="000000" w:themeColor="text1"/>
          <w:sz w:val="22"/>
          <w:lang w:val="en-US"/>
        </w:rPr>
        <w:t>Rethinking American History in a Global Age</w:t>
      </w:r>
      <w:r w:rsidRPr="001B00BA">
        <w:rPr>
          <w:rFonts w:ascii="Cambria" w:hAnsi="Cambria"/>
          <w:b w:val="0"/>
          <w:bCs/>
          <w:color w:val="000000" w:themeColor="text1"/>
          <w:sz w:val="22"/>
          <w:lang w:val="en-US"/>
        </w:rPr>
        <w:t>, California U. P., 2002.</w:t>
      </w:r>
    </w:p>
    <w:p w14:paraId="4533647D" w14:textId="77777777" w:rsidR="000114A2" w:rsidRPr="001B00BA" w:rsidRDefault="000114A2" w:rsidP="000114A2">
      <w:pPr>
        <w:spacing w:after="0"/>
        <w:rPr>
          <w:rFonts w:ascii="Cambria" w:hAnsi="Cambria" w:cs="Segoe UI"/>
          <w:b w:val="0"/>
          <w:bCs/>
          <w:color w:val="000000" w:themeColor="text1"/>
          <w:sz w:val="22"/>
          <w:lang w:val="en-US"/>
        </w:rPr>
      </w:pPr>
      <w:r w:rsidRPr="001B00BA">
        <w:rPr>
          <w:rFonts w:ascii="Cambria" w:hAnsi="Cambria" w:cs="Segoe UI"/>
          <w:b w:val="0"/>
          <w:bCs/>
          <w:color w:val="000000" w:themeColor="text1"/>
          <w:sz w:val="22"/>
          <w:shd w:val="clear" w:color="auto" w:fill="FFFFFF"/>
          <w:lang w:val="en-US"/>
        </w:rPr>
        <w:t xml:space="preserve">BRINKLEY Alan, GIGGIE John, HUEBNER Andrew, </w:t>
      </w:r>
      <w:r w:rsidRPr="001B00BA">
        <w:rPr>
          <w:rFonts w:ascii="Cambria" w:hAnsi="Cambria" w:cs="Segoe UI"/>
          <w:b w:val="0"/>
          <w:bCs/>
          <w:i/>
          <w:iCs/>
          <w:color w:val="000000" w:themeColor="text1"/>
          <w:sz w:val="22"/>
          <w:lang w:val="en-US"/>
        </w:rPr>
        <w:t>The Unfinished Nation : a Concise History of the American people</w:t>
      </w:r>
      <w:r w:rsidRPr="001B00BA">
        <w:rPr>
          <w:rFonts w:ascii="Cambria" w:hAnsi="Cambria" w:cs="Segoe UI"/>
          <w:b w:val="0"/>
          <w:bCs/>
          <w:color w:val="000000" w:themeColor="text1"/>
          <w:sz w:val="22"/>
          <w:lang w:val="en-US"/>
        </w:rPr>
        <w:t>, McGraw Hill Education, 10th ed, Columbus, 2021</w:t>
      </w:r>
    </w:p>
    <w:p w14:paraId="5FA2E640" w14:textId="77777777" w:rsidR="000114A2" w:rsidRPr="001B00BA" w:rsidRDefault="000114A2" w:rsidP="000114A2">
      <w:pPr>
        <w:spacing w:after="0"/>
        <w:rPr>
          <w:rFonts w:ascii="Cambria" w:hAnsi="Cambria"/>
          <w:b w:val="0"/>
          <w:bCs/>
          <w:color w:val="000000" w:themeColor="text1"/>
          <w:sz w:val="22"/>
          <w:lang w:val="en-US"/>
        </w:rPr>
      </w:pPr>
      <w:r w:rsidRPr="001B00BA">
        <w:rPr>
          <w:rFonts w:ascii="Cambria" w:hAnsi="Cambria"/>
          <w:b w:val="0"/>
          <w:bCs/>
          <w:color w:val="000000" w:themeColor="text1"/>
          <w:sz w:val="22"/>
          <w:lang w:val="en-US"/>
        </w:rPr>
        <w:t xml:space="preserve">COBBS, Elizabeth, BLUM Edward J., WALKER Vanessa, </w:t>
      </w:r>
      <w:r w:rsidRPr="001B00BA">
        <w:rPr>
          <w:rFonts w:ascii="Cambria" w:hAnsi="Cambria"/>
          <w:b w:val="0"/>
          <w:bCs/>
          <w:i/>
          <w:iCs/>
          <w:color w:val="000000" w:themeColor="text1"/>
          <w:sz w:val="22"/>
          <w:lang w:val="en-US"/>
        </w:rPr>
        <w:t>Major Problems in American History, Vol. 1 to 1877</w:t>
      </w:r>
      <w:r w:rsidRPr="001B00BA">
        <w:rPr>
          <w:rFonts w:ascii="Cambria" w:hAnsi="Cambria"/>
          <w:b w:val="0"/>
          <w:bCs/>
          <w:color w:val="000000" w:themeColor="text1"/>
          <w:sz w:val="22"/>
          <w:lang w:val="en-US"/>
        </w:rPr>
        <w:t>, Boston, Houghton Mifflin, 5</w:t>
      </w:r>
      <w:r w:rsidRPr="001B00BA">
        <w:rPr>
          <w:rFonts w:ascii="Cambria" w:hAnsi="Cambria"/>
          <w:b w:val="0"/>
          <w:bCs/>
          <w:color w:val="000000" w:themeColor="text1"/>
          <w:sz w:val="22"/>
          <w:vertAlign w:val="superscript"/>
          <w:lang w:val="en-US"/>
        </w:rPr>
        <w:t>ème</w:t>
      </w:r>
      <w:r w:rsidRPr="001B00BA">
        <w:rPr>
          <w:rFonts w:ascii="Cambria" w:hAnsi="Cambria"/>
          <w:b w:val="0"/>
          <w:bCs/>
          <w:color w:val="000000" w:themeColor="text1"/>
          <w:sz w:val="22"/>
          <w:lang w:val="en-US"/>
        </w:rPr>
        <w:t xml:space="preserve"> édition 2026</w:t>
      </w:r>
    </w:p>
    <w:p w14:paraId="07681319" w14:textId="77777777" w:rsidR="000114A2" w:rsidRPr="001B00BA" w:rsidRDefault="000114A2" w:rsidP="000114A2">
      <w:pPr>
        <w:spacing w:after="0"/>
        <w:rPr>
          <w:rFonts w:ascii="Cambria" w:hAnsi="Cambria" w:cs="Segoe UI"/>
          <w:b w:val="0"/>
          <w:bCs/>
          <w:color w:val="000000" w:themeColor="text1"/>
          <w:sz w:val="22"/>
          <w:lang w:val="en-US"/>
        </w:rPr>
      </w:pPr>
      <w:r w:rsidRPr="001B00BA">
        <w:rPr>
          <w:rFonts w:ascii="Cambria" w:hAnsi="Cambria"/>
          <w:b w:val="0"/>
          <w:bCs/>
          <w:color w:val="000000" w:themeColor="text1"/>
          <w:sz w:val="22"/>
          <w:lang w:val="en-US"/>
        </w:rPr>
        <w:t xml:space="preserve">COBBS, Elizabeth, BLUM Edward J., WALKER Vanessa, </w:t>
      </w:r>
      <w:r w:rsidRPr="001B00BA">
        <w:rPr>
          <w:rFonts w:ascii="Cambria" w:hAnsi="Cambria"/>
          <w:b w:val="0"/>
          <w:bCs/>
          <w:i/>
          <w:iCs/>
          <w:color w:val="000000" w:themeColor="text1"/>
          <w:sz w:val="22"/>
          <w:lang w:val="en-US"/>
        </w:rPr>
        <w:t>Major Problems in American History, Vol. 2 since 1865,</w:t>
      </w:r>
      <w:r w:rsidRPr="001B00BA">
        <w:rPr>
          <w:rFonts w:ascii="Cambria" w:hAnsi="Cambria"/>
          <w:b w:val="0"/>
          <w:bCs/>
          <w:color w:val="000000" w:themeColor="text1"/>
          <w:sz w:val="22"/>
          <w:lang w:val="en-US"/>
        </w:rPr>
        <w:t xml:space="preserve"> Boston, Houghton Mifflin, 5</w:t>
      </w:r>
      <w:r w:rsidRPr="001B00BA">
        <w:rPr>
          <w:rFonts w:ascii="Cambria" w:hAnsi="Cambria"/>
          <w:b w:val="0"/>
          <w:bCs/>
          <w:color w:val="000000" w:themeColor="text1"/>
          <w:sz w:val="22"/>
          <w:vertAlign w:val="superscript"/>
          <w:lang w:val="en-US"/>
        </w:rPr>
        <w:t>ème</w:t>
      </w:r>
      <w:r w:rsidRPr="001B00BA">
        <w:rPr>
          <w:rFonts w:ascii="Cambria" w:hAnsi="Cambria"/>
          <w:b w:val="0"/>
          <w:bCs/>
          <w:color w:val="000000" w:themeColor="text1"/>
          <w:sz w:val="22"/>
          <w:lang w:val="en-US"/>
        </w:rPr>
        <w:t xml:space="preserve"> édition 2026</w:t>
      </w:r>
    </w:p>
    <w:p w14:paraId="3EB1647F" w14:textId="77777777" w:rsidR="000114A2" w:rsidRPr="001B00BA" w:rsidRDefault="000114A2" w:rsidP="000114A2">
      <w:pPr>
        <w:spacing w:after="0"/>
        <w:jc w:val="both"/>
        <w:rPr>
          <w:rFonts w:ascii="Cambria" w:hAnsi="Cambria"/>
          <w:b w:val="0"/>
          <w:bCs/>
          <w:color w:val="000000" w:themeColor="text1"/>
          <w:sz w:val="22"/>
        </w:rPr>
      </w:pPr>
      <w:r w:rsidRPr="001B00BA">
        <w:rPr>
          <w:rFonts w:ascii="Cambria" w:hAnsi="Cambria"/>
          <w:b w:val="0"/>
          <w:bCs/>
          <w:color w:val="000000" w:themeColor="text1"/>
          <w:sz w:val="22"/>
        </w:rPr>
        <w:t xml:space="preserve">KASPI André, </w:t>
      </w:r>
      <w:r w:rsidRPr="001B00BA">
        <w:rPr>
          <w:rFonts w:ascii="Cambria" w:hAnsi="Cambria"/>
          <w:b w:val="0"/>
          <w:bCs/>
          <w:i/>
          <w:iCs/>
          <w:color w:val="000000" w:themeColor="text1"/>
          <w:sz w:val="22"/>
        </w:rPr>
        <w:t>Les Américains</w:t>
      </w:r>
      <w:r w:rsidRPr="001B00BA">
        <w:rPr>
          <w:rFonts w:ascii="Cambria" w:hAnsi="Cambria"/>
          <w:b w:val="0"/>
          <w:bCs/>
          <w:color w:val="000000" w:themeColor="text1"/>
          <w:sz w:val="22"/>
        </w:rPr>
        <w:t>, Seuil Points, 2 tomes, 2014.</w:t>
      </w:r>
    </w:p>
    <w:p w14:paraId="366941BE" w14:textId="77777777" w:rsidR="000114A2" w:rsidRPr="001B00BA" w:rsidRDefault="000114A2" w:rsidP="000114A2">
      <w:pPr>
        <w:spacing w:after="0"/>
        <w:rPr>
          <w:rFonts w:ascii="Cambria" w:hAnsi="Cambria"/>
          <w:b w:val="0"/>
          <w:bCs/>
          <w:color w:val="000000" w:themeColor="text1"/>
          <w:sz w:val="22"/>
        </w:rPr>
      </w:pPr>
      <w:r w:rsidRPr="001B00BA">
        <w:rPr>
          <w:rFonts w:ascii="Cambria" w:hAnsi="Cambria"/>
          <w:b w:val="0"/>
          <w:bCs/>
          <w:color w:val="000000" w:themeColor="text1"/>
          <w:sz w:val="22"/>
        </w:rPr>
        <w:t xml:space="preserve">KEMPF Jean, </w:t>
      </w:r>
      <w:r w:rsidRPr="001B00BA">
        <w:rPr>
          <w:rFonts w:ascii="Cambria" w:hAnsi="Cambria"/>
          <w:b w:val="0"/>
          <w:bCs/>
          <w:i/>
          <w:iCs/>
          <w:color w:val="000000" w:themeColor="text1"/>
          <w:sz w:val="22"/>
        </w:rPr>
        <w:t>Une histoire culturelle des États-Unis</w:t>
      </w:r>
      <w:r w:rsidRPr="001B00BA">
        <w:rPr>
          <w:rFonts w:ascii="Cambria" w:hAnsi="Cambria"/>
          <w:b w:val="0"/>
          <w:bCs/>
          <w:color w:val="000000" w:themeColor="text1"/>
          <w:sz w:val="22"/>
        </w:rPr>
        <w:t>, Paris, Colin, 2015 </w:t>
      </w:r>
    </w:p>
    <w:p w14:paraId="7F0BD52F" w14:textId="77777777" w:rsidR="000114A2" w:rsidRPr="001B00BA" w:rsidRDefault="000114A2" w:rsidP="000114A2">
      <w:pPr>
        <w:spacing w:after="0"/>
        <w:rPr>
          <w:rFonts w:asciiTheme="minorHAnsi" w:eastAsia="Times New Roman" w:hAnsiTheme="minorHAnsi" w:cs="Times New Roman"/>
          <w:b w:val="0"/>
          <w:bCs/>
          <w:color w:val="000000" w:themeColor="text1"/>
          <w:sz w:val="22"/>
          <w:lang w:eastAsia="fr-FR"/>
        </w:rPr>
      </w:pPr>
      <w:r w:rsidRPr="001B00BA">
        <w:rPr>
          <w:rFonts w:asciiTheme="minorHAnsi" w:eastAsia="Times New Roman" w:hAnsiTheme="minorHAnsi" w:cs="Times New Roman"/>
          <w:b w:val="0"/>
          <w:bCs/>
          <w:color w:val="000000" w:themeColor="text1"/>
          <w:sz w:val="22"/>
          <w:lang w:eastAsia="fr-FR"/>
        </w:rPr>
        <w:t>LACORNE Denis, </w:t>
      </w:r>
      <w:r w:rsidRPr="001B00BA">
        <w:rPr>
          <w:rFonts w:asciiTheme="minorHAnsi" w:eastAsia="Times New Roman" w:hAnsiTheme="minorHAnsi" w:cs="Times New Roman"/>
          <w:b w:val="0"/>
          <w:bCs/>
          <w:i/>
          <w:iCs/>
          <w:color w:val="000000" w:themeColor="text1"/>
          <w:sz w:val="22"/>
          <w:lang w:eastAsia="fr-FR"/>
        </w:rPr>
        <w:t>La crise de l’identité américaine</w:t>
      </w:r>
      <w:r w:rsidRPr="001B00BA">
        <w:rPr>
          <w:rFonts w:asciiTheme="minorHAnsi" w:eastAsia="Times New Roman" w:hAnsiTheme="minorHAnsi" w:cs="Times New Roman"/>
          <w:b w:val="0"/>
          <w:bCs/>
          <w:color w:val="000000" w:themeColor="text1"/>
          <w:sz w:val="22"/>
          <w:lang w:eastAsia="fr-FR"/>
        </w:rPr>
        <w:t>, Paris, Gallimard, 1997, 2003 </w:t>
      </w:r>
    </w:p>
    <w:p w14:paraId="03FE7100" w14:textId="77777777" w:rsidR="000114A2" w:rsidRPr="001B00BA" w:rsidRDefault="000114A2" w:rsidP="000114A2">
      <w:pPr>
        <w:spacing w:after="0"/>
        <w:rPr>
          <w:rFonts w:ascii="Cambria" w:eastAsia="Times New Roman" w:hAnsi="Cambria" w:cs="Segoe UI"/>
          <w:b w:val="0"/>
          <w:bCs/>
          <w:color w:val="000000" w:themeColor="text1"/>
          <w:sz w:val="22"/>
          <w:lang w:val="en-US" w:eastAsia="fr-FR"/>
        </w:rPr>
      </w:pPr>
      <w:r w:rsidRPr="001B00BA">
        <w:rPr>
          <w:rFonts w:ascii="Cambria" w:hAnsi="Cambria" w:cs="Segoe UI"/>
          <w:b w:val="0"/>
          <w:bCs/>
          <w:color w:val="000000" w:themeColor="text1"/>
          <w:sz w:val="22"/>
          <w:lang w:val="en-US"/>
        </w:rPr>
        <w:t xml:space="preserve">LEPORE </w:t>
      </w:r>
      <w:r w:rsidRPr="001B00BA">
        <w:rPr>
          <w:rFonts w:ascii="Cambria" w:eastAsia="Times New Roman" w:hAnsi="Cambria" w:cs="Segoe UI"/>
          <w:b w:val="0"/>
          <w:bCs/>
          <w:color w:val="000000" w:themeColor="text1"/>
          <w:sz w:val="22"/>
          <w:lang w:val="en-US" w:eastAsia="fr-FR"/>
        </w:rPr>
        <w:t xml:space="preserve">Jill, </w:t>
      </w:r>
      <w:r w:rsidRPr="001B00BA">
        <w:rPr>
          <w:rFonts w:ascii="Cambria" w:hAnsi="Cambria" w:cs="Segoe UI"/>
          <w:b w:val="0"/>
          <w:bCs/>
          <w:i/>
          <w:iCs/>
          <w:color w:val="000000" w:themeColor="text1"/>
          <w:sz w:val="22"/>
          <w:shd w:val="clear" w:color="auto" w:fill="FFFFFF"/>
          <w:lang w:val="en-US"/>
        </w:rPr>
        <w:t>These truths: A history of the United States</w:t>
      </w:r>
      <w:r w:rsidRPr="001B00BA">
        <w:rPr>
          <w:rFonts w:ascii="Cambria" w:hAnsi="Cambria" w:cs="Segoe UI"/>
          <w:b w:val="0"/>
          <w:bCs/>
          <w:color w:val="000000" w:themeColor="text1"/>
          <w:sz w:val="22"/>
          <w:shd w:val="clear" w:color="auto" w:fill="FFFFFF"/>
          <w:lang w:val="en-US"/>
        </w:rPr>
        <w:t xml:space="preserve">, </w:t>
      </w:r>
      <w:r w:rsidRPr="001B00BA">
        <w:rPr>
          <w:rFonts w:ascii="Cambria" w:eastAsia="Times New Roman" w:hAnsi="Cambria" w:cs="Segoe UI"/>
          <w:b w:val="0"/>
          <w:bCs/>
          <w:color w:val="000000" w:themeColor="text1"/>
          <w:sz w:val="22"/>
          <w:lang w:val="en-US" w:eastAsia="fr-FR"/>
        </w:rPr>
        <w:t>New York, W. W. Norton &amp;</w:t>
      </w:r>
      <w:r w:rsidRPr="001B00BA">
        <w:rPr>
          <w:rFonts w:ascii="Cambria" w:hAnsi="Cambria" w:cs="Segoe UI"/>
          <w:b w:val="0"/>
          <w:bCs/>
          <w:color w:val="000000" w:themeColor="text1"/>
          <w:sz w:val="22"/>
          <w:lang w:val="en-US"/>
        </w:rPr>
        <w:t xml:space="preserve"> </w:t>
      </w:r>
      <w:r w:rsidRPr="001B00BA">
        <w:rPr>
          <w:rFonts w:ascii="Cambria" w:eastAsia="Times New Roman" w:hAnsi="Cambria" w:cs="Segoe UI"/>
          <w:b w:val="0"/>
          <w:bCs/>
          <w:color w:val="000000" w:themeColor="text1"/>
          <w:sz w:val="22"/>
          <w:lang w:val="en-US" w:eastAsia="fr-FR"/>
        </w:rPr>
        <w:t>Company, 2018</w:t>
      </w:r>
    </w:p>
    <w:p w14:paraId="5341C977" w14:textId="059BD448" w:rsidR="000114A2" w:rsidRPr="001B00BA" w:rsidRDefault="000114A2" w:rsidP="000114A2">
      <w:pPr>
        <w:spacing w:after="0"/>
        <w:jc w:val="both"/>
        <w:rPr>
          <w:rFonts w:ascii="Cambria" w:hAnsi="Cambria"/>
          <w:b w:val="0"/>
          <w:bCs/>
          <w:color w:val="000000" w:themeColor="text1"/>
          <w:sz w:val="22"/>
        </w:rPr>
      </w:pPr>
      <w:r w:rsidRPr="001B00BA">
        <w:rPr>
          <w:rFonts w:ascii="Cambria" w:hAnsi="Cambria"/>
          <w:b w:val="0"/>
          <w:bCs/>
          <w:color w:val="000000" w:themeColor="text1"/>
          <w:sz w:val="22"/>
        </w:rPr>
        <w:t xml:space="preserve">PERETZ Pauline, </w:t>
      </w:r>
      <w:r w:rsidRPr="001B00BA">
        <w:rPr>
          <w:rFonts w:ascii="Cambria" w:hAnsi="Cambria"/>
          <w:b w:val="0"/>
          <w:bCs/>
          <w:i/>
          <w:iCs/>
          <w:color w:val="000000" w:themeColor="text1"/>
          <w:sz w:val="22"/>
        </w:rPr>
        <w:t>L'Amérique post-raciale ?</w:t>
      </w:r>
      <w:r w:rsidRPr="001B00BA">
        <w:rPr>
          <w:rFonts w:ascii="Cambria" w:hAnsi="Cambria"/>
          <w:b w:val="0"/>
          <w:bCs/>
          <w:color w:val="000000" w:themeColor="text1"/>
          <w:sz w:val="22"/>
        </w:rPr>
        <w:t xml:space="preserve"> Puf, 2013</w:t>
      </w:r>
    </w:p>
    <w:p w14:paraId="1DDACA7A" w14:textId="77777777" w:rsidR="000114A2" w:rsidRPr="001B00BA" w:rsidRDefault="000114A2" w:rsidP="000114A2">
      <w:pPr>
        <w:pStyle w:val="p1"/>
        <w:rPr>
          <w:rFonts w:ascii="Cambria" w:hAnsi="Cambria"/>
          <w:bCs/>
          <w:color w:val="000000" w:themeColor="text1"/>
          <w:sz w:val="22"/>
          <w:szCs w:val="22"/>
        </w:rPr>
      </w:pPr>
      <w:r w:rsidRPr="001B00BA">
        <w:rPr>
          <w:rFonts w:ascii="Cambria" w:hAnsi="Cambria"/>
          <w:bCs/>
          <w:color w:val="000000" w:themeColor="text1"/>
          <w:sz w:val="22"/>
          <w:szCs w:val="22"/>
        </w:rPr>
        <w:t xml:space="preserve">PORTES Jacques, </w:t>
      </w:r>
      <w:r w:rsidRPr="001B00BA">
        <w:rPr>
          <w:rFonts w:ascii="Cambria" w:hAnsi="Cambria"/>
          <w:bCs/>
          <w:i/>
          <w:iCs/>
          <w:color w:val="000000" w:themeColor="text1"/>
          <w:sz w:val="22"/>
          <w:szCs w:val="22"/>
        </w:rPr>
        <w:t>Histoire des États-Unis. De 1776 à nos jours</w:t>
      </w:r>
      <w:r w:rsidRPr="001B00BA">
        <w:rPr>
          <w:rFonts w:ascii="Cambria" w:hAnsi="Cambria"/>
          <w:bCs/>
          <w:color w:val="000000" w:themeColor="text1"/>
          <w:sz w:val="22"/>
          <w:szCs w:val="22"/>
        </w:rPr>
        <w:t>, Paris, Armand Colin, 2017</w:t>
      </w:r>
    </w:p>
    <w:p w14:paraId="6D96618A" w14:textId="77777777" w:rsidR="000114A2" w:rsidRPr="001B00BA" w:rsidRDefault="000114A2" w:rsidP="000114A2">
      <w:pPr>
        <w:widowControl w:val="0"/>
        <w:autoSpaceDE w:val="0"/>
        <w:autoSpaceDN w:val="0"/>
        <w:adjustRightInd w:val="0"/>
        <w:spacing w:after="120"/>
        <w:rPr>
          <w:rFonts w:asciiTheme="minorHAnsi" w:eastAsia="Times New Roman" w:hAnsiTheme="minorHAnsi" w:cs="Times New Roman"/>
          <w:b w:val="0"/>
          <w:bCs/>
          <w:color w:val="000000" w:themeColor="text1"/>
          <w:sz w:val="22"/>
          <w:lang w:eastAsia="fr-FR"/>
        </w:rPr>
      </w:pPr>
      <w:r w:rsidRPr="001B00BA">
        <w:rPr>
          <w:rFonts w:ascii="Cambria" w:hAnsi="Cambria"/>
          <w:b w:val="0"/>
          <w:bCs/>
          <w:color w:val="000000" w:themeColor="text1"/>
          <w:sz w:val="22"/>
        </w:rPr>
        <w:t xml:space="preserve">BANKS Russell, </w:t>
      </w:r>
      <w:r w:rsidRPr="001B00BA">
        <w:rPr>
          <w:rFonts w:ascii="Cambria" w:hAnsi="Cambria"/>
          <w:b w:val="0"/>
          <w:bCs/>
          <w:i/>
          <w:iCs/>
          <w:color w:val="000000" w:themeColor="text1"/>
          <w:sz w:val="22"/>
        </w:rPr>
        <w:t>Amérique, notre histoire</w:t>
      </w:r>
      <w:r w:rsidRPr="001B00BA">
        <w:rPr>
          <w:rFonts w:ascii="Cambria" w:hAnsi="Cambria"/>
          <w:b w:val="0"/>
          <w:bCs/>
          <w:color w:val="000000" w:themeColor="text1"/>
          <w:sz w:val="22"/>
        </w:rPr>
        <w:t>, Arles, Actes Sud, 2006</w:t>
      </w:r>
    </w:p>
    <w:p w14:paraId="216A0B4D" w14:textId="47A8B906" w:rsidR="0074198C" w:rsidRPr="001B00BA" w:rsidRDefault="00C26B0B" w:rsidP="00B21BC6">
      <w:pPr>
        <w:widowControl w:val="0"/>
        <w:autoSpaceDE w:val="0"/>
        <w:autoSpaceDN w:val="0"/>
        <w:adjustRightInd w:val="0"/>
        <w:spacing w:after="120" w:line="240" w:lineRule="auto"/>
        <w:rPr>
          <w:rFonts w:ascii="Cambria" w:eastAsia="Times New Roman" w:hAnsi="Cambria" w:cs="Times New Roman"/>
          <w:color w:val="C00000"/>
          <w:kern w:val="0"/>
          <w:sz w:val="22"/>
          <w:lang w:eastAsia="fr-FR"/>
        </w:rPr>
      </w:pPr>
      <w:r w:rsidRPr="001B00BA">
        <w:rPr>
          <w:rFonts w:ascii="Cambria" w:eastAsia="Times New Roman" w:hAnsi="Cambria" w:cs="Segoe UI"/>
          <w:b w:val="0"/>
          <w:color w:val="B71E42" w:themeColor="accent1"/>
          <w:kern w:val="0"/>
          <w:sz w:val="22"/>
          <w:lang w:eastAsia="fr-FR"/>
        </w:rPr>
        <w:br/>
      </w:r>
      <w:r w:rsidRPr="001B00BA">
        <w:rPr>
          <w:rFonts w:ascii="Cambria" w:eastAsia="Times New Roman" w:hAnsi="Cambria" w:cs="Times New Roman"/>
          <w:color w:val="C00000"/>
          <w:kern w:val="0"/>
          <w:sz w:val="22"/>
          <w:u w:val="single"/>
          <w:lang w:eastAsia="fr-FR"/>
        </w:rPr>
        <w:t>S</w:t>
      </w:r>
      <w:r w:rsidR="00B21BC6" w:rsidRPr="001B00BA">
        <w:rPr>
          <w:rFonts w:ascii="Cambria" w:eastAsia="Times New Roman" w:hAnsi="Cambria" w:cs="Times New Roman"/>
          <w:color w:val="C00000"/>
          <w:kern w:val="0"/>
          <w:sz w:val="22"/>
          <w:u w:val="single"/>
          <w:lang w:eastAsia="fr-FR"/>
        </w:rPr>
        <w:t>ujet du cours s</w:t>
      </w:r>
      <w:r w:rsidRPr="001B00BA">
        <w:rPr>
          <w:rFonts w:ascii="Cambria" w:eastAsia="Times New Roman" w:hAnsi="Cambria" w:cs="Times New Roman"/>
          <w:color w:val="C00000"/>
          <w:kern w:val="0"/>
          <w:sz w:val="22"/>
          <w:u w:val="single"/>
          <w:lang w:eastAsia="fr-FR"/>
        </w:rPr>
        <w:t>emestre 2</w:t>
      </w:r>
      <w:r w:rsidR="0074198C" w:rsidRPr="001B00BA">
        <w:rPr>
          <w:rFonts w:ascii="Cambria" w:eastAsia="Times New Roman" w:hAnsi="Cambria" w:cs="Times New Roman"/>
          <w:color w:val="C00000"/>
          <w:kern w:val="0"/>
          <w:sz w:val="22"/>
          <w:lang w:eastAsia="fr-FR"/>
        </w:rPr>
        <w:t xml:space="preserve"> : </w:t>
      </w:r>
      <w:r w:rsidR="000114A2" w:rsidRPr="001B00BA">
        <w:rPr>
          <w:rFonts w:ascii="Cambria" w:eastAsia="Times New Roman" w:hAnsi="Cambria" w:cs="Times New Roman"/>
          <w:color w:val="C00000"/>
          <w:kern w:val="0"/>
          <w:sz w:val="22"/>
          <w:lang w:eastAsia="fr-FR"/>
        </w:rPr>
        <w:t>L’éphémère siècle américain ?</w:t>
      </w:r>
    </w:p>
    <w:p w14:paraId="342A8A10" w14:textId="77777777" w:rsidR="000114A2" w:rsidRPr="001B00BA" w:rsidRDefault="000114A2" w:rsidP="000114A2">
      <w:pPr>
        <w:jc w:val="both"/>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 xml:space="preserve">Dans un éditorial du magazine </w:t>
      </w:r>
      <w:r w:rsidRPr="001B00BA">
        <w:rPr>
          <w:rFonts w:ascii="Cambria" w:eastAsia="Times New Roman" w:hAnsi="Cambria" w:cs="Times New Roman"/>
          <w:b w:val="0"/>
          <w:bCs/>
          <w:i/>
          <w:iCs/>
          <w:color w:val="000000" w:themeColor="text1"/>
          <w:sz w:val="22"/>
          <w:lang w:eastAsia="fr-FR"/>
        </w:rPr>
        <w:t>Life</w:t>
      </w:r>
      <w:r w:rsidRPr="001B00BA">
        <w:rPr>
          <w:rFonts w:ascii="Cambria" w:eastAsia="Times New Roman" w:hAnsi="Cambria" w:cs="Times New Roman"/>
          <w:b w:val="0"/>
          <w:bCs/>
          <w:iCs/>
          <w:color w:val="000000" w:themeColor="text1"/>
          <w:sz w:val="22"/>
          <w:lang w:eastAsia="fr-FR"/>
        </w:rPr>
        <w:t>, en février 1941</w:t>
      </w:r>
      <w:r w:rsidRPr="001B00BA">
        <w:rPr>
          <w:rFonts w:ascii="Cambria" w:eastAsia="Times New Roman" w:hAnsi="Cambria" w:cs="Times New Roman"/>
          <w:b w:val="0"/>
          <w:bCs/>
          <w:color w:val="000000" w:themeColor="text1"/>
          <w:sz w:val="22"/>
          <w:lang w:eastAsia="fr-FR"/>
        </w:rPr>
        <w:t xml:space="preserve">, le magnat de la presse, Henry Luce, appela ses concitoyens à construire le « siècle américain » et à s’extirper d’un sentiment isolationniste. Au sortir de la guerre froide, en écho à Luce, on évoquait l’hyperpuissance pour caractériser les États-Unis et invoquait l’existence d’un « ordre libéral international », une forme de </w:t>
      </w:r>
      <w:r w:rsidRPr="001B00BA">
        <w:rPr>
          <w:rFonts w:ascii="Cambria" w:eastAsia="Times New Roman" w:hAnsi="Cambria" w:cs="Times New Roman"/>
          <w:b w:val="0"/>
          <w:bCs/>
          <w:i/>
          <w:iCs/>
          <w:color w:val="000000" w:themeColor="text1"/>
          <w:sz w:val="22"/>
          <w:lang w:eastAsia="fr-FR"/>
        </w:rPr>
        <w:t>Pax Americana</w:t>
      </w:r>
      <w:r w:rsidRPr="001B00BA">
        <w:rPr>
          <w:rFonts w:ascii="Cambria" w:eastAsia="Times New Roman" w:hAnsi="Cambria" w:cs="Times New Roman"/>
          <w:b w:val="0"/>
          <w:bCs/>
          <w:color w:val="000000" w:themeColor="text1"/>
          <w:sz w:val="22"/>
          <w:lang w:eastAsia="fr-FR"/>
        </w:rPr>
        <w:t xml:space="preserve">, organisé par les États-Unis. Mais si certains ont évoqué la fin de l’histoire comme l’aboutissement du siècle américain, d’autres défendaient l’idée d’un clash des civilisations dont le 11 septembre 2001 serait le symbole. Quoi qu’il en soit, depuis le pays est entré dans une ère de « guerres sans fin » qui en menace la position internationale autant que la cohésion nationale. </w:t>
      </w:r>
    </w:p>
    <w:p w14:paraId="5EFF47CD" w14:textId="77777777" w:rsidR="000114A2" w:rsidRPr="001B00BA" w:rsidRDefault="000114A2" w:rsidP="000114A2">
      <w:pPr>
        <w:spacing w:after="0"/>
        <w:jc w:val="both"/>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 xml:space="preserve">L’objet de ce semestre sera d’étudier les conditions de l’affirmation de la prééminence américaine et de l’établissement d’un « ordre libéral international » qui, associant </w:t>
      </w:r>
      <w:r w:rsidRPr="001B00BA">
        <w:rPr>
          <w:rFonts w:ascii="Cambria" w:eastAsia="Times New Roman" w:hAnsi="Cambria" w:cs="Times New Roman"/>
          <w:b w:val="0"/>
          <w:bCs/>
          <w:i/>
          <w:iCs/>
          <w:color w:val="000000" w:themeColor="text1"/>
          <w:sz w:val="22"/>
          <w:lang w:eastAsia="fr-FR"/>
        </w:rPr>
        <w:t>hard</w:t>
      </w:r>
      <w:r w:rsidRPr="001B00BA">
        <w:rPr>
          <w:rFonts w:ascii="Cambria" w:eastAsia="Times New Roman" w:hAnsi="Cambria" w:cs="Times New Roman"/>
          <w:b w:val="0"/>
          <w:bCs/>
          <w:color w:val="000000" w:themeColor="text1"/>
          <w:sz w:val="22"/>
          <w:lang w:eastAsia="fr-FR"/>
        </w:rPr>
        <w:t xml:space="preserve"> et </w:t>
      </w:r>
      <w:r w:rsidRPr="001B00BA">
        <w:rPr>
          <w:rFonts w:ascii="Cambria" w:eastAsia="Times New Roman" w:hAnsi="Cambria" w:cs="Times New Roman"/>
          <w:b w:val="0"/>
          <w:bCs/>
          <w:i/>
          <w:iCs/>
          <w:color w:val="000000" w:themeColor="text1"/>
          <w:sz w:val="22"/>
          <w:lang w:eastAsia="fr-FR"/>
        </w:rPr>
        <w:t xml:space="preserve">soft </w:t>
      </w:r>
      <w:r w:rsidRPr="001B00BA">
        <w:rPr>
          <w:rFonts w:ascii="Cambria" w:eastAsia="Times New Roman" w:hAnsi="Cambria" w:cs="Times New Roman"/>
          <w:b w:val="0"/>
          <w:bCs/>
          <w:color w:val="000000" w:themeColor="text1"/>
          <w:sz w:val="22"/>
          <w:lang w:eastAsia="fr-FR"/>
        </w:rPr>
        <w:t xml:space="preserve">power, aura façonné le système international mais aussi modifié les structures politiques, sociales et économiques des États-Unis ; révélant leurs contradictions et lignes de fractures. </w:t>
      </w:r>
    </w:p>
    <w:p w14:paraId="027261F6" w14:textId="77777777" w:rsidR="000114A2" w:rsidRPr="001B00BA" w:rsidRDefault="000114A2" w:rsidP="000114A2">
      <w:pPr>
        <w:spacing w:after="0"/>
        <w:jc w:val="both"/>
        <w:rPr>
          <w:rFonts w:asciiTheme="minorHAnsi" w:eastAsia="Times New Roman" w:hAnsiTheme="minorHAnsi" w:cs="Times New Roman"/>
          <w:color w:val="000000" w:themeColor="text1"/>
          <w:sz w:val="22"/>
          <w:lang w:eastAsia="fr-FR"/>
        </w:rPr>
      </w:pPr>
    </w:p>
    <w:p w14:paraId="7924CFB7" w14:textId="77777777" w:rsidR="000114A2" w:rsidRPr="001B00BA" w:rsidRDefault="000114A2" w:rsidP="000114A2">
      <w:pPr>
        <w:widowControl w:val="0"/>
        <w:autoSpaceDE w:val="0"/>
        <w:autoSpaceDN w:val="0"/>
        <w:adjustRightInd w:val="0"/>
        <w:spacing w:after="120"/>
        <w:rPr>
          <w:rFonts w:asciiTheme="minorHAnsi" w:eastAsia="Times New Roman" w:hAnsiTheme="minorHAnsi" w:cs="Times New Roman"/>
          <w:color w:val="000000" w:themeColor="text1"/>
          <w:sz w:val="22"/>
          <w:u w:val="single"/>
          <w:lang w:val="en-US" w:eastAsia="fr-FR"/>
        </w:rPr>
      </w:pPr>
      <w:r w:rsidRPr="001B00BA">
        <w:rPr>
          <w:rFonts w:asciiTheme="minorHAnsi" w:hAnsiTheme="minorHAnsi"/>
          <w:color w:val="000000" w:themeColor="text1"/>
          <w:sz w:val="22"/>
          <w:u w:val="single"/>
          <w:lang w:val="en-US"/>
        </w:rPr>
        <w:t>Bibliographie indicative</w:t>
      </w:r>
    </w:p>
    <w:p w14:paraId="144185EA" w14:textId="77777777" w:rsidR="000114A2" w:rsidRPr="001B00BA" w:rsidRDefault="000114A2" w:rsidP="000114A2">
      <w:pPr>
        <w:widowControl w:val="0"/>
        <w:autoSpaceDE w:val="0"/>
        <w:autoSpaceDN w:val="0"/>
        <w:adjustRightInd w:val="0"/>
        <w:spacing w:after="0"/>
        <w:rPr>
          <w:rFonts w:ascii="Cambria" w:hAnsi="Cambria"/>
          <w:b w:val="0"/>
          <w:bCs/>
          <w:color w:val="000000" w:themeColor="text1"/>
          <w:sz w:val="22"/>
          <w:lang w:val="en-US"/>
        </w:rPr>
      </w:pPr>
      <w:r w:rsidRPr="001B00BA">
        <w:rPr>
          <w:rFonts w:ascii="Cambria" w:eastAsia="Times New Roman" w:hAnsi="Cambria" w:cs="Times New Roman"/>
          <w:b w:val="0"/>
          <w:bCs/>
          <w:color w:val="000000" w:themeColor="text1"/>
          <w:sz w:val="22"/>
          <w:lang w:val="en-US" w:eastAsia="fr-FR"/>
        </w:rPr>
        <w:t>BENDER</w:t>
      </w:r>
      <w:r w:rsidRPr="001B00BA">
        <w:rPr>
          <w:rFonts w:ascii="Cambria" w:hAnsi="Cambria" w:cs="Times New Roman"/>
          <w:b w:val="0"/>
          <w:bCs/>
          <w:color w:val="000000" w:themeColor="text1"/>
          <w:sz w:val="22"/>
          <w:lang w:val="en-US"/>
        </w:rPr>
        <w:t xml:space="preserve"> </w:t>
      </w:r>
      <w:r w:rsidRPr="001B00BA">
        <w:rPr>
          <w:rFonts w:ascii="Cambria" w:hAnsi="Cambria"/>
          <w:b w:val="0"/>
          <w:bCs/>
          <w:color w:val="000000" w:themeColor="text1"/>
          <w:sz w:val="22"/>
          <w:lang w:val="en-US"/>
        </w:rPr>
        <w:t xml:space="preserve">Thomas, ed., </w:t>
      </w:r>
      <w:r w:rsidRPr="001B00BA">
        <w:rPr>
          <w:rFonts w:ascii="Cambria" w:hAnsi="Cambria"/>
          <w:b w:val="0"/>
          <w:bCs/>
          <w:i/>
          <w:color w:val="000000" w:themeColor="text1"/>
          <w:sz w:val="22"/>
          <w:lang w:val="en-US"/>
        </w:rPr>
        <w:t>Rethinking American History in a Global Age</w:t>
      </w:r>
      <w:r w:rsidRPr="001B00BA">
        <w:rPr>
          <w:rFonts w:ascii="Cambria" w:hAnsi="Cambria"/>
          <w:b w:val="0"/>
          <w:bCs/>
          <w:color w:val="000000" w:themeColor="text1"/>
          <w:sz w:val="22"/>
          <w:lang w:val="en-US"/>
        </w:rPr>
        <w:t>, California U. P., 2002</w:t>
      </w:r>
    </w:p>
    <w:p w14:paraId="30BB11BD"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lang w:val="en-US"/>
        </w:rPr>
      </w:pPr>
      <w:r w:rsidRPr="001B00BA">
        <w:rPr>
          <w:rFonts w:ascii="Cambria" w:eastAsia="Times New Roman" w:hAnsi="Cambria" w:cs="Times New Roman"/>
          <w:b w:val="0"/>
          <w:bCs/>
          <w:color w:val="000000" w:themeColor="text1"/>
          <w:sz w:val="22"/>
          <w:lang w:val="en-US" w:eastAsia="fr-FR"/>
        </w:rPr>
        <w:t xml:space="preserve">HERRING </w:t>
      </w:r>
      <w:r w:rsidRPr="001B00BA">
        <w:rPr>
          <w:rFonts w:ascii="Cambria" w:hAnsi="Cambria" w:cs="Times New Roman"/>
          <w:b w:val="0"/>
          <w:bCs/>
          <w:color w:val="000000" w:themeColor="text1"/>
          <w:sz w:val="22"/>
          <w:lang w:val="en-US"/>
        </w:rPr>
        <w:t xml:space="preserve">Georges C., </w:t>
      </w:r>
      <w:r w:rsidRPr="001B00BA">
        <w:rPr>
          <w:rFonts w:ascii="Cambria" w:hAnsi="Cambria" w:cs="Times New Roman"/>
          <w:b w:val="0"/>
          <w:bCs/>
          <w:i/>
          <w:color w:val="000000" w:themeColor="text1"/>
          <w:sz w:val="22"/>
          <w:lang w:val="en-US"/>
        </w:rPr>
        <w:t>The American Century and Beyond. U.S. Foreign Relations, 1893–2015</w:t>
      </w:r>
      <w:r w:rsidRPr="001B00BA">
        <w:rPr>
          <w:rFonts w:ascii="Cambria" w:hAnsi="Cambria" w:cs="Times New Roman"/>
          <w:b w:val="0"/>
          <w:bCs/>
          <w:color w:val="000000" w:themeColor="text1"/>
          <w:sz w:val="22"/>
          <w:lang w:val="en-US"/>
        </w:rPr>
        <w:t>, New York, Oxford University Press, 2017</w:t>
      </w:r>
    </w:p>
    <w:p w14:paraId="13A44E30"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lang w:val="en-US"/>
        </w:rPr>
      </w:pPr>
      <w:r w:rsidRPr="001B00BA">
        <w:rPr>
          <w:rFonts w:ascii="Cambria" w:hAnsi="Cambria" w:cs="Times New Roman"/>
          <w:b w:val="0"/>
          <w:bCs/>
          <w:color w:val="000000" w:themeColor="text1"/>
          <w:sz w:val="22"/>
          <w:lang w:val="en-US"/>
        </w:rPr>
        <w:t>MANDELBAUM Michael, The Four Ages of American Foreign Policy, New York, Oxford University Press, 2022</w:t>
      </w:r>
    </w:p>
    <w:p w14:paraId="215848B4" w14:textId="77777777" w:rsidR="000114A2" w:rsidRPr="001B00BA" w:rsidRDefault="000114A2" w:rsidP="000114A2">
      <w:pPr>
        <w:spacing w:after="0"/>
        <w:rPr>
          <w:rFonts w:ascii="Cambria" w:hAnsi="Cambria" w:cs="Times New Roman"/>
          <w:b w:val="0"/>
          <w:bCs/>
          <w:color w:val="000000" w:themeColor="text1"/>
          <w:sz w:val="22"/>
        </w:rPr>
      </w:pPr>
      <w:r w:rsidRPr="001B00BA">
        <w:rPr>
          <w:rFonts w:ascii="Cambria" w:eastAsia="Times New Roman" w:hAnsi="Cambria" w:cs="Times New Roman"/>
          <w:b w:val="0"/>
          <w:bCs/>
          <w:color w:val="000000" w:themeColor="text1"/>
          <w:sz w:val="22"/>
          <w:lang w:eastAsia="fr-FR"/>
        </w:rPr>
        <w:t xml:space="preserve">MELANDRI </w:t>
      </w:r>
      <w:r w:rsidRPr="001B00BA">
        <w:rPr>
          <w:rFonts w:ascii="Cambria" w:hAnsi="Cambria" w:cs="Times New Roman"/>
          <w:b w:val="0"/>
          <w:bCs/>
          <w:color w:val="000000" w:themeColor="text1"/>
          <w:sz w:val="22"/>
        </w:rPr>
        <w:t xml:space="preserve">Pierre, </w:t>
      </w:r>
      <w:r w:rsidRPr="001B00BA">
        <w:rPr>
          <w:rFonts w:ascii="Cambria" w:hAnsi="Cambria" w:cs="Times New Roman"/>
          <w:b w:val="0"/>
          <w:bCs/>
          <w:i/>
          <w:color w:val="000000" w:themeColor="text1"/>
          <w:sz w:val="22"/>
        </w:rPr>
        <w:t>Le siècle américain, une histoire</w:t>
      </w:r>
      <w:r w:rsidRPr="001B00BA">
        <w:rPr>
          <w:rFonts w:ascii="Cambria" w:hAnsi="Cambria" w:cs="Times New Roman"/>
          <w:b w:val="0"/>
          <w:bCs/>
          <w:color w:val="000000" w:themeColor="text1"/>
          <w:sz w:val="22"/>
        </w:rPr>
        <w:t>, Perrin, 2016</w:t>
      </w:r>
    </w:p>
    <w:p w14:paraId="52E9DCE2" w14:textId="77777777" w:rsidR="000114A2" w:rsidRPr="001B00BA" w:rsidRDefault="000114A2" w:rsidP="000114A2">
      <w:pPr>
        <w:spacing w:after="0"/>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NOUAILHAT Yves-Henri, </w:t>
      </w:r>
      <w:r w:rsidRPr="001B00BA">
        <w:rPr>
          <w:rFonts w:ascii="Cambria" w:eastAsia="Times New Roman" w:hAnsi="Cambria" w:cs="Times New Roman"/>
          <w:b w:val="0"/>
          <w:bCs/>
          <w:i/>
          <w:iCs/>
          <w:color w:val="000000" w:themeColor="text1"/>
          <w:sz w:val="22"/>
          <w:lang w:eastAsia="fr-FR"/>
        </w:rPr>
        <w:t>Les États-Unis et le monde de 1898 à nos jours</w:t>
      </w:r>
      <w:r w:rsidRPr="001B00BA">
        <w:rPr>
          <w:rFonts w:ascii="Cambria" w:eastAsia="Times New Roman" w:hAnsi="Cambria" w:cs="Times New Roman"/>
          <w:b w:val="0"/>
          <w:bCs/>
          <w:color w:val="000000" w:themeColor="text1"/>
          <w:sz w:val="22"/>
          <w:lang w:eastAsia="fr-FR"/>
        </w:rPr>
        <w:t>, Paris, Colin, 2015 [réédition] </w:t>
      </w:r>
    </w:p>
    <w:p w14:paraId="70CBAC7B" w14:textId="77777777" w:rsidR="000114A2" w:rsidRPr="001B00BA" w:rsidRDefault="000114A2" w:rsidP="000114A2">
      <w:pPr>
        <w:spacing w:after="0"/>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PORTES Jacques, </w:t>
      </w:r>
      <w:r w:rsidRPr="001B00BA">
        <w:rPr>
          <w:rFonts w:ascii="Cambria" w:eastAsia="Times New Roman" w:hAnsi="Cambria" w:cs="Times New Roman"/>
          <w:b w:val="0"/>
          <w:bCs/>
          <w:i/>
          <w:iCs/>
          <w:color w:val="000000" w:themeColor="text1"/>
          <w:sz w:val="22"/>
          <w:lang w:eastAsia="fr-FR"/>
        </w:rPr>
        <w:t>Histoire des États-Unis de 1776 à nos jour</w:t>
      </w:r>
      <w:r w:rsidRPr="001B00BA">
        <w:rPr>
          <w:rFonts w:ascii="Cambria" w:eastAsia="Times New Roman" w:hAnsi="Cambria" w:cs="Times New Roman"/>
          <w:b w:val="0"/>
          <w:bCs/>
          <w:color w:val="000000" w:themeColor="text1"/>
          <w:sz w:val="22"/>
          <w:lang w:eastAsia="fr-FR"/>
        </w:rPr>
        <w:t>s, Armand Colin, 2013</w:t>
      </w:r>
    </w:p>
    <w:p w14:paraId="50A4D77B" w14:textId="77777777" w:rsidR="000114A2" w:rsidRPr="001B00BA" w:rsidRDefault="000114A2" w:rsidP="000114A2">
      <w:pPr>
        <w:spacing w:after="0"/>
        <w:rPr>
          <w:rFonts w:ascii="Cambria" w:hAnsi="Cambria" w:cs="Times New Roman"/>
          <w:b w:val="0"/>
          <w:bCs/>
          <w:color w:val="000000" w:themeColor="text1"/>
          <w:sz w:val="22"/>
        </w:rPr>
      </w:pPr>
      <w:r w:rsidRPr="001B00BA">
        <w:rPr>
          <w:rFonts w:ascii="Cambria" w:hAnsi="Cambria" w:cs="Times New Roman"/>
          <w:b w:val="0"/>
          <w:bCs/>
          <w:smallCaps/>
          <w:color w:val="000000" w:themeColor="text1"/>
          <w:sz w:val="22"/>
        </w:rPr>
        <w:t xml:space="preserve">RICARD </w:t>
      </w:r>
      <w:r w:rsidRPr="001B00BA">
        <w:rPr>
          <w:rFonts w:ascii="Cambria" w:hAnsi="Cambria" w:cs="Times New Roman"/>
          <w:b w:val="0"/>
          <w:bCs/>
          <w:color w:val="000000" w:themeColor="text1"/>
          <w:sz w:val="22"/>
        </w:rPr>
        <w:t xml:space="preserve">Serge, </w:t>
      </w:r>
      <w:r w:rsidRPr="001B00BA">
        <w:rPr>
          <w:rFonts w:ascii="Cambria" w:hAnsi="Cambria" w:cs="Times New Roman"/>
          <w:b w:val="0"/>
          <w:bCs/>
          <w:i/>
          <w:color w:val="000000" w:themeColor="text1"/>
          <w:sz w:val="22"/>
        </w:rPr>
        <w:t>Les États-Unis, une démocratie impérialiste</w:t>
      </w:r>
      <w:r w:rsidRPr="001B00BA">
        <w:rPr>
          <w:rFonts w:ascii="Cambria" w:hAnsi="Cambria" w:cs="Times New Roman"/>
          <w:b w:val="0"/>
          <w:bCs/>
          <w:color w:val="000000" w:themeColor="text1"/>
          <w:sz w:val="22"/>
        </w:rPr>
        <w:t xml:space="preserve">, L’Harmattan, 2016 </w:t>
      </w:r>
    </w:p>
    <w:p w14:paraId="5EEB59A1"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rPr>
      </w:pPr>
      <w:r w:rsidRPr="001B00BA">
        <w:rPr>
          <w:rFonts w:ascii="Cambria" w:hAnsi="Cambria" w:cs="Times New Roman"/>
          <w:b w:val="0"/>
          <w:bCs/>
          <w:color w:val="000000" w:themeColor="text1"/>
          <w:sz w:val="22"/>
        </w:rPr>
        <w:t xml:space="preserve">ZUNZ Olivier, </w:t>
      </w:r>
      <w:r w:rsidRPr="001B00BA">
        <w:rPr>
          <w:rFonts w:ascii="Cambria" w:hAnsi="Cambria" w:cs="Times New Roman"/>
          <w:b w:val="0"/>
          <w:bCs/>
          <w:i/>
          <w:color w:val="000000" w:themeColor="text1"/>
          <w:sz w:val="22"/>
        </w:rPr>
        <w:t xml:space="preserve">Le siècle américain. Essai sur l’essor d’une grande puissance, </w:t>
      </w:r>
      <w:r w:rsidRPr="001B00BA">
        <w:rPr>
          <w:rFonts w:ascii="Cambria" w:hAnsi="Cambria" w:cs="Times New Roman"/>
          <w:b w:val="0"/>
          <w:bCs/>
          <w:color w:val="000000" w:themeColor="text1"/>
          <w:sz w:val="22"/>
        </w:rPr>
        <w:t>Paris, Fayard, 2000</w:t>
      </w:r>
    </w:p>
    <w:p w14:paraId="289E4720" w14:textId="77777777" w:rsidR="00C26B0B" w:rsidRPr="001B00BA" w:rsidRDefault="00C26B0B" w:rsidP="00C26B0B">
      <w:pPr>
        <w:spacing w:after="0" w:line="240" w:lineRule="auto"/>
        <w:rPr>
          <w:rFonts w:ascii="Cambria" w:eastAsia="Times New Roman" w:hAnsi="Cambria" w:cs="Segoe UI"/>
          <w:b w:val="0"/>
          <w:bCs/>
          <w:color w:val="000000"/>
          <w:kern w:val="0"/>
          <w:sz w:val="22"/>
          <w:lang w:eastAsia="fr-FR"/>
        </w:rPr>
      </w:pPr>
    </w:p>
    <w:p w14:paraId="5B1B6539" w14:textId="77777777" w:rsidR="00C26B0B" w:rsidRPr="007223DB" w:rsidRDefault="00C26B0B" w:rsidP="00C26B0B">
      <w:pPr>
        <w:spacing w:after="200" w:line="240" w:lineRule="auto"/>
        <w:rPr>
          <w:rFonts w:ascii="Cambria" w:eastAsia="MS Mincho" w:hAnsi="Cambria" w:cs="Times New Roman"/>
          <w:b w:val="0"/>
          <w:bCs/>
          <w:color w:val="000000"/>
          <w:kern w:val="0"/>
          <w:szCs w:val="24"/>
        </w:rPr>
      </w:pPr>
    </w:p>
    <w:p w14:paraId="4D4EAE3F" w14:textId="77777777" w:rsidR="00BB60C7" w:rsidRPr="007223DB" w:rsidRDefault="00BB60C7" w:rsidP="00263F43">
      <w:pPr>
        <w:spacing w:after="0" w:line="276" w:lineRule="auto"/>
        <w:contextualSpacing/>
        <w:rPr>
          <w:rFonts w:ascii="Cambria" w:hAnsi="Cambria" w:cs="Times New Roman"/>
          <w:b w:val="0"/>
          <w:bCs/>
          <w:i/>
          <w:sz w:val="22"/>
        </w:rPr>
      </w:pPr>
    </w:p>
    <w:p w14:paraId="7FDA1EB1" w14:textId="77777777" w:rsidR="00C73F02" w:rsidRPr="007223DB" w:rsidRDefault="00C73F02" w:rsidP="00263F43">
      <w:pPr>
        <w:spacing w:after="0" w:line="276" w:lineRule="auto"/>
        <w:contextualSpacing/>
        <w:rPr>
          <w:rFonts w:ascii="Cambria" w:hAnsi="Cambria"/>
          <w:b w:val="0"/>
          <w:bCs/>
          <w:i/>
          <w:sz w:val="28"/>
          <w:szCs w:val="28"/>
        </w:rPr>
      </w:pPr>
    </w:p>
    <w:p w14:paraId="202A90A0" w14:textId="77777777" w:rsidR="00C73F02" w:rsidRPr="007223DB" w:rsidRDefault="00C73F02" w:rsidP="00263F43">
      <w:pPr>
        <w:spacing w:after="0" w:line="276" w:lineRule="auto"/>
        <w:contextualSpacing/>
        <w:rPr>
          <w:rFonts w:ascii="Cambria" w:hAnsi="Cambria"/>
          <w:b w:val="0"/>
          <w:bCs/>
          <w:i/>
          <w:sz w:val="28"/>
          <w:szCs w:val="28"/>
        </w:rPr>
      </w:pPr>
    </w:p>
    <w:p w14:paraId="07360ABE" w14:textId="77777777" w:rsidR="00C73F02" w:rsidRPr="007223DB" w:rsidRDefault="00C73F02" w:rsidP="00263F43">
      <w:pPr>
        <w:spacing w:after="0" w:line="276" w:lineRule="auto"/>
        <w:contextualSpacing/>
        <w:rPr>
          <w:rFonts w:ascii="Cambria" w:hAnsi="Cambria"/>
          <w:b w:val="0"/>
          <w:bCs/>
          <w:i/>
          <w:sz w:val="28"/>
          <w:szCs w:val="28"/>
        </w:rPr>
      </w:pPr>
    </w:p>
    <w:p w14:paraId="1913E5B2" w14:textId="77777777" w:rsidR="00C73F02" w:rsidRPr="007223DB" w:rsidRDefault="00C73F02" w:rsidP="00263F43">
      <w:pPr>
        <w:spacing w:after="0" w:line="276" w:lineRule="auto"/>
        <w:contextualSpacing/>
        <w:rPr>
          <w:rFonts w:ascii="Cambria" w:hAnsi="Cambria"/>
          <w:b w:val="0"/>
          <w:bCs/>
          <w:i/>
          <w:sz w:val="28"/>
          <w:szCs w:val="28"/>
        </w:rPr>
      </w:pPr>
    </w:p>
    <w:p w14:paraId="0B9DABC6" w14:textId="77777777" w:rsidR="00C73F02" w:rsidRPr="007223DB" w:rsidRDefault="00C73F02" w:rsidP="00263F43">
      <w:pPr>
        <w:spacing w:after="0" w:line="276" w:lineRule="auto"/>
        <w:contextualSpacing/>
        <w:rPr>
          <w:rFonts w:ascii="Cambria" w:hAnsi="Cambria"/>
          <w:b w:val="0"/>
          <w:bCs/>
          <w:i/>
          <w:sz w:val="28"/>
          <w:szCs w:val="28"/>
        </w:rPr>
      </w:pPr>
    </w:p>
    <w:p w14:paraId="5C9FC4BB" w14:textId="77777777" w:rsidR="00C73F02" w:rsidRPr="007223DB" w:rsidRDefault="00C73F02" w:rsidP="00263F43">
      <w:pPr>
        <w:spacing w:after="0" w:line="276" w:lineRule="auto"/>
        <w:contextualSpacing/>
        <w:rPr>
          <w:rFonts w:ascii="Cambria" w:hAnsi="Cambria"/>
          <w:b w:val="0"/>
          <w:bCs/>
          <w:i/>
          <w:sz w:val="28"/>
          <w:szCs w:val="28"/>
        </w:rPr>
      </w:pPr>
    </w:p>
    <w:p w14:paraId="751F8F21" w14:textId="77777777" w:rsidR="00C73F02" w:rsidRPr="007223DB" w:rsidRDefault="00C73F02" w:rsidP="00263F43">
      <w:pPr>
        <w:spacing w:after="0" w:line="276" w:lineRule="auto"/>
        <w:contextualSpacing/>
        <w:rPr>
          <w:rFonts w:ascii="Cambria" w:hAnsi="Cambria"/>
          <w:b w:val="0"/>
          <w:bCs/>
          <w:i/>
          <w:sz w:val="28"/>
          <w:szCs w:val="28"/>
        </w:rPr>
      </w:pPr>
    </w:p>
    <w:p w14:paraId="5D23C99C" w14:textId="77777777" w:rsidR="00C12DF2" w:rsidRPr="007223DB" w:rsidRDefault="00C12DF2" w:rsidP="00263F43">
      <w:pPr>
        <w:spacing w:after="0" w:line="276" w:lineRule="auto"/>
        <w:contextualSpacing/>
        <w:rPr>
          <w:rFonts w:ascii="Cambria" w:hAnsi="Cambria"/>
          <w:b w:val="0"/>
          <w:bCs/>
          <w:i/>
          <w:sz w:val="28"/>
          <w:szCs w:val="28"/>
        </w:rPr>
      </w:pPr>
    </w:p>
    <w:p w14:paraId="185B8E04" w14:textId="77777777" w:rsidR="00A5451A" w:rsidRPr="007223DB" w:rsidRDefault="00A5451A" w:rsidP="00263F43">
      <w:pPr>
        <w:spacing w:after="0" w:line="276" w:lineRule="auto"/>
        <w:contextualSpacing/>
        <w:rPr>
          <w:rFonts w:ascii="Cambria" w:hAnsi="Cambria"/>
          <w:b w:val="0"/>
          <w:bCs/>
          <w:i/>
          <w:sz w:val="28"/>
          <w:szCs w:val="28"/>
        </w:rPr>
      </w:pPr>
    </w:p>
    <w:p w14:paraId="548B8007" w14:textId="77777777" w:rsidR="00A5451A" w:rsidRPr="007223DB" w:rsidRDefault="00A5451A" w:rsidP="00263F43">
      <w:pPr>
        <w:spacing w:after="0" w:line="276" w:lineRule="auto"/>
        <w:contextualSpacing/>
        <w:rPr>
          <w:rFonts w:ascii="Cambria" w:hAnsi="Cambria"/>
          <w:b w:val="0"/>
          <w:bCs/>
          <w:i/>
          <w:sz w:val="28"/>
          <w:szCs w:val="28"/>
        </w:rPr>
      </w:pPr>
    </w:p>
    <w:p w14:paraId="618C8A28" w14:textId="77777777" w:rsidR="00A5451A" w:rsidRPr="007223DB" w:rsidRDefault="00A5451A" w:rsidP="00263F43">
      <w:pPr>
        <w:spacing w:after="0" w:line="276" w:lineRule="auto"/>
        <w:contextualSpacing/>
        <w:rPr>
          <w:rFonts w:ascii="Cambria" w:hAnsi="Cambria"/>
          <w:b w:val="0"/>
          <w:bCs/>
          <w:i/>
          <w:sz w:val="28"/>
          <w:szCs w:val="28"/>
        </w:rPr>
      </w:pPr>
    </w:p>
    <w:p w14:paraId="0D26B5B6" w14:textId="77777777" w:rsidR="00A5451A" w:rsidRPr="007223DB" w:rsidRDefault="00A5451A" w:rsidP="00263F43">
      <w:pPr>
        <w:spacing w:after="0" w:line="276" w:lineRule="auto"/>
        <w:contextualSpacing/>
        <w:rPr>
          <w:rFonts w:ascii="Cambria" w:hAnsi="Cambria"/>
          <w:b w:val="0"/>
          <w:bCs/>
          <w:i/>
          <w:sz w:val="28"/>
          <w:szCs w:val="28"/>
        </w:rPr>
      </w:pPr>
    </w:p>
    <w:p w14:paraId="5B4AB7E1" w14:textId="77777777" w:rsidR="00A5451A" w:rsidRPr="007223DB" w:rsidRDefault="00A5451A" w:rsidP="00263F43">
      <w:pPr>
        <w:spacing w:after="0" w:line="276" w:lineRule="auto"/>
        <w:contextualSpacing/>
        <w:rPr>
          <w:rFonts w:ascii="Cambria" w:hAnsi="Cambria"/>
          <w:b w:val="0"/>
          <w:bCs/>
          <w:i/>
          <w:sz w:val="28"/>
          <w:szCs w:val="28"/>
        </w:rPr>
      </w:pPr>
    </w:p>
    <w:p w14:paraId="457AAE60" w14:textId="77777777" w:rsidR="00A5451A" w:rsidRPr="007223DB" w:rsidRDefault="00A5451A" w:rsidP="00263F43">
      <w:pPr>
        <w:spacing w:after="0" w:line="276" w:lineRule="auto"/>
        <w:contextualSpacing/>
        <w:rPr>
          <w:rFonts w:ascii="Cambria" w:hAnsi="Cambria"/>
          <w:b w:val="0"/>
          <w:bCs/>
          <w:i/>
          <w:sz w:val="28"/>
          <w:szCs w:val="28"/>
        </w:rPr>
      </w:pPr>
    </w:p>
    <w:p w14:paraId="7189BEF8" w14:textId="77777777" w:rsidR="00A5451A" w:rsidRPr="007223DB" w:rsidRDefault="00A5451A" w:rsidP="00263F43">
      <w:pPr>
        <w:spacing w:after="0" w:line="276" w:lineRule="auto"/>
        <w:contextualSpacing/>
        <w:rPr>
          <w:rFonts w:ascii="Cambria" w:hAnsi="Cambria"/>
          <w:b w:val="0"/>
          <w:bCs/>
          <w:i/>
          <w:sz w:val="28"/>
          <w:szCs w:val="28"/>
        </w:rPr>
      </w:pPr>
    </w:p>
    <w:p w14:paraId="034DAF93" w14:textId="77777777" w:rsidR="00A5451A" w:rsidRPr="007223DB" w:rsidRDefault="00A5451A" w:rsidP="00263F43">
      <w:pPr>
        <w:spacing w:after="0" w:line="276" w:lineRule="auto"/>
        <w:contextualSpacing/>
        <w:rPr>
          <w:rFonts w:ascii="Cambria" w:hAnsi="Cambria"/>
          <w:b w:val="0"/>
          <w:bCs/>
          <w:i/>
          <w:sz w:val="28"/>
          <w:szCs w:val="28"/>
        </w:rPr>
      </w:pPr>
    </w:p>
    <w:p w14:paraId="43260E41" w14:textId="77777777" w:rsidR="00A5451A" w:rsidRPr="007223DB" w:rsidRDefault="00A5451A" w:rsidP="00263F43">
      <w:pPr>
        <w:spacing w:after="0" w:line="276" w:lineRule="auto"/>
        <w:contextualSpacing/>
        <w:rPr>
          <w:rFonts w:ascii="Cambria" w:hAnsi="Cambria"/>
          <w:b w:val="0"/>
          <w:bCs/>
          <w:i/>
          <w:sz w:val="28"/>
          <w:szCs w:val="28"/>
        </w:rPr>
      </w:pPr>
    </w:p>
    <w:p w14:paraId="22431AC9" w14:textId="77777777" w:rsidR="00A5451A" w:rsidRPr="007223DB" w:rsidRDefault="00A5451A" w:rsidP="00263F43">
      <w:pPr>
        <w:spacing w:after="0" w:line="276" w:lineRule="auto"/>
        <w:contextualSpacing/>
        <w:rPr>
          <w:rFonts w:ascii="Cambria" w:hAnsi="Cambria"/>
          <w:b w:val="0"/>
          <w:bCs/>
          <w:i/>
          <w:sz w:val="28"/>
          <w:szCs w:val="28"/>
        </w:rPr>
      </w:pPr>
    </w:p>
    <w:p w14:paraId="2D2B7D42" w14:textId="77777777" w:rsidR="00A5451A" w:rsidRPr="007223DB" w:rsidRDefault="00A5451A" w:rsidP="00263F43">
      <w:pPr>
        <w:spacing w:after="0" w:line="276" w:lineRule="auto"/>
        <w:contextualSpacing/>
        <w:rPr>
          <w:rFonts w:ascii="Cambria" w:hAnsi="Cambria"/>
          <w:b w:val="0"/>
          <w:bCs/>
          <w:i/>
          <w:sz w:val="28"/>
          <w:szCs w:val="28"/>
        </w:rPr>
      </w:pPr>
    </w:p>
    <w:p w14:paraId="2389E409" w14:textId="77777777" w:rsidR="00A5451A" w:rsidRPr="007223DB" w:rsidRDefault="00A5451A" w:rsidP="00263F43">
      <w:pPr>
        <w:spacing w:after="0" w:line="276" w:lineRule="auto"/>
        <w:contextualSpacing/>
        <w:rPr>
          <w:rFonts w:ascii="Cambria" w:hAnsi="Cambria"/>
          <w:b w:val="0"/>
          <w:bCs/>
          <w:i/>
          <w:sz w:val="28"/>
          <w:szCs w:val="28"/>
        </w:rPr>
      </w:pPr>
    </w:p>
    <w:p w14:paraId="5AB7169A" w14:textId="77777777" w:rsidR="00A5451A" w:rsidRPr="007223DB" w:rsidRDefault="00A5451A" w:rsidP="00263F43">
      <w:pPr>
        <w:spacing w:after="0" w:line="276" w:lineRule="auto"/>
        <w:contextualSpacing/>
        <w:rPr>
          <w:rFonts w:ascii="Cambria" w:hAnsi="Cambria"/>
          <w:b w:val="0"/>
          <w:bCs/>
          <w:i/>
          <w:sz w:val="28"/>
          <w:szCs w:val="28"/>
        </w:rPr>
      </w:pPr>
    </w:p>
    <w:p w14:paraId="1DE832BA" w14:textId="77777777" w:rsidR="00A5451A" w:rsidRPr="007223DB" w:rsidRDefault="00A5451A" w:rsidP="00263F43">
      <w:pPr>
        <w:spacing w:after="0" w:line="276" w:lineRule="auto"/>
        <w:contextualSpacing/>
        <w:rPr>
          <w:rFonts w:ascii="Cambria" w:hAnsi="Cambria"/>
          <w:b w:val="0"/>
          <w:bCs/>
          <w:i/>
          <w:sz w:val="28"/>
          <w:szCs w:val="28"/>
        </w:rPr>
      </w:pPr>
    </w:p>
    <w:p w14:paraId="7EAB378C" w14:textId="77777777" w:rsidR="0040614B" w:rsidRPr="007223DB" w:rsidRDefault="0040614B" w:rsidP="00263F43">
      <w:pPr>
        <w:spacing w:after="0" w:line="276" w:lineRule="auto"/>
        <w:contextualSpacing/>
        <w:rPr>
          <w:rFonts w:ascii="Cambria" w:hAnsi="Cambria"/>
          <w:b w:val="0"/>
          <w:bCs/>
          <w:i/>
          <w:sz w:val="28"/>
          <w:szCs w:val="28"/>
        </w:rPr>
      </w:pPr>
    </w:p>
    <w:p w14:paraId="6695D6DA" w14:textId="77777777" w:rsidR="0040614B" w:rsidRPr="007223DB" w:rsidRDefault="0040614B" w:rsidP="00263F43">
      <w:pPr>
        <w:spacing w:after="0" w:line="276" w:lineRule="auto"/>
        <w:contextualSpacing/>
        <w:rPr>
          <w:rFonts w:ascii="Cambria" w:hAnsi="Cambria"/>
          <w:b w:val="0"/>
          <w:bCs/>
          <w:i/>
          <w:sz w:val="28"/>
          <w:szCs w:val="28"/>
        </w:rPr>
      </w:pPr>
    </w:p>
    <w:p w14:paraId="125FD1C7" w14:textId="77777777" w:rsidR="0040614B" w:rsidRPr="007223DB" w:rsidRDefault="0040614B" w:rsidP="00263F43">
      <w:pPr>
        <w:spacing w:after="0" w:line="276" w:lineRule="auto"/>
        <w:contextualSpacing/>
        <w:rPr>
          <w:rFonts w:ascii="Cambria" w:hAnsi="Cambria"/>
          <w:b w:val="0"/>
          <w:bCs/>
          <w:i/>
          <w:sz w:val="28"/>
          <w:szCs w:val="28"/>
        </w:rPr>
      </w:pPr>
    </w:p>
    <w:p w14:paraId="661BBC1F" w14:textId="77777777" w:rsidR="0040614B" w:rsidRPr="007223DB" w:rsidRDefault="0040614B" w:rsidP="00263F43">
      <w:pPr>
        <w:spacing w:after="0" w:line="276" w:lineRule="auto"/>
        <w:contextualSpacing/>
        <w:rPr>
          <w:rFonts w:ascii="Cambria" w:hAnsi="Cambria"/>
          <w:b w:val="0"/>
          <w:bCs/>
          <w:i/>
          <w:sz w:val="28"/>
          <w:szCs w:val="28"/>
        </w:rPr>
      </w:pPr>
    </w:p>
    <w:p w14:paraId="73C1571A" w14:textId="77777777" w:rsidR="0040614B" w:rsidRPr="007223DB" w:rsidRDefault="0040614B" w:rsidP="00263F43">
      <w:pPr>
        <w:spacing w:after="0" w:line="276" w:lineRule="auto"/>
        <w:contextualSpacing/>
        <w:rPr>
          <w:rFonts w:ascii="Cambria" w:hAnsi="Cambria"/>
          <w:b w:val="0"/>
          <w:bCs/>
          <w:i/>
          <w:sz w:val="28"/>
          <w:szCs w:val="28"/>
        </w:rPr>
      </w:pPr>
    </w:p>
    <w:p w14:paraId="7BC22CE0" w14:textId="77777777" w:rsidR="0040614B" w:rsidRPr="007223DB" w:rsidRDefault="0040614B" w:rsidP="00263F43">
      <w:pPr>
        <w:spacing w:after="0" w:line="276" w:lineRule="auto"/>
        <w:contextualSpacing/>
        <w:rPr>
          <w:rFonts w:ascii="Cambria" w:hAnsi="Cambria"/>
          <w:b w:val="0"/>
          <w:bCs/>
          <w:i/>
          <w:sz w:val="28"/>
          <w:szCs w:val="28"/>
        </w:rPr>
      </w:pPr>
    </w:p>
    <w:p w14:paraId="3DC960FE" w14:textId="77777777" w:rsidR="0040614B" w:rsidRPr="007223DB" w:rsidRDefault="0040614B" w:rsidP="00263F43">
      <w:pPr>
        <w:spacing w:after="0" w:line="276" w:lineRule="auto"/>
        <w:contextualSpacing/>
        <w:rPr>
          <w:rFonts w:ascii="Cambria" w:hAnsi="Cambria"/>
          <w:b w:val="0"/>
          <w:bCs/>
          <w:i/>
          <w:sz w:val="28"/>
          <w:szCs w:val="28"/>
        </w:rPr>
      </w:pPr>
    </w:p>
    <w:p w14:paraId="71207025" w14:textId="77777777" w:rsidR="00B21BC6" w:rsidRPr="007223DB" w:rsidRDefault="00B21BC6" w:rsidP="00263F43">
      <w:pPr>
        <w:spacing w:after="0" w:line="276" w:lineRule="auto"/>
        <w:contextualSpacing/>
        <w:rPr>
          <w:rFonts w:ascii="Cambria" w:hAnsi="Cambria"/>
          <w:i/>
          <w:sz w:val="28"/>
          <w:szCs w:val="28"/>
        </w:rPr>
      </w:pPr>
    </w:p>
    <w:p w14:paraId="2D468300" w14:textId="77777777" w:rsidR="006376A3" w:rsidRPr="007223DB" w:rsidRDefault="006376A3" w:rsidP="00263F43">
      <w:pPr>
        <w:spacing w:after="0" w:line="276" w:lineRule="auto"/>
        <w:contextualSpacing/>
        <w:rPr>
          <w:rFonts w:ascii="Cambria" w:hAnsi="Cambria"/>
          <w:i/>
          <w:sz w:val="28"/>
          <w:szCs w:val="28"/>
        </w:rPr>
      </w:pPr>
    </w:p>
    <w:p w14:paraId="2F163A4C" w14:textId="77777777" w:rsidR="006376A3" w:rsidRDefault="006376A3" w:rsidP="00263F43">
      <w:pPr>
        <w:spacing w:after="0" w:line="276" w:lineRule="auto"/>
        <w:contextualSpacing/>
        <w:rPr>
          <w:rFonts w:ascii="Cambria" w:hAnsi="Cambria"/>
          <w:i/>
          <w:sz w:val="28"/>
          <w:szCs w:val="28"/>
        </w:rPr>
      </w:pPr>
    </w:p>
    <w:p w14:paraId="626BAE1D" w14:textId="77777777" w:rsidR="001B00BA" w:rsidRDefault="001B00BA" w:rsidP="00263F43">
      <w:pPr>
        <w:spacing w:after="0" w:line="276" w:lineRule="auto"/>
        <w:contextualSpacing/>
        <w:rPr>
          <w:rFonts w:ascii="Cambria" w:hAnsi="Cambria"/>
          <w:i/>
          <w:sz w:val="28"/>
          <w:szCs w:val="28"/>
        </w:rPr>
      </w:pPr>
    </w:p>
    <w:p w14:paraId="16A83276" w14:textId="77777777" w:rsidR="001B00BA" w:rsidRDefault="001B00BA" w:rsidP="00263F43">
      <w:pPr>
        <w:spacing w:after="0" w:line="276" w:lineRule="auto"/>
        <w:contextualSpacing/>
        <w:rPr>
          <w:rFonts w:ascii="Cambria" w:hAnsi="Cambria"/>
          <w:i/>
          <w:sz w:val="28"/>
          <w:szCs w:val="28"/>
        </w:rPr>
      </w:pPr>
    </w:p>
    <w:p w14:paraId="4029B54B" w14:textId="77777777" w:rsidR="001B00BA" w:rsidRDefault="001B00BA" w:rsidP="00263F43">
      <w:pPr>
        <w:spacing w:after="0" w:line="276" w:lineRule="auto"/>
        <w:contextualSpacing/>
        <w:rPr>
          <w:rFonts w:ascii="Cambria" w:hAnsi="Cambria"/>
          <w:i/>
          <w:sz w:val="28"/>
          <w:szCs w:val="28"/>
        </w:rPr>
      </w:pPr>
    </w:p>
    <w:p w14:paraId="39927895" w14:textId="77777777" w:rsidR="001B00BA" w:rsidRDefault="001B00BA" w:rsidP="00263F43">
      <w:pPr>
        <w:spacing w:after="0" w:line="276" w:lineRule="auto"/>
        <w:contextualSpacing/>
        <w:rPr>
          <w:rFonts w:ascii="Cambria" w:hAnsi="Cambria"/>
          <w:i/>
          <w:sz w:val="28"/>
          <w:szCs w:val="28"/>
        </w:rPr>
      </w:pPr>
    </w:p>
    <w:p w14:paraId="0E340D49" w14:textId="77777777" w:rsidR="001B00BA" w:rsidRDefault="001B00BA" w:rsidP="00263F43">
      <w:pPr>
        <w:spacing w:after="0" w:line="276" w:lineRule="auto"/>
        <w:contextualSpacing/>
        <w:rPr>
          <w:rFonts w:ascii="Cambria" w:hAnsi="Cambria"/>
          <w:i/>
          <w:sz w:val="28"/>
          <w:szCs w:val="28"/>
        </w:rPr>
      </w:pPr>
    </w:p>
    <w:p w14:paraId="3ED998A2" w14:textId="77777777" w:rsidR="001B00BA" w:rsidRDefault="001B00BA" w:rsidP="00263F43">
      <w:pPr>
        <w:spacing w:after="0" w:line="276" w:lineRule="auto"/>
        <w:contextualSpacing/>
        <w:rPr>
          <w:rFonts w:ascii="Cambria" w:hAnsi="Cambria"/>
          <w:i/>
          <w:sz w:val="28"/>
          <w:szCs w:val="28"/>
        </w:rPr>
      </w:pPr>
    </w:p>
    <w:p w14:paraId="60744FF9" w14:textId="77777777" w:rsidR="001B00BA" w:rsidRDefault="001B00BA" w:rsidP="00263F43">
      <w:pPr>
        <w:spacing w:after="0" w:line="276" w:lineRule="auto"/>
        <w:contextualSpacing/>
        <w:rPr>
          <w:rFonts w:ascii="Cambria" w:hAnsi="Cambria"/>
          <w:i/>
          <w:sz w:val="28"/>
          <w:szCs w:val="28"/>
        </w:rPr>
      </w:pPr>
    </w:p>
    <w:p w14:paraId="79213F0E" w14:textId="77777777" w:rsidR="001B00BA" w:rsidRDefault="001B00BA" w:rsidP="00263F43">
      <w:pPr>
        <w:spacing w:after="0" w:line="276" w:lineRule="auto"/>
        <w:contextualSpacing/>
        <w:rPr>
          <w:rFonts w:ascii="Cambria" w:hAnsi="Cambria"/>
          <w:i/>
          <w:sz w:val="28"/>
          <w:szCs w:val="28"/>
        </w:rPr>
      </w:pPr>
    </w:p>
    <w:p w14:paraId="52CB0CF1" w14:textId="77777777" w:rsidR="001B00BA" w:rsidRDefault="001B00BA" w:rsidP="00263F43">
      <w:pPr>
        <w:spacing w:after="0" w:line="276" w:lineRule="auto"/>
        <w:contextualSpacing/>
        <w:rPr>
          <w:rFonts w:ascii="Cambria" w:hAnsi="Cambria"/>
          <w:i/>
          <w:sz w:val="28"/>
          <w:szCs w:val="28"/>
        </w:rPr>
      </w:pPr>
    </w:p>
    <w:p w14:paraId="1FF17CD1" w14:textId="77777777" w:rsidR="001B00BA" w:rsidRDefault="001B00BA" w:rsidP="00263F43">
      <w:pPr>
        <w:spacing w:after="0" w:line="276" w:lineRule="auto"/>
        <w:contextualSpacing/>
        <w:rPr>
          <w:rFonts w:ascii="Cambria" w:hAnsi="Cambria"/>
          <w:i/>
          <w:sz w:val="28"/>
          <w:szCs w:val="28"/>
        </w:rPr>
      </w:pPr>
    </w:p>
    <w:p w14:paraId="692B9278" w14:textId="77777777" w:rsidR="001B00BA" w:rsidRPr="007223DB" w:rsidRDefault="001B00BA" w:rsidP="00263F43">
      <w:pPr>
        <w:spacing w:after="0" w:line="276" w:lineRule="auto"/>
        <w:contextualSpacing/>
        <w:rPr>
          <w:rFonts w:ascii="Cambria" w:hAnsi="Cambria"/>
          <w:i/>
          <w:sz w:val="28"/>
          <w:szCs w:val="28"/>
        </w:rPr>
      </w:pPr>
    </w:p>
    <w:p w14:paraId="049832B1" w14:textId="77777777" w:rsidR="00B21BC6" w:rsidRPr="007223DB" w:rsidRDefault="00B21BC6" w:rsidP="00263F43">
      <w:pPr>
        <w:spacing w:after="0" w:line="276" w:lineRule="auto"/>
        <w:contextualSpacing/>
        <w:rPr>
          <w:rFonts w:ascii="Cambria" w:hAnsi="Cambria"/>
          <w:i/>
          <w:sz w:val="28"/>
          <w:szCs w:val="28"/>
        </w:rPr>
      </w:pPr>
    </w:p>
    <w:p w14:paraId="5464DC3B" w14:textId="77777777" w:rsidR="000F1F41" w:rsidRPr="007223DB" w:rsidRDefault="000F1F41" w:rsidP="00263F43">
      <w:pPr>
        <w:spacing w:after="0" w:line="276" w:lineRule="auto"/>
        <w:contextualSpacing/>
        <w:rPr>
          <w:rFonts w:ascii="Cambria" w:hAnsi="Cambria"/>
          <w:i/>
          <w:sz w:val="28"/>
          <w:szCs w:val="28"/>
        </w:rPr>
      </w:pPr>
    </w:p>
    <w:p w14:paraId="5F208B32" w14:textId="77777777" w:rsidR="00C8480A" w:rsidRPr="007223DB" w:rsidRDefault="00BB22E8" w:rsidP="00C8480A">
      <w:pPr>
        <w:spacing w:after="0" w:line="276" w:lineRule="auto"/>
        <w:contextualSpacing/>
        <w:jc w:val="center"/>
        <w:rPr>
          <w:rFonts w:ascii="Cambria" w:hAnsi="Cambria"/>
          <w:i/>
          <w:color w:val="C00000"/>
          <w:sz w:val="28"/>
          <w:szCs w:val="28"/>
        </w:rPr>
      </w:pPr>
      <w:r w:rsidRPr="007223DB">
        <w:rPr>
          <w:rFonts w:ascii="Cambria" w:hAnsi="Cambria"/>
          <w:i/>
          <w:color w:val="C00000"/>
          <w:sz w:val="28"/>
          <w:szCs w:val="28"/>
        </w:rPr>
        <w:t>J3041319/J3041419</w:t>
      </w:r>
      <w:r w:rsidR="00C8480A" w:rsidRPr="007223DB">
        <w:rPr>
          <w:rFonts w:ascii="Cambria" w:hAnsi="Cambria"/>
          <w:i/>
          <w:color w:val="C00000"/>
          <w:sz w:val="28"/>
          <w:szCs w:val="28"/>
        </w:rPr>
        <w:t xml:space="preserve"> : Histoire contemporaine de l’Amérique Latine</w:t>
      </w:r>
    </w:p>
    <w:p w14:paraId="7E88DF51" w14:textId="77777777" w:rsidR="00C8480A" w:rsidRPr="007223DB" w:rsidRDefault="00C8480A" w:rsidP="00C8480A">
      <w:pPr>
        <w:spacing w:after="0" w:line="276" w:lineRule="auto"/>
        <w:contextualSpacing/>
        <w:jc w:val="center"/>
        <w:rPr>
          <w:rFonts w:ascii="Cambria" w:hAnsi="Cambria"/>
          <w:b w:val="0"/>
          <w:sz w:val="22"/>
        </w:rPr>
      </w:pPr>
    </w:p>
    <w:p w14:paraId="519A8709" w14:textId="38534A64" w:rsidR="00AF18F0" w:rsidRPr="000A2C54" w:rsidRDefault="00F42644" w:rsidP="00F42644">
      <w:pPr>
        <w:widowControl w:val="0"/>
        <w:autoSpaceDE w:val="0"/>
        <w:autoSpaceDN w:val="0"/>
        <w:adjustRightInd w:val="0"/>
        <w:jc w:val="center"/>
        <w:rPr>
          <w:rFonts w:ascii="Cambria" w:hAnsi="Cambria" w:cs="Times New Roman"/>
          <w:bCs/>
          <w:sz w:val="22"/>
          <w:lang w:val="en-US"/>
        </w:rPr>
      </w:pPr>
      <w:r w:rsidRPr="000A2C54">
        <w:rPr>
          <w:rFonts w:ascii="Cambria" w:hAnsi="Cambria" w:cs="Times New Roman"/>
          <w:bCs/>
          <w:sz w:val="22"/>
          <w:lang w:val="en-US"/>
        </w:rPr>
        <w:t>Geneviève Verdo (CM</w:t>
      </w:r>
      <w:r w:rsidR="0007139E" w:rsidRPr="000A2C54">
        <w:rPr>
          <w:rFonts w:ascii="Cambria" w:hAnsi="Cambria" w:cs="Times New Roman"/>
          <w:bCs/>
          <w:sz w:val="22"/>
          <w:lang w:val="en-US"/>
        </w:rPr>
        <w:t xml:space="preserve">), </w:t>
      </w:r>
      <w:r w:rsidR="0007139E" w:rsidRPr="000A2C54">
        <w:rPr>
          <w:rFonts w:eastAsia="Times New Roman" w:cs="Times New Roman"/>
          <w:color w:val="000000" w:themeColor="text1"/>
          <w:sz w:val="22"/>
          <w:lang w:val="en-US" w:eastAsia="fr-FR"/>
        </w:rPr>
        <w:t>Calixte Madej</w:t>
      </w:r>
      <w:r w:rsidR="0007139E" w:rsidRPr="000A2C54">
        <w:rPr>
          <w:rFonts w:ascii="Cambria" w:hAnsi="Cambria" w:cs="Times New Roman"/>
          <w:bCs/>
          <w:sz w:val="22"/>
          <w:lang w:val="en-US"/>
        </w:rPr>
        <w:t xml:space="preserve"> (</w:t>
      </w:r>
      <w:r w:rsidR="00E73FEF" w:rsidRPr="000A2C54">
        <w:rPr>
          <w:rFonts w:ascii="Cambria" w:hAnsi="Cambria" w:cs="Times New Roman"/>
          <w:bCs/>
          <w:sz w:val="22"/>
          <w:lang w:val="en-US"/>
        </w:rPr>
        <w:t>TD)</w:t>
      </w:r>
    </w:p>
    <w:p w14:paraId="609EC1E7" w14:textId="7A874284" w:rsidR="00F42644" w:rsidRPr="000A2C54" w:rsidRDefault="00F42644" w:rsidP="00F42644">
      <w:pPr>
        <w:rPr>
          <w:rFonts w:ascii="Cambria" w:hAnsi="Cambria"/>
          <w:b w:val="0"/>
          <w:bCs/>
          <w:color w:val="C00000"/>
          <w:sz w:val="22"/>
        </w:rPr>
      </w:pPr>
      <w:r w:rsidRPr="000A2C54">
        <w:rPr>
          <w:rFonts w:ascii="Cambria" w:hAnsi="Cambria"/>
          <w:bCs/>
          <w:color w:val="C00000"/>
          <w:sz w:val="22"/>
          <w:u w:val="single"/>
        </w:rPr>
        <w:t>Sujet du cours semestre 1</w:t>
      </w:r>
      <w:r w:rsidRPr="000A2C54">
        <w:rPr>
          <w:rFonts w:ascii="Cambria" w:hAnsi="Cambria"/>
          <w:bCs/>
          <w:color w:val="C00000"/>
          <w:sz w:val="22"/>
        </w:rPr>
        <w:t> : « Construire la République : le XIX</w:t>
      </w:r>
      <w:r w:rsidRPr="000A2C54">
        <w:rPr>
          <w:rFonts w:ascii="Cambria" w:hAnsi="Cambria"/>
          <w:bCs/>
          <w:color w:val="C00000"/>
          <w:sz w:val="22"/>
          <w:vertAlign w:val="superscript"/>
        </w:rPr>
        <w:t>e</w:t>
      </w:r>
      <w:r w:rsidRPr="000A2C54">
        <w:rPr>
          <w:rFonts w:ascii="Cambria" w:hAnsi="Cambria"/>
          <w:bCs/>
          <w:color w:val="C00000"/>
          <w:sz w:val="22"/>
        </w:rPr>
        <w:t xml:space="preserve"> siècle latino-américain »</w:t>
      </w:r>
    </w:p>
    <w:p w14:paraId="428CC6E4" w14:textId="77777777" w:rsidR="0007139E" w:rsidRPr="000A2C54" w:rsidRDefault="0007139E" w:rsidP="0007139E">
      <w:pPr>
        <w:jc w:val="both"/>
        <w:rPr>
          <w:sz w:val="22"/>
          <w:u w:val="single"/>
        </w:rPr>
      </w:pPr>
      <w:r w:rsidRPr="000A2C54">
        <w:rPr>
          <w:sz w:val="22"/>
          <w:u w:val="single"/>
        </w:rPr>
        <w:t>Présentation :</w:t>
      </w:r>
    </w:p>
    <w:p w14:paraId="2DB6EE9F" w14:textId="77777777" w:rsidR="0007139E" w:rsidRPr="000A2C54" w:rsidRDefault="0007139E" w:rsidP="0007139E">
      <w:pPr>
        <w:jc w:val="both"/>
        <w:rPr>
          <w:rFonts w:ascii="Cambria" w:hAnsi="Cambria"/>
          <w:b w:val="0"/>
          <w:bCs/>
          <w:sz w:val="22"/>
        </w:rPr>
      </w:pPr>
      <w:r w:rsidRPr="000A2C54">
        <w:rPr>
          <w:rFonts w:ascii="Cambria" w:hAnsi="Cambria"/>
          <w:b w:val="0"/>
          <w:bCs/>
          <w:sz w:val="22"/>
        </w:rPr>
        <w:t>A l’issue des indépendances, acquises entre 1811 et 1825, les nouvelles nations latino-américaines sont confrontées à la nécessité de s’affranchir du passé impérial et de se doter d’institutions conformes aux principes libéraux alors en vogue, tout en reconstruisant un ordre économique et social mis à mal par quinze ans de guerre. La république s’impose alors comme mode de gouvernement dans l’ancienne Amérique espagnole, le Brésil conservant jusqu’à la fin du siècle un régime impérial tempéré par une constitution. Les dirigeants sont à la recherche de la bonne formule de gouvernement, capable d’ancrer les nouveaux principes – tels que la souveraineté du peuple ou l’égalité civile – tout en luttant contre l’instabilité politique et en recréant des hiérarchies sociales sur d’autres fondements que ceux de l’ancien régime.</w:t>
      </w:r>
    </w:p>
    <w:p w14:paraId="5DED22C6" w14:textId="77777777" w:rsidR="0007139E" w:rsidRPr="000A2C54" w:rsidRDefault="0007139E" w:rsidP="0007139E">
      <w:pPr>
        <w:jc w:val="both"/>
        <w:rPr>
          <w:rFonts w:ascii="Cambria" w:hAnsi="Cambria"/>
          <w:b w:val="0"/>
          <w:bCs/>
          <w:sz w:val="22"/>
        </w:rPr>
      </w:pPr>
      <w:r w:rsidRPr="000A2C54">
        <w:rPr>
          <w:rFonts w:ascii="Cambria" w:hAnsi="Cambria"/>
          <w:b w:val="0"/>
          <w:bCs/>
          <w:sz w:val="22"/>
        </w:rPr>
        <w:t>Si les secteurs conservateurs s’efforcent tout au long du siècle de refroidir les passions politiques et de limiter les velléités d’émancipation des secteurs populaires, les libéraux et les radicaux s’attachent pour leur part à accomplir les promesses des révolutions en poursuivant les réformes (désamortissement, abolition de l’esclavage, séparation de l’Église et de l’État) et en approfondissant le répertoire démocratique. Cette construction des nouvelles républiques se heurte néanmoins à l’extrême pauvreté des États, corrélée à la force des pouvoirs locaux, au dynamisme des acteurs sociaux, ainsi qu’aux menaces de reconquête et d’expansion des puissances européennes et des États-Unis.</w:t>
      </w:r>
    </w:p>
    <w:p w14:paraId="6D5BFE0A" w14:textId="77777777" w:rsidR="0007139E" w:rsidRPr="000A2C54" w:rsidRDefault="0007139E" w:rsidP="0007139E">
      <w:pPr>
        <w:jc w:val="both"/>
        <w:rPr>
          <w:rFonts w:ascii="Cambria" w:hAnsi="Cambria"/>
          <w:b w:val="0"/>
          <w:bCs/>
          <w:sz w:val="22"/>
        </w:rPr>
      </w:pPr>
      <w:r w:rsidRPr="000A2C54">
        <w:rPr>
          <w:rFonts w:ascii="Cambria" w:hAnsi="Cambria"/>
          <w:b w:val="0"/>
          <w:bCs/>
          <w:sz w:val="22"/>
        </w:rPr>
        <w:t>Le cours explorera ce processus de construction politique des nations latino-américaines en proposant un bilan des indépendances et distinguant, par la suite, trois grandes séquences : un premier moment de repli (1830-1848/50), marqué par l’instabilité politique ; un second moment réformiste (1850-1870), où le répertoire démocratique s’approfondit et un troisième moment (1870-1898), caractérisé par l’insertion mondiale des économies latino-américaines, un renforcement des États centraux et une fermeture « oligarchique » des différents régimes.</w:t>
      </w:r>
    </w:p>
    <w:p w14:paraId="7D2DA5FD" w14:textId="77777777" w:rsidR="0007139E" w:rsidRPr="000A2C54" w:rsidRDefault="0007139E" w:rsidP="0007139E">
      <w:pPr>
        <w:rPr>
          <w:rFonts w:ascii="Cambria" w:hAnsi="Cambria"/>
          <w:b w:val="0"/>
          <w:bCs/>
          <w:sz w:val="22"/>
        </w:rPr>
      </w:pPr>
    </w:p>
    <w:p w14:paraId="5B45CB87" w14:textId="77777777" w:rsidR="0007139E" w:rsidRPr="000A2C54" w:rsidRDefault="0007139E" w:rsidP="0007139E">
      <w:pPr>
        <w:rPr>
          <w:rFonts w:ascii="Cambria" w:hAnsi="Cambria"/>
          <w:b w:val="0"/>
          <w:bCs/>
          <w:sz w:val="22"/>
          <w:u w:val="single"/>
        </w:rPr>
      </w:pPr>
      <w:r w:rsidRPr="000A2C54">
        <w:rPr>
          <w:rFonts w:ascii="Cambria" w:hAnsi="Cambria"/>
          <w:b w:val="0"/>
          <w:bCs/>
          <w:sz w:val="22"/>
          <w:u w:val="single"/>
        </w:rPr>
        <w:t>Orientation bibliographique</w:t>
      </w:r>
    </w:p>
    <w:p w14:paraId="1F9DD42F" w14:textId="77777777" w:rsidR="0007139E" w:rsidRPr="000A2C54" w:rsidRDefault="0007139E" w:rsidP="0007139E">
      <w:pPr>
        <w:ind w:left="567" w:hanging="567"/>
        <w:jc w:val="both"/>
        <w:rPr>
          <w:rFonts w:ascii="Cambria" w:hAnsi="Cambria"/>
          <w:b w:val="0"/>
          <w:bCs/>
          <w:sz w:val="22"/>
        </w:rPr>
      </w:pPr>
      <w:r w:rsidRPr="000A2C54">
        <w:rPr>
          <w:rFonts w:ascii="Cambria" w:hAnsi="Cambria"/>
          <w:b w:val="0"/>
          <w:bCs/>
          <w:sz w:val="22"/>
        </w:rPr>
        <w:t xml:space="preserve">Lempérière, Annick et Verdo, Geneviève, « L’Amérique latine », in Pierre Singaravelou et Sylvain Venayre dir., </w:t>
      </w:r>
      <w:r w:rsidRPr="000A2C54">
        <w:rPr>
          <w:rFonts w:ascii="Cambria" w:hAnsi="Cambria"/>
          <w:b w:val="0"/>
          <w:bCs/>
          <w:i/>
          <w:iCs/>
          <w:sz w:val="22"/>
        </w:rPr>
        <w:t>Histoire du monde au XIX</w:t>
      </w:r>
      <w:r w:rsidRPr="000A2C54">
        <w:rPr>
          <w:rFonts w:ascii="Cambria" w:hAnsi="Cambria"/>
          <w:b w:val="0"/>
          <w:bCs/>
          <w:i/>
          <w:iCs/>
          <w:sz w:val="22"/>
          <w:vertAlign w:val="superscript"/>
        </w:rPr>
        <w:t>e</w:t>
      </w:r>
      <w:r w:rsidRPr="000A2C54">
        <w:rPr>
          <w:rFonts w:ascii="Cambria" w:hAnsi="Cambria"/>
          <w:b w:val="0"/>
          <w:bCs/>
          <w:i/>
          <w:iCs/>
          <w:sz w:val="22"/>
        </w:rPr>
        <w:t xml:space="preserve"> siècle</w:t>
      </w:r>
      <w:r w:rsidRPr="000A2C54">
        <w:rPr>
          <w:rFonts w:ascii="Cambria" w:hAnsi="Cambria"/>
          <w:b w:val="0"/>
          <w:bCs/>
          <w:sz w:val="22"/>
        </w:rPr>
        <w:t>, Paris, Fayard, p. 577-589</w:t>
      </w:r>
    </w:p>
    <w:p w14:paraId="04E1D643" w14:textId="77777777" w:rsidR="0007139E" w:rsidRPr="000A2C54" w:rsidRDefault="0007139E" w:rsidP="0007139E">
      <w:pPr>
        <w:ind w:left="567" w:hanging="567"/>
        <w:jc w:val="both"/>
        <w:rPr>
          <w:rFonts w:ascii="Cambria" w:hAnsi="Cambria"/>
          <w:b w:val="0"/>
          <w:bCs/>
          <w:sz w:val="22"/>
        </w:rPr>
      </w:pPr>
      <w:r w:rsidRPr="000A2C54">
        <w:rPr>
          <w:rFonts w:ascii="Cambria" w:hAnsi="Cambria"/>
          <w:b w:val="0"/>
          <w:bCs/>
          <w:sz w:val="22"/>
        </w:rPr>
        <w:t xml:space="preserve">Thibaud, Clément et Palieraki, Eugenia, </w:t>
      </w:r>
      <w:r w:rsidRPr="000A2C54">
        <w:rPr>
          <w:rFonts w:ascii="Cambria" w:hAnsi="Cambria"/>
          <w:b w:val="0"/>
          <w:bCs/>
          <w:i/>
          <w:iCs/>
          <w:sz w:val="22"/>
        </w:rPr>
        <w:t>L’Amérique latine embrasée. Deux siècles de révolutions et de contre-révolutions</w:t>
      </w:r>
      <w:r w:rsidRPr="000A2C54">
        <w:rPr>
          <w:rFonts w:ascii="Cambria" w:hAnsi="Cambria"/>
          <w:b w:val="0"/>
          <w:bCs/>
          <w:sz w:val="22"/>
        </w:rPr>
        <w:t>, Paris, Armand Colin, 2023</w:t>
      </w:r>
    </w:p>
    <w:p w14:paraId="66E56AE1"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Jaksic, Iván ed., </w:t>
      </w:r>
      <w:r w:rsidRPr="000A2C54">
        <w:rPr>
          <w:rFonts w:ascii="Cambria" w:hAnsi="Cambria"/>
          <w:b w:val="0"/>
          <w:bCs/>
          <w:i/>
          <w:color w:val="000000" w:themeColor="text1"/>
          <w:sz w:val="22"/>
          <w:lang w:val="en-US"/>
        </w:rPr>
        <w:t>Liberalismo y poder: Latinoamérica en el siglo XIX</w:t>
      </w:r>
      <w:r w:rsidRPr="000A2C54">
        <w:rPr>
          <w:rFonts w:ascii="Cambria" w:hAnsi="Cambria"/>
          <w:b w:val="0"/>
          <w:bCs/>
          <w:color w:val="000000" w:themeColor="text1"/>
          <w:sz w:val="22"/>
          <w:lang w:val="en-US"/>
        </w:rPr>
        <w:t>, Santiago de Chile, Fondo de Cultura Económica, 2011.</w:t>
      </w:r>
    </w:p>
    <w:p w14:paraId="0A422FD4"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Sabato, Hilda, </w:t>
      </w:r>
      <w:r w:rsidRPr="000A2C54">
        <w:rPr>
          <w:rFonts w:ascii="Cambria" w:hAnsi="Cambria"/>
          <w:b w:val="0"/>
          <w:bCs/>
          <w:i/>
          <w:color w:val="000000" w:themeColor="text1"/>
          <w:sz w:val="22"/>
          <w:lang w:val="en-US"/>
        </w:rPr>
        <w:t>Republics of the New World: The Revolutionary Political Experiment in 19th-Century Latin America</w:t>
      </w:r>
      <w:r w:rsidRPr="000A2C54">
        <w:rPr>
          <w:rFonts w:ascii="Cambria" w:hAnsi="Cambria"/>
          <w:b w:val="0"/>
          <w:bCs/>
          <w:color w:val="000000" w:themeColor="text1"/>
          <w:sz w:val="22"/>
          <w:lang w:val="en-US"/>
        </w:rPr>
        <w:t>, Princeton and Oxford, Princeton University Press, 2018.</w:t>
      </w:r>
    </w:p>
    <w:p w14:paraId="283195AF"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Sanders, James, </w:t>
      </w:r>
      <w:r w:rsidRPr="000A2C54">
        <w:rPr>
          <w:rFonts w:ascii="Cambria" w:hAnsi="Cambria"/>
          <w:b w:val="0"/>
          <w:bCs/>
          <w:i/>
          <w:color w:val="000000" w:themeColor="text1"/>
          <w:sz w:val="22"/>
          <w:lang w:val="en-US"/>
        </w:rPr>
        <w:t>The Vanguard of the Atlantic World. Creating Modernity, nation and Democracy in XIX</w:t>
      </w:r>
      <w:r w:rsidRPr="000A2C54">
        <w:rPr>
          <w:rFonts w:ascii="Cambria" w:hAnsi="Cambria"/>
          <w:b w:val="0"/>
          <w:bCs/>
          <w:i/>
          <w:color w:val="000000" w:themeColor="text1"/>
          <w:sz w:val="22"/>
          <w:vertAlign w:val="superscript"/>
          <w:lang w:val="en-US"/>
        </w:rPr>
        <w:t>th</w:t>
      </w:r>
      <w:r w:rsidRPr="000A2C54">
        <w:rPr>
          <w:rFonts w:ascii="Cambria" w:hAnsi="Cambria"/>
          <w:b w:val="0"/>
          <w:bCs/>
          <w:i/>
          <w:color w:val="000000" w:themeColor="text1"/>
          <w:sz w:val="22"/>
          <w:lang w:val="en-US"/>
        </w:rPr>
        <w:t xml:space="preserve"> Century Latin America, </w:t>
      </w:r>
      <w:r w:rsidRPr="000A2C54">
        <w:rPr>
          <w:rFonts w:ascii="Cambria" w:hAnsi="Cambria"/>
          <w:b w:val="0"/>
          <w:bCs/>
          <w:color w:val="000000" w:themeColor="text1"/>
          <w:sz w:val="22"/>
          <w:lang w:val="en-US"/>
        </w:rPr>
        <w:t>Durham and London, Duke University Press, 2014.</w:t>
      </w:r>
    </w:p>
    <w:p w14:paraId="114820DC" w14:textId="77777777" w:rsidR="0007139E" w:rsidRPr="000A2C54" w:rsidRDefault="0007139E" w:rsidP="0007139E">
      <w:pPr>
        <w:ind w:left="284" w:hanging="284"/>
        <w:jc w:val="both"/>
        <w:rPr>
          <w:rFonts w:ascii="Cambria" w:hAnsi="Cambria"/>
          <w:b w:val="0"/>
          <w:bCs/>
          <w:color w:val="000000" w:themeColor="text1"/>
          <w:sz w:val="22"/>
        </w:rPr>
      </w:pPr>
      <w:r w:rsidRPr="000A2C54">
        <w:rPr>
          <w:rFonts w:ascii="Cambria" w:hAnsi="Cambria"/>
          <w:b w:val="0"/>
          <w:bCs/>
          <w:color w:val="000000" w:themeColor="text1"/>
          <w:sz w:val="22"/>
        </w:rPr>
        <w:t xml:space="preserve">Sobrevilla, Natalia, ed., </w:t>
      </w:r>
      <w:r w:rsidRPr="000A2C54">
        <w:rPr>
          <w:rFonts w:ascii="Cambria" w:hAnsi="Cambria"/>
          <w:b w:val="0"/>
          <w:bCs/>
          <w:i/>
          <w:iCs/>
          <w:color w:val="000000" w:themeColor="text1"/>
          <w:sz w:val="22"/>
        </w:rPr>
        <w:t>Repúblicas sudamericanas en construcción. Hacia una historia en común</w:t>
      </w:r>
      <w:r w:rsidRPr="000A2C54">
        <w:rPr>
          <w:rFonts w:ascii="Cambria" w:hAnsi="Cambria"/>
          <w:b w:val="0"/>
          <w:bCs/>
          <w:color w:val="000000" w:themeColor="text1"/>
          <w:sz w:val="22"/>
        </w:rPr>
        <w:t>, Lima, Fondo de Cultura Económica, 2021.</w:t>
      </w:r>
    </w:p>
    <w:p w14:paraId="5E8B36D0" w14:textId="77777777" w:rsidR="00F42644" w:rsidRPr="000A2C54" w:rsidRDefault="00F42644" w:rsidP="00F42644">
      <w:pPr>
        <w:widowControl w:val="0"/>
        <w:autoSpaceDE w:val="0"/>
        <w:autoSpaceDN w:val="0"/>
        <w:adjustRightInd w:val="0"/>
        <w:rPr>
          <w:rFonts w:ascii="Cambria" w:hAnsi="Cambria" w:cs="Times New Roman"/>
          <w:b w:val="0"/>
          <w:bCs/>
          <w:sz w:val="22"/>
        </w:rPr>
      </w:pPr>
    </w:p>
    <w:p w14:paraId="683C4184" w14:textId="29783B33" w:rsidR="00240A05" w:rsidRPr="000A2C54" w:rsidRDefault="00240A05" w:rsidP="003C2C13">
      <w:pPr>
        <w:rPr>
          <w:rFonts w:ascii="Cambria" w:eastAsia="Times New Roman" w:hAnsi="Cambria" w:cs="Times New Roman"/>
          <w:bCs/>
          <w:color w:val="C00000"/>
          <w:sz w:val="22"/>
          <w:lang w:eastAsia="fr-FR"/>
        </w:rPr>
      </w:pPr>
      <w:r w:rsidRPr="000A2C54">
        <w:rPr>
          <w:rFonts w:ascii="Cambria" w:eastAsia="Times New Roman" w:hAnsi="Cambria" w:cs="Times New Roman"/>
          <w:bCs/>
          <w:color w:val="C00000"/>
          <w:sz w:val="22"/>
          <w:u w:val="single"/>
          <w:lang w:eastAsia="fr-FR"/>
        </w:rPr>
        <w:t>Sujet du cours</w:t>
      </w:r>
      <w:r w:rsidR="00A85659" w:rsidRPr="000A2C54">
        <w:rPr>
          <w:rFonts w:ascii="Cambria" w:eastAsia="Times New Roman" w:hAnsi="Cambria" w:cs="Times New Roman"/>
          <w:bCs/>
          <w:color w:val="C00000"/>
          <w:sz w:val="22"/>
          <w:u w:val="single"/>
          <w:lang w:eastAsia="fr-FR"/>
        </w:rPr>
        <w:t xml:space="preserve"> semestre 2</w:t>
      </w:r>
      <w:r w:rsidRPr="000A2C54">
        <w:rPr>
          <w:rFonts w:ascii="Cambria" w:eastAsia="Times New Roman" w:hAnsi="Cambria" w:cs="Times New Roman"/>
          <w:bCs/>
          <w:color w:val="C00000"/>
          <w:sz w:val="22"/>
          <w:lang w:eastAsia="fr-FR"/>
        </w:rPr>
        <w:t> :</w:t>
      </w:r>
      <w:r w:rsidRPr="000A2C54">
        <w:rPr>
          <w:rFonts w:ascii="Cambria" w:eastAsia="Times New Roman" w:hAnsi="Cambria" w:cs="Times New Roman"/>
          <w:b w:val="0"/>
          <w:bCs/>
          <w:color w:val="C00000"/>
          <w:sz w:val="22"/>
          <w:lang w:eastAsia="fr-FR"/>
        </w:rPr>
        <w:t xml:space="preserve"> </w:t>
      </w:r>
      <w:r w:rsidRPr="000A2C54">
        <w:rPr>
          <w:rFonts w:ascii="Cambria" w:eastAsia="Times New Roman" w:hAnsi="Cambria" w:cs="Times New Roman"/>
          <w:bCs/>
          <w:color w:val="C00000"/>
          <w:sz w:val="22"/>
          <w:lang w:eastAsia="fr-FR"/>
        </w:rPr>
        <w:t>« Une histoire politique et sociale de l’engagement dans l’Amérique latine du XXe siècle</w:t>
      </w:r>
      <w:r w:rsidR="00D32A8D" w:rsidRPr="000A2C54">
        <w:rPr>
          <w:rFonts w:ascii="Cambria" w:eastAsia="Times New Roman" w:hAnsi="Cambria" w:cs="Times New Roman"/>
          <w:bCs/>
          <w:color w:val="C00000"/>
          <w:sz w:val="22"/>
          <w:lang w:eastAsia="fr-FR"/>
        </w:rPr>
        <w:t> »</w:t>
      </w:r>
    </w:p>
    <w:p w14:paraId="47098D52" w14:textId="77777777" w:rsidR="0007139E" w:rsidRPr="000A2C54" w:rsidRDefault="0007139E" w:rsidP="0007139E">
      <w:pPr>
        <w:pStyle w:val="NormalWeb"/>
        <w:spacing w:before="0" w:beforeAutospacing="0" w:after="0" w:afterAutospacing="0"/>
        <w:jc w:val="both"/>
        <w:rPr>
          <w:rFonts w:cs="Times New Roman"/>
          <w:b/>
          <w:bCs/>
          <w:color w:val="000000"/>
          <w:sz w:val="22"/>
          <w:szCs w:val="22"/>
        </w:rPr>
      </w:pPr>
      <w:r w:rsidRPr="000A2C54">
        <w:rPr>
          <w:rFonts w:cs="Times New Roman"/>
          <w:b/>
          <w:bCs/>
          <w:color w:val="000000"/>
          <w:sz w:val="22"/>
          <w:szCs w:val="22"/>
          <w:u w:val="single"/>
        </w:rPr>
        <w:t>Présentation :</w:t>
      </w:r>
    </w:p>
    <w:p w14:paraId="547F6252" w14:textId="77777777" w:rsidR="0007139E" w:rsidRPr="000A2C54" w:rsidRDefault="0007139E" w:rsidP="0007139E">
      <w:pPr>
        <w:spacing w:after="0"/>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L’histoire politique du XXe siècle en Amérique latine est souvent abordée à travers les régimes autoritaires et les coups d’État militaires, ou encore par les « grandes » révolutions et leurs figures emblématiques. Plutôt que de se focaliser uniquement sur ces événements exceptionnels, ce cours propose d’examiner aussi le politique au quotidien dans l’Amérique latine du XXe siècle, en explorant les mécanismes habituels de l’engagement politique et social. Pourquoi s’engage-t-on et comment choisit-on son engagement ? Quels sont les principaux moteurs de l’engagement : les idées politiques ou les expériences sociales ? Comment catégoriser les acteurs individuels et collectifs qui se mobilisent ?</w:t>
      </w:r>
    </w:p>
    <w:p w14:paraId="35EBD455" w14:textId="77777777" w:rsidR="0007139E" w:rsidRPr="000A2C54" w:rsidRDefault="0007139E" w:rsidP="0007139E">
      <w:pPr>
        <w:spacing w:after="0"/>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Historiciser l’engagement politique et social permettra, en premier lieu, de retracer l’histoire des idées qui le sous-tendent : le marxisme, l’anarchisme, l’indigénisme, le catholicisme social, ainsi que le fascisme et l’anticommunisme. Cette histoire intellectuelle de l’engagement est également celle des acteurs qui produisent ces théories ou en sont les passeurs. L’histoire de l’engagement implique aussi de s’intéresser aux acteurs, qu’ils soient individuels ou collectifs, institutionnalisés ou non, qui se mobilisent. On peut ainsi évoquer les communautés paysannes et les artisans urbains dans le Mexique des années 1910-1920, les associations féministes en Bolivie dans les années 1920-1930, ou encore au Nicaragua et au Salvador dans les années 1970-1980. Le mouvement étudiant au Pérou dans les années 1920 ou à Cuba entre les années 1930 et 1950, les classes moyennes dans le Chili de l’Unité Populaire, ainsi que l’Église catholique et les Forces armées en Argentine et au Chili à la fin des années 1970 sont autant d'exemples. Cette histoire nous invite également à nous interroger sur le rapport entre représentations et pratiques, ainsi que sur les limites de l’engagement et ses crises pouvant mener au désengagement.</w:t>
      </w:r>
    </w:p>
    <w:p w14:paraId="333D93FA" w14:textId="77777777" w:rsidR="0007139E" w:rsidRPr="000A2C54" w:rsidRDefault="0007139E" w:rsidP="0007139E">
      <w:pPr>
        <w:spacing w:after="0"/>
        <w:jc w:val="both"/>
        <w:rPr>
          <w:rFonts w:ascii="Times New Roman" w:hAnsi="Times New Roman" w:cs="Times New Roman"/>
          <w:b w:val="0"/>
          <w:bCs/>
          <w:color w:val="000000"/>
          <w:sz w:val="22"/>
        </w:rPr>
      </w:pPr>
    </w:p>
    <w:p w14:paraId="632C793B" w14:textId="77777777" w:rsidR="00037012" w:rsidRPr="000A2C54" w:rsidRDefault="00037012" w:rsidP="0007139E">
      <w:pPr>
        <w:spacing w:after="0"/>
        <w:jc w:val="both"/>
        <w:rPr>
          <w:rFonts w:ascii="Times New Roman" w:hAnsi="Times New Roman" w:cs="Times New Roman"/>
          <w:b w:val="0"/>
          <w:bCs/>
          <w:color w:val="000000"/>
          <w:sz w:val="22"/>
        </w:rPr>
      </w:pPr>
    </w:p>
    <w:p w14:paraId="5C62A227" w14:textId="77777777" w:rsidR="0007139E" w:rsidRPr="000A2C54" w:rsidRDefault="0007139E" w:rsidP="0007139E">
      <w:pPr>
        <w:spacing w:after="0"/>
        <w:jc w:val="both"/>
        <w:rPr>
          <w:rFonts w:ascii="Times New Roman" w:hAnsi="Times New Roman" w:cs="Times New Roman"/>
          <w:b w:val="0"/>
          <w:bCs/>
          <w:color w:val="000000"/>
          <w:sz w:val="22"/>
          <w:u w:val="single"/>
        </w:rPr>
      </w:pPr>
      <w:r w:rsidRPr="000A2C54">
        <w:rPr>
          <w:rFonts w:ascii="Times New Roman" w:hAnsi="Times New Roman" w:cs="Times New Roman"/>
          <w:b w:val="0"/>
          <w:bCs/>
          <w:color w:val="000000"/>
          <w:sz w:val="22"/>
          <w:u w:val="single"/>
        </w:rPr>
        <w:t>Orientation bibliographique :</w:t>
      </w:r>
    </w:p>
    <w:p w14:paraId="4EF3A52F" w14:textId="77777777" w:rsidR="0007139E" w:rsidRPr="000A2C54" w:rsidRDefault="0007139E" w:rsidP="0007139E">
      <w:pPr>
        <w:spacing w:after="0"/>
        <w:ind w:left="567" w:hanging="567"/>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 xml:space="preserve">Giuseppe, Massimo ; La Bella, Gianni, </w:t>
      </w:r>
      <w:r w:rsidRPr="000A2C54">
        <w:rPr>
          <w:rFonts w:ascii="Times New Roman" w:hAnsi="Times New Roman" w:cs="Times New Roman"/>
          <w:b w:val="0"/>
          <w:bCs/>
          <w:i/>
          <w:iCs/>
          <w:color w:val="000000"/>
          <w:sz w:val="22"/>
        </w:rPr>
        <w:t>Historia contemporánea de América Latina</w:t>
      </w:r>
      <w:r w:rsidRPr="000A2C54">
        <w:rPr>
          <w:rFonts w:ascii="Times New Roman" w:hAnsi="Times New Roman" w:cs="Times New Roman"/>
          <w:b w:val="0"/>
          <w:bCs/>
          <w:color w:val="000000"/>
          <w:sz w:val="22"/>
        </w:rPr>
        <w:t>, Mexico, Turner, 2022.</w:t>
      </w:r>
    </w:p>
    <w:p w14:paraId="7414CEF1"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Guerra, François-Xavier, </w:t>
      </w:r>
      <w:r w:rsidRPr="000A2C54">
        <w:rPr>
          <w:rFonts w:ascii="Times New Roman" w:hAnsi="Times New Roman" w:cs="Times New Roman"/>
          <w:b w:val="0"/>
          <w:i/>
          <w:iCs/>
          <w:color w:val="000000"/>
          <w:sz w:val="22"/>
        </w:rPr>
        <w:t>Le Mexique : De l’Ancien Régime à la Révolution</w:t>
      </w:r>
      <w:r w:rsidRPr="000A2C54">
        <w:rPr>
          <w:rFonts w:ascii="Times New Roman" w:hAnsi="Times New Roman" w:cs="Times New Roman"/>
          <w:b w:val="0"/>
          <w:color w:val="000000"/>
          <w:sz w:val="22"/>
        </w:rPr>
        <w:t>, Paris, L’Harmattan, 1985.</w:t>
      </w:r>
    </w:p>
    <w:p w14:paraId="5D53EFB5" w14:textId="77777777" w:rsidR="0007139E" w:rsidRPr="000A2C54" w:rsidRDefault="0007139E" w:rsidP="0007139E">
      <w:pPr>
        <w:spacing w:after="0"/>
        <w:ind w:left="567" w:hanging="567"/>
        <w:jc w:val="both"/>
        <w:rPr>
          <w:rFonts w:ascii="Times New Roman" w:hAnsi="Times New Roman" w:cs="Times New Roman"/>
          <w:b w:val="0"/>
          <w:color w:val="000000"/>
          <w:sz w:val="22"/>
          <w:lang w:val="en-US"/>
        </w:rPr>
      </w:pPr>
      <w:r w:rsidRPr="000A2C54">
        <w:rPr>
          <w:rFonts w:ascii="Times New Roman" w:hAnsi="Times New Roman" w:cs="Times New Roman"/>
          <w:b w:val="0"/>
          <w:bCs/>
          <w:color w:val="000000"/>
          <w:sz w:val="22"/>
          <w:lang w:val="en-US"/>
        </w:rPr>
        <w:t xml:space="preserve">Knight, Alan, </w:t>
      </w:r>
      <w:r w:rsidRPr="000A2C54">
        <w:rPr>
          <w:rFonts w:ascii="Times New Roman" w:hAnsi="Times New Roman" w:cs="Times New Roman"/>
          <w:b w:val="0"/>
          <w:i/>
          <w:iCs/>
          <w:color w:val="000000"/>
          <w:sz w:val="22"/>
          <w:lang w:val="en-US"/>
        </w:rPr>
        <w:t>Bandits and Liberals, Rebels and Saints: Latin America since Independence</w:t>
      </w:r>
      <w:r w:rsidRPr="000A2C54">
        <w:rPr>
          <w:rFonts w:ascii="Times New Roman" w:hAnsi="Times New Roman" w:cs="Times New Roman"/>
          <w:b w:val="0"/>
          <w:color w:val="000000"/>
          <w:sz w:val="22"/>
          <w:lang w:val="en-US"/>
        </w:rPr>
        <w:t>, Lincoln, University of Nebraska Press, 2022.</w:t>
      </w:r>
    </w:p>
    <w:p w14:paraId="781FCBD7"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Lempérière, Annick, </w:t>
      </w:r>
      <w:r w:rsidRPr="000A2C54">
        <w:rPr>
          <w:rFonts w:ascii="Times New Roman" w:hAnsi="Times New Roman" w:cs="Times New Roman"/>
          <w:b w:val="0"/>
          <w:i/>
          <w:iCs/>
          <w:color w:val="000000"/>
          <w:sz w:val="22"/>
        </w:rPr>
        <w:t>Les clercs de la nation. Intellectuels, État et société au Mexique</w:t>
      </w:r>
      <w:r w:rsidRPr="000A2C54">
        <w:rPr>
          <w:rFonts w:ascii="Times New Roman" w:hAnsi="Times New Roman" w:cs="Times New Roman"/>
          <w:b w:val="0"/>
          <w:color w:val="000000"/>
          <w:sz w:val="22"/>
        </w:rPr>
        <w:t>, Paris, L’Harmattan, 1992.</w:t>
      </w:r>
    </w:p>
    <w:p w14:paraId="76DBF62E" w14:textId="77777777" w:rsidR="0007139E" w:rsidRPr="000A2C54" w:rsidRDefault="0007139E" w:rsidP="0007139E">
      <w:pPr>
        <w:spacing w:after="0"/>
        <w:ind w:left="567" w:hanging="567"/>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 xml:space="preserve">Palieraki, Eugénia ; Thibaud, Clément, </w:t>
      </w:r>
      <w:r w:rsidRPr="000A2C54">
        <w:rPr>
          <w:rFonts w:ascii="Times New Roman" w:hAnsi="Times New Roman" w:cs="Times New Roman"/>
          <w:b w:val="0"/>
          <w:bCs/>
          <w:i/>
          <w:iCs/>
          <w:color w:val="000000"/>
          <w:sz w:val="22"/>
        </w:rPr>
        <w:t>L’Amérique latine embrasée. Deux siècles de révolutions et de contre-révolutions</w:t>
      </w:r>
      <w:r w:rsidRPr="000A2C54">
        <w:rPr>
          <w:rFonts w:ascii="Times New Roman" w:hAnsi="Times New Roman" w:cs="Times New Roman"/>
          <w:b w:val="0"/>
          <w:bCs/>
          <w:color w:val="000000"/>
          <w:sz w:val="22"/>
        </w:rPr>
        <w:t>, Paris, Armand Colin, 2023.</w:t>
      </w:r>
    </w:p>
    <w:p w14:paraId="6F80454F"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Rojas, Rafael, </w:t>
      </w:r>
      <w:r w:rsidRPr="000A2C54">
        <w:rPr>
          <w:rFonts w:ascii="Times New Roman" w:hAnsi="Times New Roman" w:cs="Times New Roman"/>
          <w:b w:val="0"/>
          <w:i/>
          <w:iCs/>
          <w:color w:val="000000"/>
          <w:sz w:val="22"/>
        </w:rPr>
        <w:t>El árbol de las revoluciones. Ideas y poder en América Latina</w:t>
      </w:r>
      <w:r w:rsidRPr="000A2C54">
        <w:rPr>
          <w:rFonts w:ascii="Times New Roman" w:hAnsi="Times New Roman" w:cs="Times New Roman"/>
          <w:b w:val="0"/>
          <w:color w:val="000000"/>
          <w:sz w:val="22"/>
        </w:rPr>
        <w:t>, Mexico, Turner, 2021.</w:t>
      </w:r>
      <w:r w:rsidRPr="000A2C54">
        <w:rPr>
          <w:rFonts w:ascii="Times New Roman" w:hAnsi="Times New Roman" w:cs="Times New Roman"/>
          <w:b w:val="0"/>
          <w:i/>
          <w:iCs/>
          <w:color w:val="000000"/>
          <w:sz w:val="22"/>
        </w:rPr>
        <w:t xml:space="preserve"> </w:t>
      </w:r>
    </w:p>
    <w:p w14:paraId="26EFD89E" w14:textId="77777777" w:rsidR="0007139E" w:rsidRPr="000A2C54" w:rsidRDefault="0007139E" w:rsidP="0007139E">
      <w:pPr>
        <w:rPr>
          <w:b w:val="0"/>
          <w:bCs/>
          <w:sz w:val="22"/>
        </w:rPr>
      </w:pPr>
    </w:p>
    <w:p w14:paraId="75EFADE2" w14:textId="77777777" w:rsidR="00C4725E" w:rsidRPr="000A2C54" w:rsidRDefault="00C4725E" w:rsidP="00DA1A43">
      <w:pPr>
        <w:spacing w:after="0" w:line="276" w:lineRule="auto"/>
        <w:contextualSpacing/>
        <w:jc w:val="both"/>
        <w:rPr>
          <w:rFonts w:ascii="Cambria" w:hAnsi="Cambria"/>
          <w:b w:val="0"/>
          <w:sz w:val="22"/>
        </w:rPr>
      </w:pPr>
    </w:p>
    <w:p w14:paraId="0F4899AB" w14:textId="77777777" w:rsidR="00C4725E" w:rsidRPr="000A2C54" w:rsidRDefault="00C4725E" w:rsidP="00DA1A43">
      <w:pPr>
        <w:spacing w:after="0" w:line="276" w:lineRule="auto"/>
        <w:contextualSpacing/>
        <w:jc w:val="both"/>
        <w:rPr>
          <w:rFonts w:ascii="Cambria" w:hAnsi="Cambria"/>
          <w:b w:val="0"/>
          <w:sz w:val="22"/>
        </w:rPr>
      </w:pPr>
    </w:p>
    <w:p w14:paraId="4276EAD1" w14:textId="77777777" w:rsidR="00A5451A" w:rsidRPr="000A2C54" w:rsidRDefault="00A5451A" w:rsidP="00DA1A43">
      <w:pPr>
        <w:spacing w:after="0" w:line="276" w:lineRule="auto"/>
        <w:contextualSpacing/>
        <w:jc w:val="both"/>
        <w:rPr>
          <w:rFonts w:ascii="Cambria" w:hAnsi="Cambria"/>
          <w:b w:val="0"/>
          <w:sz w:val="22"/>
        </w:rPr>
      </w:pPr>
    </w:p>
    <w:p w14:paraId="06D35A83" w14:textId="77777777" w:rsidR="004B3FAF" w:rsidRPr="000A2C54" w:rsidRDefault="004B3FAF" w:rsidP="00DA1A43">
      <w:pPr>
        <w:spacing w:after="0" w:line="276" w:lineRule="auto"/>
        <w:contextualSpacing/>
        <w:jc w:val="both"/>
        <w:rPr>
          <w:rFonts w:ascii="Cambria" w:hAnsi="Cambria"/>
          <w:b w:val="0"/>
          <w:sz w:val="22"/>
        </w:rPr>
      </w:pPr>
    </w:p>
    <w:p w14:paraId="06737BFE" w14:textId="77777777" w:rsidR="0006566E" w:rsidRPr="000A2C54" w:rsidRDefault="0006566E" w:rsidP="00DA1A43">
      <w:pPr>
        <w:spacing w:after="0" w:line="276" w:lineRule="auto"/>
        <w:contextualSpacing/>
        <w:jc w:val="both"/>
        <w:rPr>
          <w:rFonts w:ascii="Cambria" w:hAnsi="Cambria"/>
          <w:b w:val="0"/>
          <w:sz w:val="22"/>
        </w:rPr>
      </w:pPr>
    </w:p>
    <w:p w14:paraId="1E5A322A" w14:textId="77777777" w:rsidR="0006566E" w:rsidRPr="000A2C54" w:rsidRDefault="0006566E" w:rsidP="00DA1A43">
      <w:pPr>
        <w:spacing w:after="0" w:line="276" w:lineRule="auto"/>
        <w:contextualSpacing/>
        <w:jc w:val="both"/>
        <w:rPr>
          <w:rFonts w:ascii="Cambria" w:hAnsi="Cambria"/>
          <w:b w:val="0"/>
          <w:sz w:val="22"/>
        </w:rPr>
      </w:pPr>
    </w:p>
    <w:p w14:paraId="7E4A7146" w14:textId="77777777" w:rsidR="0006566E" w:rsidRPr="000A2C54" w:rsidRDefault="0006566E" w:rsidP="00DA1A43">
      <w:pPr>
        <w:spacing w:after="0" w:line="276" w:lineRule="auto"/>
        <w:contextualSpacing/>
        <w:jc w:val="both"/>
        <w:rPr>
          <w:rFonts w:ascii="Cambria" w:hAnsi="Cambria"/>
          <w:b w:val="0"/>
          <w:sz w:val="22"/>
        </w:rPr>
      </w:pPr>
    </w:p>
    <w:p w14:paraId="76F761B1" w14:textId="77777777" w:rsidR="00F42644" w:rsidRPr="000A2C54" w:rsidRDefault="00F42644" w:rsidP="00DA1A43">
      <w:pPr>
        <w:spacing w:after="0" w:line="276" w:lineRule="auto"/>
        <w:contextualSpacing/>
        <w:jc w:val="both"/>
        <w:rPr>
          <w:rFonts w:ascii="Cambria" w:hAnsi="Cambria"/>
          <w:b w:val="0"/>
          <w:sz w:val="22"/>
        </w:rPr>
      </w:pPr>
    </w:p>
    <w:p w14:paraId="3D0D6215" w14:textId="77777777" w:rsidR="00F42644" w:rsidRPr="000A2C54" w:rsidRDefault="00F42644" w:rsidP="00DA1A43">
      <w:pPr>
        <w:spacing w:after="0" w:line="276" w:lineRule="auto"/>
        <w:contextualSpacing/>
        <w:jc w:val="both"/>
        <w:rPr>
          <w:rFonts w:ascii="Cambria" w:hAnsi="Cambria"/>
          <w:b w:val="0"/>
          <w:sz w:val="22"/>
        </w:rPr>
      </w:pPr>
    </w:p>
    <w:p w14:paraId="3B8DE5D5" w14:textId="77777777" w:rsidR="00F42644" w:rsidRPr="000A2C54" w:rsidRDefault="00F42644" w:rsidP="00DA1A43">
      <w:pPr>
        <w:spacing w:after="0" w:line="276" w:lineRule="auto"/>
        <w:contextualSpacing/>
        <w:jc w:val="both"/>
        <w:rPr>
          <w:rFonts w:ascii="Cambria" w:hAnsi="Cambria"/>
          <w:b w:val="0"/>
          <w:sz w:val="22"/>
        </w:rPr>
      </w:pPr>
    </w:p>
    <w:p w14:paraId="7C5BD32E" w14:textId="77777777" w:rsidR="00F42644" w:rsidRPr="007223DB" w:rsidRDefault="00F42644" w:rsidP="00DA1A43">
      <w:pPr>
        <w:spacing w:after="0" w:line="276" w:lineRule="auto"/>
        <w:contextualSpacing/>
        <w:jc w:val="both"/>
        <w:rPr>
          <w:rFonts w:ascii="Cambria" w:hAnsi="Cambria"/>
          <w:b w:val="0"/>
          <w:sz w:val="22"/>
        </w:rPr>
      </w:pPr>
    </w:p>
    <w:p w14:paraId="406C49D4" w14:textId="77777777" w:rsidR="00F42644" w:rsidRPr="007223DB" w:rsidRDefault="00F42644" w:rsidP="00DA1A43">
      <w:pPr>
        <w:spacing w:after="0" w:line="276" w:lineRule="auto"/>
        <w:contextualSpacing/>
        <w:jc w:val="both"/>
        <w:rPr>
          <w:rFonts w:ascii="Cambria" w:hAnsi="Cambria"/>
          <w:b w:val="0"/>
          <w:sz w:val="22"/>
        </w:rPr>
      </w:pPr>
    </w:p>
    <w:p w14:paraId="02BCCC33" w14:textId="77777777" w:rsidR="00F42644" w:rsidRPr="007223DB" w:rsidRDefault="00F42644" w:rsidP="00DA1A43">
      <w:pPr>
        <w:spacing w:after="0" w:line="276" w:lineRule="auto"/>
        <w:contextualSpacing/>
        <w:jc w:val="both"/>
        <w:rPr>
          <w:rFonts w:ascii="Cambria" w:hAnsi="Cambria"/>
          <w:b w:val="0"/>
          <w:sz w:val="22"/>
        </w:rPr>
      </w:pPr>
    </w:p>
    <w:p w14:paraId="12360B8B" w14:textId="77777777" w:rsidR="009F20D8" w:rsidRPr="007223DB" w:rsidRDefault="009F20D8"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FE726FD" w14:textId="77777777" w:rsidR="006376A3" w:rsidRPr="007223DB"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3175B6D" w14:textId="77777777" w:rsidR="006376A3"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BEBDBAE"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7ED2399"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3C6F0C48"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83B68F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34CA173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8CEAC22"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62A5A76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AB50C73"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01103923"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0683F35"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42479304"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CC3610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F9BC6DD"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687EBD66" w14:textId="77777777" w:rsidR="000A2C54" w:rsidRPr="007223DB"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8CA10C8" w14:textId="77777777" w:rsidR="006376A3" w:rsidRPr="007223DB"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AE8EE3F" w14:textId="77777777" w:rsidR="009F20D8" w:rsidRPr="007223DB" w:rsidRDefault="009F20D8" w:rsidP="00D547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E64734F" w14:textId="3E659A9A" w:rsidR="00D547B0" w:rsidRPr="007223DB" w:rsidRDefault="00BB22E8" w:rsidP="00D547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J3041519 /J3041619</w:t>
      </w:r>
      <w:r w:rsidR="00532744" w:rsidRPr="007223DB">
        <w:rPr>
          <w:rFonts w:ascii="Cambria" w:hAnsi="Cambria"/>
          <w:i/>
          <w:color w:val="C00000"/>
          <w:sz w:val="28"/>
          <w:szCs w:val="28"/>
          <w:lang w:eastAsia="fr-FR"/>
        </w:rPr>
        <w:t xml:space="preserve"> : </w:t>
      </w:r>
      <w:r w:rsidR="00D547B0" w:rsidRPr="007223DB">
        <w:rPr>
          <w:rFonts w:ascii="Cambria" w:hAnsi="Cambria"/>
          <w:i/>
          <w:color w:val="C00000"/>
          <w:sz w:val="28"/>
          <w:szCs w:val="28"/>
          <w:lang w:eastAsia="fr-FR"/>
        </w:rPr>
        <w:t xml:space="preserve">Histoire contemporaine de l’Afrique </w:t>
      </w:r>
      <w:r w:rsidR="00E12C2E" w:rsidRPr="007223DB">
        <w:rPr>
          <w:rFonts w:ascii="Cambria" w:hAnsi="Cambria"/>
          <w:i/>
          <w:color w:val="C00000"/>
          <w:sz w:val="28"/>
          <w:szCs w:val="28"/>
          <w:lang w:eastAsia="fr-FR"/>
        </w:rPr>
        <w:t>subsaharienne</w:t>
      </w:r>
    </w:p>
    <w:p w14:paraId="7B728F2E" w14:textId="77777777" w:rsidR="00D547B0" w:rsidRPr="007223DB" w:rsidRDefault="00D547B0" w:rsidP="002C70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szCs w:val="24"/>
          <w:u w:val="single"/>
        </w:rPr>
      </w:pPr>
    </w:p>
    <w:p w14:paraId="74EBC481" w14:textId="6E8EA0C2" w:rsidR="00D547B0" w:rsidRPr="007223DB" w:rsidRDefault="00C4725E" w:rsidP="00BE3F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 Samuel Sanchez (S1)</w:t>
      </w:r>
      <w:r w:rsidR="00B66147" w:rsidRPr="007223DB">
        <w:rPr>
          <w:rFonts w:ascii="Cambria" w:hAnsi="Cambria" w:cs="Times New Roman"/>
          <w:sz w:val="22"/>
        </w:rPr>
        <w:t>,</w:t>
      </w:r>
      <w:r w:rsidR="00D547B0" w:rsidRPr="007223DB">
        <w:rPr>
          <w:rFonts w:ascii="Cambria" w:hAnsi="Cambria" w:cs="Times New Roman"/>
          <w:sz w:val="22"/>
        </w:rPr>
        <w:t xml:space="preserve"> </w:t>
      </w:r>
      <w:r w:rsidR="001E5C0B" w:rsidRPr="007223DB">
        <w:rPr>
          <w:rFonts w:ascii="Cambria" w:hAnsi="Cambria" w:cs="Times New Roman"/>
          <w:sz w:val="22"/>
        </w:rPr>
        <w:t>Anne Hugon</w:t>
      </w:r>
      <w:r w:rsidR="00FC0880" w:rsidRPr="007223DB">
        <w:rPr>
          <w:rFonts w:ascii="Cambria" w:hAnsi="Cambria" w:cs="Times New Roman"/>
          <w:sz w:val="22"/>
        </w:rPr>
        <w:t xml:space="preserve"> </w:t>
      </w:r>
      <w:r w:rsidR="00CB5CA2" w:rsidRPr="007223DB">
        <w:rPr>
          <w:rFonts w:ascii="Cambria" w:hAnsi="Cambria" w:cs="Times New Roman"/>
          <w:sz w:val="22"/>
        </w:rPr>
        <w:t>(S2)</w:t>
      </w:r>
    </w:p>
    <w:p w14:paraId="7101173E" w14:textId="77777777" w:rsidR="00C4725E" w:rsidRPr="007223DB" w:rsidRDefault="00C4725E" w:rsidP="00BE3F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color w:val="B71E42" w:themeColor="accent1"/>
          <w:sz w:val="22"/>
        </w:rPr>
      </w:pPr>
    </w:p>
    <w:p w14:paraId="12B0CD6B" w14:textId="70212345" w:rsidR="009548F5" w:rsidRPr="002C7092" w:rsidRDefault="00C4725E" w:rsidP="009548F5">
      <w:pPr>
        <w:spacing w:after="0" w:line="240" w:lineRule="auto"/>
        <w:rPr>
          <w:rFonts w:ascii="Cambria" w:eastAsia="Times New Roman" w:hAnsi="Cambria" w:cs="Times New Roman"/>
          <w:b w:val="0"/>
          <w:color w:val="C00000"/>
          <w:kern w:val="0"/>
          <w:sz w:val="21"/>
          <w:szCs w:val="21"/>
          <w:lang w:eastAsia="fr-FR"/>
        </w:rPr>
      </w:pPr>
      <w:r w:rsidRPr="002C7092">
        <w:rPr>
          <w:rFonts w:ascii="Cambria" w:hAnsi="Cambria"/>
          <w:bCs/>
          <w:color w:val="C00000"/>
          <w:sz w:val="21"/>
          <w:szCs w:val="21"/>
          <w:u w:val="single"/>
        </w:rPr>
        <w:t>Su</w:t>
      </w:r>
      <w:r w:rsidR="00EE03A3" w:rsidRPr="002C7092">
        <w:rPr>
          <w:rFonts w:ascii="Cambria" w:hAnsi="Cambria"/>
          <w:bCs/>
          <w:color w:val="C00000"/>
          <w:sz w:val="21"/>
          <w:szCs w:val="21"/>
          <w:u w:val="single"/>
        </w:rPr>
        <w:t>j</w:t>
      </w:r>
      <w:r w:rsidRPr="002C7092">
        <w:rPr>
          <w:rFonts w:ascii="Cambria" w:hAnsi="Cambria"/>
          <w:bCs/>
          <w:color w:val="C00000"/>
          <w:sz w:val="21"/>
          <w:szCs w:val="21"/>
          <w:u w:val="single"/>
        </w:rPr>
        <w:t xml:space="preserve">et du cours </w:t>
      </w:r>
      <w:r w:rsidR="002C7092" w:rsidRPr="002C7092">
        <w:rPr>
          <w:rFonts w:ascii="Cambria" w:hAnsi="Cambria"/>
          <w:bCs/>
          <w:color w:val="C00000"/>
          <w:sz w:val="21"/>
          <w:szCs w:val="21"/>
          <w:u w:val="single"/>
        </w:rPr>
        <w:t xml:space="preserve">semestre </w:t>
      </w:r>
      <w:r w:rsidRPr="002C7092">
        <w:rPr>
          <w:rFonts w:ascii="Cambria" w:hAnsi="Cambria"/>
          <w:bCs/>
          <w:color w:val="C00000"/>
          <w:sz w:val="21"/>
          <w:szCs w:val="21"/>
          <w:u w:val="single"/>
        </w:rPr>
        <w:t>1</w:t>
      </w:r>
      <w:r w:rsidR="00EE03A3" w:rsidRPr="002C7092">
        <w:rPr>
          <w:rFonts w:ascii="Cambria" w:hAnsi="Cambria"/>
          <w:bCs/>
          <w:color w:val="C00000"/>
          <w:sz w:val="21"/>
          <w:szCs w:val="21"/>
        </w:rPr>
        <w:t xml:space="preserve"> : </w:t>
      </w:r>
      <w:bookmarkStart w:id="29" w:name="_Hlk201225661"/>
      <w:r w:rsidR="009548F5" w:rsidRPr="002C7092">
        <w:rPr>
          <w:rFonts w:ascii="Cambria" w:eastAsia="Times New Roman" w:hAnsi="Cambria" w:cs="Helvetica"/>
          <w:bCs/>
          <w:color w:val="C00000"/>
          <w:kern w:val="0"/>
          <w:sz w:val="21"/>
          <w:szCs w:val="21"/>
          <w:bdr w:val="none" w:sz="0" w:space="0" w:color="auto" w:frame="1"/>
          <w:lang w:eastAsia="fr-FR"/>
        </w:rPr>
        <w:t>Sociétés et économies d'Afrique</w:t>
      </w:r>
      <w:r w:rsidR="002C7092" w:rsidRPr="002C7092">
        <w:rPr>
          <w:rFonts w:ascii="Cambria" w:eastAsia="Times New Roman" w:hAnsi="Cambria" w:cs="Helvetica"/>
          <w:bCs/>
          <w:color w:val="C00000"/>
          <w:kern w:val="0"/>
          <w:sz w:val="21"/>
          <w:szCs w:val="21"/>
          <w:bdr w:val="none" w:sz="0" w:space="0" w:color="auto" w:frame="1"/>
          <w:lang w:eastAsia="fr-FR"/>
        </w:rPr>
        <w:t xml:space="preserve"> </w:t>
      </w:r>
      <w:r w:rsidR="009548F5" w:rsidRPr="002C7092">
        <w:rPr>
          <w:rFonts w:ascii="Cambria" w:eastAsia="Times New Roman" w:hAnsi="Cambria" w:cs="Helvetica"/>
          <w:bCs/>
          <w:color w:val="C00000"/>
          <w:kern w:val="0"/>
          <w:sz w:val="21"/>
          <w:szCs w:val="21"/>
          <w:bdr w:val="none" w:sz="0" w:space="0" w:color="auto" w:frame="1"/>
          <w:lang w:eastAsia="fr-FR"/>
        </w:rPr>
        <w:t>subsaharienne, de l’impérialisme informel aux colonisations XIXe-XXe s.</w:t>
      </w:r>
    </w:p>
    <w:bookmarkEnd w:id="29"/>
    <w:p w14:paraId="23C52A8F"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Helvetica"/>
          <w:b w:val="0"/>
          <w:kern w:val="0"/>
          <w:sz w:val="22"/>
          <w:bdr w:val="none" w:sz="0" w:space="0" w:color="auto" w:frame="1"/>
          <w:lang w:eastAsia="fr-FR"/>
        </w:rPr>
        <w:t> </w:t>
      </w:r>
    </w:p>
    <w:p w14:paraId="5DFE7BA0" w14:textId="03EBA2FF"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Le cours abordera l’évolution des sociétés africaines dans leur rapport au monde du XIXe au XXe siècles, en dépassant le découpage chronologique classique (période pré-coloniale et période coloniale). Après deux siècles d’échanges extérieurs marqués par la traite des esclaves, les organisations économiques et sociales africaines sont, dès le début du XIXe siècle, touchées par les transformations économiques globales (industrielles et institutionnelles). L’intégration accélérée de nombreuses régions africaines dans les nouvelles logiques marchandes du commerce « licite » contribue à la formation de nouvelles entités politiques, tant en Afrique de l’Ouest qu’en Afrique orientale. Elle contribue aussi à tracer le</w:t>
      </w:r>
      <w:r w:rsidR="003C2C13" w:rsidRPr="007223DB">
        <w:rPr>
          <w:rFonts w:ascii="Cambria" w:eastAsia="Times New Roman" w:hAnsi="Cambria" w:cs="Times New Roman"/>
          <w:b w:val="0"/>
          <w:kern w:val="0"/>
          <w:sz w:val="22"/>
          <w:bdr w:val="none" w:sz="0" w:space="0" w:color="auto" w:frame="1"/>
          <w:lang w:eastAsia="fr-FR"/>
        </w:rPr>
        <w:t>s</w:t>
      </w:r>
      <w:r w:rsidRPr="007223DB">
        <w:rPr>
          <w:rFonts w:ascii="Cambria" w:eastAsia="Times New Roman" w:hAnsi="Cambria" w:cs="Times New Roman"/>
          <w:b w:val="0"/>
          <w:kern w:val="0"/>
          <w:sz w:val="22"/>
          <w:bdr w:val="none" w:sz="0" w:space="0" w:color="auto" w:frame="1"/>
          <w:lang w:eastAsia="fr-FR"/>
        </w:rPr>
        <w:t xml:space="preserve"> contours des zones d’influences européennes en Afrique. L’impérialisme économique « informel » de l’Europe et de l’Amérique du Nord, porté par les sociétés de commerce, nourrit de profondes mutations dans le rapport au monde des économies et des institutions politiques africaines. </w:t>
      </w:r>
    </w:p>
    <w:p w14:paraId="06D99480" w14:textId="77777777"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A la fin du XIXe siècle, le développement d’un ordre économique colonial accélère l’intégration de l’Afrique dans des logiques économiques mondialisées. Le développement des infrastructures de communication, la monétarisation du continent, la diffusion de nouvelles normes juridiques, de formes de travail et le développement d’activités économiques extractives caractérisent l’impact profond de la colonisation sur les sociétés africaines. L’organisation coloniale connait cependant d’importantes mutations après la seconde guerre mondiale et conduit à une idéologie développementaliste, qui se poursuit après les indépendances. </w:t>
      </w:r>
    </w:p>
    <w:p w14:paraId="6422B123" w14:textId="77777777"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Les transformations des économies africaines seront abordées à l’aide de nombreux documents, tant quantitatifs que qualitatifs, portant sur les sociétés de l’océan Indien, d’Afrique de l'Est et d’Afrique de l’Ouest. Une attention particulière sera portée aux acteurs africains de l’économie. La matérialité des échanges sera aussi un fil conducteur, en mobilisant notamment des circulations des objets à travers les collections du Musée du Quai Branly.</w:t>
      </w:r>
    </w:p>
    <w:p w14:paraId="21F2863A"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Times New Roman"/>
          <w:bCs/>
          <w:kern w:val="0"/>
          <w:sz w:val="22"/>
          <w:bdr w:val="none" w:sz="0" w:space="0" w:color="auto" w:frame="1"/>
          <w:lang w:eastAsia="fr-FR"/>
        </w:rPr>
        <w:t> </w:t>
      </w:r>
    </w:p>
    <w:p w14:paraId="701411DE"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Times New Roman"/>
          <w:bCs/>
          <w:kern w:val="0"/>
          <w:sz w:val="22"/>
          <w:bdr w:val="none" w:sz="0" w:space="0" w:color="auto" w:frame="1"/>
          <w:lang w:eastAsia="fr-FR"/>
        </w:rPr>
        <w:t>Orientations bibliographiques</w:t>
      </w:r>
    </w:p>
    <w:p w14:paraId="4CFE77B2" w14:textId="77777777" w:rsidR="009548F5" w:rsidRPr="007223DB" w:rsidRDefault="009548F5" w:rsidP="009548F5">
      <w:pPr>
        <w:spacing w:after="0" w:line="240" w:lineRule="auto"/>
        <w:ind w:left="1440"/>
        <w:rPr>
          <w:rFonts w:ascii="Cambria" w:eastAsia="Times New Roman" w:hAnsi="Cambria" w:cs="Times New Roman"/>
          <w:b w:val="0"/>
          <w:kern w:val="0"/>
          <w:sz w:val="22"/>
          <w:lang w:eastAsia="fr-FR"/>
        </w:rPr>
      </w:pPr>
      <w:r w:rsidRPr="007223DB">
        <w:rPr>
          <w:rFonts w:ascii="Cambria" w:eastAsia="Times New Roman" w:hAnsi="Cambria" w:cs="Helvetica"/>
          <w:b w:val="0"/>
          <w:kern w:val="0"/>
          <w:sz w:val="22"/>
          <w:bdr w:val="none" w:sz="0" w:space="0" w:color="auto" w:frame="1"/>
          <w:lang w:eastAsia="fr-FR"/>
        </w:rPr>
        <w:t> </w:t>
      </w:r>
    </w:p>
    <w:p w14:paraId="5942BFDA"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BARTOLOMEI, A., HUETZ DE LEMPS X. &amp; RODRIGO Y ALHARILLA, M., "L’impérialisme informel de la France et de l’Espagne au XIXe siècle". Dossier </w:t>
      </w:r>
      <w:r w:rsidRPr="007223DB">
        <w:rPr>
          <w:rFonts w:ascii="Cambria" w:eastAsia="Times New Roman" w:hAnsi="Cambria" w:cs="Times New Roman"/>
          <w:b w:val="0"/>
          <w:i/>
          <w:iCs/>
          <w:kern w:val="0"/>
          <w:sz w:val="22"/>
          <w:bdr w:val="none" w:sz="0" w:space="0" w:color="auto" w:frame="1"/>
          <w:lang w:eastAsia="fr-FR"/>
        </w:rPr>
        <w:t>in Outre-Mers</w:t>
      </w:r>
      <w:r w:rsidRPr="007223DB">
        <w:rPr>
          <w:rFonts w:ascii="Cambria" w:eastAsia="Times New Roman" w:hAnsi="Cambria" w:cs="Times New Roman"/>
          <w:b w:val="0"/>
          <w:kern w:val="0"/>
          <w:sz w:val="22"/>
          <w:bdr w:val="none" w:sz="0" w:space="0" w:color="auto" w:frame="1"/>
          <w:lang w:eastAsia="fr-FR"/>
        </w:rPr>
        <w:t>, 2021, 410-411(1)</w:t>
      </w:r>
    </w:p>
    <w:p w14:paraId="70C70661"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BAYLY C., </w:t>
      </w:r>
      <w:r w:rsidRPr="007223DB">
        <w:rPr>
          <w:rFonts w:ascii="Cambria" w:eastAsia="Times New Roman" w:hAnsi="Cambria" w:cs="Times New Roman"/>
          <w:b w:val="0"/>
          <w:i/>
          <w:iCs/>
          <w:kern w:val="0"/>
          <w:sz w:val="22"/>
          <w:bdr w:val="none" w:sz="0" w:space="0" w:color="auto" w:frame="1"/>
          <w:lang w:eastAsia="fr-FR"/>
        </w:rPr>
        <w:t>La naissance du monde moderne</w:t>
      </w:r>
      <w:r w:rsidRPr="007223DB">
        <w:rPr>
          <w:rFonts w:ascii="Cambria" w:eastAsia="Times New Roman" w:hAnsi="Cambria" w:cs="Times New Roman"/>
          <w:b w:val="0"/>
          <w:kern w:val="0"/>
          <w:sz w:val="22"/>
          <w:bdr w:val="none" w:sz="0" w:space="0" w:color="auto" w:frame="1"/>
          <w:lang w:eastAsia="fr-FR"/>
        </w:rPr>
        <w:t>, Paris, Lausanne, les éditions de l’atelier, le monde diplomatique, éditions d’en bas, 2009.</w:t>
      </w:r>
    </w:p>
    <w:p w14:paraId="1E4C9E91"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BLANC G., BLUM F., CHANTRE L., CHOMENTOWSKI, FREDJ C., HIRIBARREN V., PLARIER A., DE SUREMAIN M.-A., </w:t>
      </w:r>
      <w:r w:rsidRPr="007223DB">
        <w:rPr>
          <w:rFonts w:ascii="Cambria" w:eastAsia="Times New Roman" w:hAnsi="Cambria" w:cs="Times New Roman"/>
          <w:b w:val="0"/>
          <w:i/>
          <w:iCs/>
          <w:kern w:val="0"/>
          <w:sz w:val="22"/>
          <w:bdr w:val="none" w:sz="0" w:space="0" w:color="auto" w:frame="1"/>
          <w:lang w:eastAsia="fr-FR"/>
        </w:rPr>
        <w:t>Les sociétés africaines et le monde une histoire connectée 1900-1980</w:t>
      </w:r>
      <w:r w:rsidRPr="007223DB">
        <w:rPr>
          <w:rFonts w:ascii="Cambria" w:eastAsia="Times New Roman" w:hAnsi="Cambria" w:cs="Times New Roman"/>
          <w:b w:val="0"/>
          <w:kern w:val="0"/>
          <w:sz w:val="22"/>
          <w:bdr w:val="none" w:sz="0" w:space="0" w:color="auto" w:frame="1"/>
          <w:lang w:eastAsia="fr-FR"/>
        </w:rPr>
        <w:t>, Neuilly, Atlande, 2022.</w:t>
      </w:r>
    </w:p>
    <w:p w14:paraId="7C6BE6BB"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COGNEAU D., </w:t>
      </w:r>
      <w:r w:rsidRPr="007223DB">
        <w:rPr>
          <w:rFonts w:ascii="Cambria" w:eastAsia="Times New Roman" w:hAnsi="Cambria" w:cs="Times New Roman"/>
          <w:b w:val="0"/>
          <w:i/>
          <w:iCs/>
          <w:kern w:val="0"/>
          <w:sz w:val="22"/>
          <w:bdr w:val="none" w:sz="0" w:space="0" w:color="auto" w:frame="1"/>
          <w:lang w:eastAsia="fr-FR"/>
        </w:rPr>
        <w:t>Un empire bon marché. Histoire et économie politique de la colonisation françaises, XIXe-XXIe siècle, </w:t>
      </w:r>
      <w:r w:rsidRPr="007223DB">
        <w:rPr>
          <w:rFonts w:ascii="Cambria" w:eastAsia="Times New Roman" w:hAnsi="Cambria" w:cs="Times New Roman"/>
          <w:b w:val="0"/>
          <w:kern w:val="0"/>
          <w:sz w:val="22"/>
          <w:bdr w:val="none" w:sz="0" w:space="0" w:color="auto" w:frame="1"/>
          <w:lang w:eastAsia="fr-FR"/>
        </w:rPr>
        <w:t>Paris, Seuil, 2023.</w:t>
      </w:r>
    </w:p>
    <w:p w14:paraId="527F8DC4"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COOPER F., </w:t>
      </w:r>
      <w:r w:rsidRPr="007223DB">
        <w:rPr>
          <w:rFonts w:ascii="Cambria" w:eastAsia="Times New Roman" w:hAnsi="Cambria" w:cs="Times New Roman"/>
          <w:b w:val="0"/>
          <w:i/>
          <w:iCs/>
          <w:kern w:val="0"/>
          <w:sz w:val="22"/>
          <w:bdr w:val="none" w:sz="0" w:space="0" w:color="auto" w:frame="1"/>
          <w:lang w:eastAsia="fr-FR"/>
        </w:rPr>
        <w:t>L’Afrique dans le monde. Capitalisme, empire, Etat-nation</w:t>
      </w:r>
      <w:r w:rsidRPr="007223DB">
        <w:rPr>
          <w:rFonts w:ascii="Cambria" w:eastAsia="Times New Roman" w:hAnsi="Cambria" w:cs="Times New Roman"/>
          <w:b w:val="0"/>
          <w:kern w:val="0"/>
          <w:sz w:val="22"/>
          <w:bdr w:val="none" w:sz="0" w:space="0" w:color="auto" w:frame="1"/>
          <w:lang w:eastAsia="fr-FR"/>
        </w:rPr>
        <w:t>, Paris, Payot, 2015.</w:t>
      </w:r>
    </w:p>
    <w:p w14:paraId="026E7F89" w14:textId="77777777" w:rsidR="009548F5" w:rsidRPr="007223DB" w:rsidRDefault="009548F5" w:rsidP="009548F5">
      <w:pPr>
        <w:spacing w:after="0" w:line="240" w:lineRule="auto"/>
        <w:ind w:left="142" w:hanging="142"/>
        <w:jc w:val="both"/>
        <w:textAlignment w:val="baseline"/>
        <w:outlineLvl w:val="0"/>
        <w:rPr>
          <w:rFonts w:ascii="Cambria" w:eastAsia="Times New Roman" w:hAnsi="Cambria" w:cs="Times New Roman"/>
          <w:bCs/>
          <w:caps/>
          <w:kern w:val="36"/>
          <w:sz w:val="22"/>
          <w:lang w:eastAsia="fr-FR"/>
        </w:rPr>
      </w:pPr>
      <w:r w:rsidRPr="007223DB">
        <w:rPr>
          <w:rFonts w:ascii="Cambria" w:eastAsia="Times New Roman" w:hAnsi="Cambria" w:cs="Times New Roman"/>
          <w:b w:val="0"/>
          <w:kern w:val="36"/>
          <w:sz w:val="22"/>
          <w:bdr w:val="none" w:sz="0" w:space="0" w:color="auto" w:frame="1"/>
          <w:lang w:eastAsia="fr-FR"/>
        </w:rPr>
        <w:t>COQUERY-VIDROVITCH C., </w:t>
      </w:r>
      <w:r w:rsidRPr="007223DB">
        <w:rPr>
          <w:rFonts w:ascii="Cambria" w:eastAsia="Times New Roman" w:hAnsi="Cambria" w:cs="Times New Roman"/>
          <w:b w:val="0"/>
          <w:i/>
          <w:iCs/>
          <w:kern w:val="36"/>
          <w:sz w:val="22"/>
          <w:bdr w:val="none" w:sz="0" w:space="0" w:color="auto" w:frame="1"/>
          <w:lang w:eastAsia="fr-FR"/>
        </w:rPr>
        <w:t>L'Afrique et les Africains au XIXe siècle. Mutations, révolutions, crises</w:t>
      </w:r>
      <w:r w:rsidRPr="007223DB">
        <w:rPr>
          <w:rFonts w:ascii="Cambria" w:eastAsia="Times New Roman" w:hAnsi="Cambria" w:cs="Times New Roman"/>
          <w:b w:val="0"/>
          <w:kern w:val="36"/>
          <w:sz w:val="22"/>
          <w:bdr w:val="none" w:sz="0" w:space="0" w:color="auto" w:frame="1"/>
          <w:lang w:eastAsia="fr-FR"/>
        </w:rPr>
        <w:t>, Paris, A. Colin, 2020.</w:t>
      </w:r>
    </w:p>
    <w:p w14:paraId="641F4A63"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FABRE C. (dir.), </w:t>
      </w:r>
      <w:r w:rsidRPr="007223DB">
        <w:rPr>
          <w:rFonts w:ascii="Cambria" w:eastAsia="Times New Roman" w:hAnsi="Cambria" w:cs="Times New Roman"/>
          <w:b w:val="0"/>
          <w:i/>
          <w:iCs/>
          <w:kern w:val="0"/>
          <w:sz w:val="22"/>
          <w:bdr w:val="none" w:sz="0" w:space="0" w:color="auto" w:frame="1"/>
          <w:lang w:eastAsia="fr-FR"/>
        </w:rPr>
        <w:t>Les mondialisations des années 1880 aux au milieu des années 1930</w:t>
      </w:r>
      <w:r w:rsidRPr="007223DB">
        <w:rPr>
          <w:rFonts w:ascii="Cambria" w:eastAsia="Times New Roman" w:hAnsi="Cambria" w:cs="Times New Roman"/>
          <w:b w:val="0"/>
          <w:kern w:val="0"/>
          <w:sz w:val="22"/>
          <w:bdr w:val="none" w:sz="0" w:space="0" w:color="auto" w:frame="1"/>
          <w:lang w:eastAsia="fr-FR"/>
        </w:rPr>
        <w:t>, Paris, Atlande, 2023.</w:t>
      </w:r>
    </w:p>
    <w:p w14:paraId="1F75AAD6"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FAUVELLE-AYMAR F.-X. &amp; LAFONT A. (Dir.), </w:t>
      </w:r>
      <w:r w:rsidRPr="007223DB">
        <w:rPr>
          <w:rFonts w:ascii="Cambria" w:eastAsia="Times New Roman" w:hAnsi="Cambria" w:cs="Times New Roman"/>
          <w:b w:val="0"/>
          <w:i/>
          <w:iCs/>
          <w:kern w:val="0"/>
          <w:sz w:val="22"/>
          <w:bdr w:val="none" w:sz="0" w:space="0" w:color="auto" w:frame="1"/>
          <w:lang w:eastAsia="fr-FR"/>
        </w:rPr>
        <w:t>L’Afrique et le monde. Histoires renouées de la préhistoire au XXIe siècle</w:t>
      </w:r>
      <w:r w:rsidRPr="007223DB">
        <w:rPr>
          <w:rFonts w:ascii="Cambria" w:eastAsia="Times New Roman" w:hAnsi="Cambria" w:cs="Times New Roman"/>
          <w:b w:val="0"/>
          <w:kern w:val="0"/>
          <w:sz w:val="22"/>
          <w:bdr w:val="none" w:sz="0" w:space="0" w:color="auto" w:frame="1"/>
          <w:lang w:eastAsia="fr-FR"/>
        </w:rPr>
        <w:t>, Paris, La Découverte, 2022.</w:t>
      </w:r>
    </w:p>
    <w:p w14:paraId="00278952"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i/>
          <w:iCs/>
          <w:kern w:val="0"/>
          <w:sz w:val="22"/>
          <w:bdr w:val="none" w:sz="0" w:space="0" w:color="auto" w:frame="1"/>
          <w:lang w:eastAsia="fr-FR"/>
        </w:rPr>
        <w:t>Histoire générale de l’Afrique</w:t>
      </w:r>
      <w:r w:rsidRPr="007223DB">
        <w:rPr>
          <w:rFonts w:ascii="Cambria" w:eastAsia="Times New Roman" w:hAnsi="Cambria" w:cs="Times New Roman"/>
          <w:b w:val="0"/>
          <w:kern w:val="0"/>
          <w:sz w:val="22"/>
          <w:bdr w:val="none" w:sz="0" w:space="0" w:color="auto" w:frame="1"/>
          <w:lang w:eastAsia="fr-FR"/>
        </w:rPr>
        <w:t>, Volume 6 : L’Afrique au XIXe siècle jusque vers les années 1880 (dir. Ade Ajayi), Paris, UNESCO, 1996 </w:t>
      </w:r>
    </w:p>
    <w:p w14:paraId="07CBBD66"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i/>
          <w:iCs/>
          <w:kern w:val="0"/>
          <w:sz w:val="22"/>
          <w:bdr w:val="none" w:sz="0" w:space="0" w:color="auto" w:frame="1"/>
          <w:lang w:eastAsia="fr-FR"/>
        </w:rPr>
        <w:t>Histoire générale de l’Afrique</w:t>
      </w:r>
      <w:r w:rsidRPr="007223DB">
        <w:rPr>
          <w:rFonts w:ascii="Cambria" w:eastAsia="Times New Roman" w:hAnsi="Cambria" w:cs="Times New Roman"/>
          <w:b w:val="0"/>
          <w:kern w:val="0"/>
          <w:sz w:val="22"/>
          <w:bdr w:val="none" w:sz="0" w:space="0" w:color="auto" w:frame="1"/>
          <w:lang w:eastAsia="fr-FR"/>
        </w:rPr>
        <w:t>, Volume 7 : L’Afrique sous domination coloniale, 1880-1935 (dir. A. Adu Boahen), Paris, UNESCO, 1987 .</w:t>
      </w:r>
    </w:p>
    <w:p w14:paraId="2E2DA4C9"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M’BOKOLO E. (Dir.), </w:t>
      </w:r>
      <w:r w:rsidRPr="007223DB">
        <w:rPr>
          <w:rFonts w:ascii="Cambria" w:eastAsia="Times New Roman" w:hAnsi="Cambria" w:cs="Times New Roman"/>
          <w:b w:val="0"/>
          <w:i/>
          <w:iCs/>
          <w:kern w:val="0"/>
          <w:sz w:val="22"/>
          <w:bdr w:val="none" w:sz="0" w:space="0" w:color="auto" w:frame="1"/>
          <w:lang w:eastAsia="fr-FR"/>
        </w:rPr>
        <w:t>Afrique noire. Histoire et civilisation. Du XIXe siècle à nos jours, </w:t>
      </w:r>
      <w:r w:rsidRPr="007223DB">
        <w:rPr>
          <w:rFonts w:ascii="Cambria" w:eastAsia="Times New Roman" w:hAnsi="Cambria" w:cs="Times New Roman"/>
          <w:b w:val="0"/>
          <w:kern w:val="0"/>
          <w:sz w:val="22"/>
          <w:bdr w:val="none" w:sz="0" w:space="0" w:color="auto" w:frame="1"/>
          <w:lang w:eastAsia="fr-FR"/>
        </w:rPr>
        <w:t>Paris, Hatier-AUF, 2004</w:t>
      </w:r>
    </w:p>
    <w:p w14:paraId="281773C0"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bdr w:val="none" w:sz="0" w:space="0" w:color="auto" w:frame="1"/>
          <w:lang w:val="en-US" w:eastAsia="fr-FR"/>
        </w:rPr>
        <w:t>O’Rourke K.  &amp; Williamson J.G. (eds), </w:t>
      </w:r>
      <w:r w:rsidRPr="007223DB">
        <w:rPr>
          <w:rFonts w:ascii="Cambria" w:eastAsia="Times New Roman" w:hAnsi="Cambria" w:cs="Times New Roman"/>
          <w:b w:val="0"/>
          <w:i/>
          <w:iCs/>
          <w:kern w:val="0"/>
          <w:sz w:val="22"/>
          <w:bdr w:val="none" w:sz="0" w:space="0" w:color="auto" w:frame="1"/>
          <w:lang w:val="en-US" w:eastAsia="fr-FR"/>
        </w:rPr>
        <w:t>The Spread of Modern Industry to the Poor Periphery Since 1870</w:t>
      </w:r>
      <w:r w:rsidRPr="007223DB">
        <w:rPr>
          <w:rFonts w:ascii="Cambria" w:eastAsia="Times New Roman" w:hAnsi="Cambria" w:cs="Times New Roman"/>
          <w:b w:val="0"/>
          <w:kern w:val="0"/>
          <w:sz w:val="22"/>
          <w:bdr w:val="none" w:sz="0" w:space="0" w:color="auto" w:frame="1"/>
          <w:lang w:val="en-US" w:eastAsia="fr-FR"/>
        </w:rPr>
        <w:t>, Oxford, 2017.</w:t>
      </w:r>
    </w:p>
    <w:p w14:paraId="26C054F2"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OSTERHAMMEL J., </w:t>
      </w:r>
      <w:r w:rsidRPr="007223DB">
        <w:rPr>
          <w:rFonts w:ascii="Cambria" w:eastAsia="Times New Roman" w:hAnsi="Cambria" w:cs="Times New Roman"/>
          <w:b w:val="0"/>
          <w:i/>
          <w:iCs/>
          <w:kern w:val="0"/>
          <w:sz w:val="22"/>
          <w:bdr w:val="none" w:sz="0" w:space="0" w:color="auto" w:frame="1"/>
          <w:lang w:eastAsia="fr-FR"/>
        </w:rPr>
        <w:t>La transformation du monde une histoire globale du XIXe siècle</w:t>
      </w:r>
      <w:r w:rsidRPr="007223DB">
        <w:rPr>
          <w:rFonts w:ascii="Cambria" w:eastAsia="Times New Roman" w:hAnsi="Cambria" w:cs="Times New Roman"/>
          <w:b w:val="0"/>
          <w:kern w:val="0"/>
          <w:sz w:val="22"/>
          <w:bdr w:val="none" w:sz="0" w:space="0" w:color="auto" w:frame="1"/>
          <w:lang w:eastAsia="fr-FR"/>
        </w:rPr>
        <w:t>, Paris, Nouveau Monde éditions, 2017.</w:t>
      </w:r>
    </w:p>
    <w:p w14:paraId="3B878EFC"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bdr w:val="none" w:sz="0" w:space="0" w:color="auto" w:frame="1"/>
          <w:lang w:val="en-US" w:eastAsia="fr-FR"/>
        </w:rPr>
        <w:t>RIELLO G. &amp; ROY T. (Ed.), </w:t>
      </w:r>
      <w:r w:rsidRPr="007223DB">
        <w:rPr>
          <w:rFonts w:ascii="Cambria" w:eastAsia="Times New Roman" w:hAnsi="Cambria" w:cs="Times New Roman"/>
          <w:b w:val="0"/>
          <w:i/>
          <w:iCs/>
          <w:kern w:val="0"/>
          <w:sz w:val="22"/>
          <w:bdr w:val="none" w:sz="0" w:space="0" w:color="auto" w:frame="1"/>
          <w:lang w:val="en-US" w:eastAsia="fr-FR"/>
        </w:rPr>
        <w:t>Economic Change in Global History</w:t>
      </w:r>
      <w:r w:rsidRPr="007223DB">
        <w:rPr>
          <w:rFonts w:ascii="Cambria" w:eastAsia="Times New Roman" w:hAnsi="Cambria" w:cs="Times New Roman"/>
          <w:b w:val="0"/>
          <w:kern w:val="0"/>
          <w:sz w:val="22"/>
          <w:bdr w:val="none" w:sz="0" w:space="0" w:color="auto" w:frame="1"/>
          <w:lang w:val="en-US" w:eastAsia="fr-FR"/>
        </w:rPr>
        <w:t>, London, Bloomsbury, 2018</w:t>
      </w:r>
    </w:p>
    <w:p w14:paraId="5A852B2E"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SINGARAVELOU P. &amp; VENAYRE P. (Dir.), </w:t>
      </w:r>
      <w:r w:rsidRPr="007223DB">
        <w:rPr>
          <w:rFonts w:ascii="Cambria" w:eastAsia="Times New Roman" w:hAnsi="Cambria" w:cs="Times New Roman"/>
          <w:b w:val="0"/>
          <w:i/>
          <w:iCs/>
          <w:kern w:val="0"/>
          <w:sz w:val="22"/>
          <w:bdr w:val="none" w:sz="0" w:space="0" w:color="auto" w:frame="1"/>
          <w:lang w:eastAsia="fr-FR"/>
        </w:rPr>
        <w:t>Le magasin du monde. La mondialisation par les objets du XVIIIe siècle à nos jours</w:t>
      </w:r>
      <w:r w:rsidRPr="007223DB">
        <w:rPr>
          <w:rFonts w:ascii="Cambria" w:eastAsia="Times New Roman" w:hAnsi="Cambria" w:cs="Times New Roman"/>
          <w:b w:val="0"/>
          <w:kern w:val="0"/>
          <w:sz w:val="22"/>
          <w:bdr w:val="none" w:sz="0" w:space="0" w:color="auto" w:frame="1"/>
          <w:lang w:eastAsia="fr-FR"/>
        </w:rPr>
        <w:t>, Paris, Fayard, 2022.</w:t>
      </w:r>
    </w:p>
    <w:p w14:paraId="06643E6D" w14:textId="77777777" w:rsidR="00F4573A" w:rsidRPr="007223DB" w:rsidRDefault="009548F5" w:rsidP="00F4573A">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SURUN I. (Dir.), </w:t>
      </w:r>
      <w:r w:rsidRPr="007223DB">
        <w:rPr>
          <w:rFonts w:ascii="Cambria" w:eastAsia="Times New Roman" w:hAnsi="Cambria" w:cs="Times New Roman"/>
          <w:b w:val="0"/>
          <w:i/>
          <w:iCs/>
          <w:kern w:val="0"/>
          <w:sz w:val="22"/>
          <w:bdr w:val="none" w:sz="0" w:space="0" w:color="auto" w:frame="1"/>
          <w:lang w:eastAsia="fr-FR"/>
        </w:rPr>
        <w:t>La France et l’Afrique : 1830-1962</w:t>
      </w:r>
      <w:r w:rsidRPr="007223DB">
        <w:rPr>
          <w:rFonts w:ascii="Cambria" w:eastAsia="Times New Roman" w:hAnsi="Cambria" w:cs="Times New Roman"/>
          <w:b w:val="0"/>
          <w:kern w:val="0"/>
          <w:sz w:val="22"/>
          <w:bdr w:val="none" w:sz="0" w:space="0" w:color="auto" w:frame="1"/>
          <w:lang w:eastAsia="fr-FR"/>
        </w:rPr>
        <w:t>, Neuilly-Sur-Seine, Atlande, 2020.</w:t>
      </w:r>
    </w:p>
    <w:p w14:paraId="7F3806F2" w14:textId="252E495E" w:rsidR="00885E16" w:rsidRPr="007223DB" w:rsidRDefault="009548F5" w:rsidP="009C5BE2">
      <w:pPr>
        <w:spacing w:after="0" w:line="240" w:lineRule="auto"/>
        <w:ind w:hanging="142"/>
        <w:jc w:val="both"/>
        <w:rPr>
          <w:rFonts w:ascii="Cambria" w:eastAsia="Times New Roman" w:hAnsi="Cambria" w:cs="Times New Roman"/>
          <w:b w:val="0"/>
          <w:kern w:val="0"/>
          <w:sz w:val="22"/>
          <w:bdr w:val="none" w:sz="0" w:space="0" w:color="auto" w:frame="1"/>
          <w:lang w:eastAsia="fr-FR"/>
        </w:rPr>
      </w:pPr>
      <w:r w:rsidRPr="007223DB">
        <w:rPr>
          <w:rFonts w:ascii="Cambria" w:eastAsia="Times New Roman" w:hAnsi="Cambria" w:cs="Times New Roman"/>
          <w:b w:val="0"/>
          <w:kern w:val="0"/>
          <w:sz w:val="22"/>
          <w:bdr w:val="none" w:sz="0" w:space="0" w:color="auto" w:frame="1"/>
          <w:lang w:eastAsia="fr-FR"/>
        </w:rPr>
        <w:t>TODD, D., </w:t>
      </w:r>
      <w:r w:rsidRPr="007223DB">
        <w:rPr>
          <w:rFonts w:ascii="Cambria" w:eastAsia="Times New Roman" w:hAnsi="Cambria" w:cs="Times New Roman"/>
          <w:b w:val="0"/>
          <w:i/>
          <w:iCs/>
          <w:kern w:val="0"/>
          <w:sz w:val="22"/>
          <w:bdr w:val="none" w:sz="0" w:space="0" w:color="auto" w:frame="1"/>
          <w:lang w:eastAsia="fr-FR"/>
        </w:rPr>
        <w:t>Un empire de velours L'impérialisme informel français au XIXe siècle</w:t>
      </w:r>
      <w:r w:rsidRPr="007223DB">
        <w:rPr>
          <w:rFonts w:ascii="Cambria" w:eastAsia="Times New Roman" w:hAnsi="Cambria" w:cs="Times New Roman"/>
          <w:b w:val="0"/>
          <w:kern w:val="0"/>
          <w:sz w:val="22"/>
          <w:bdr w:val="none" w:sz="0" w:space="0" w:color="auto" w:frame="1"/>
          <w:lang w:eastAsia="fr-FR"/>
        </w:rPr>
        <w:t>, Paris, La Découverte, 2022.</w:t>
      </w:r>
    </w:p>
    <w:p w14:paraId="24E8B556" w14:textId="77777777" w:rsidR="009C5BE2" w:rsidRPr="007223DB" w:rsidRDefault="009C5BE2" w:rsidP="009C5BE2">
      <w:pPr>
        <w:spacing w:after="0" w:line="240" w:lineRule="auto"/>
        <w:ind w:hanging="142"/>
        <w:jc w:val="both"/>
        <w:rPr>
          <w:rFonts w:ascii="Cambria" w:eastAsia="Times New Roman" w:hAnsi="Cambria" w:cs="Times New Roman"/>
          <w:b w:val="0"/>
          <w:kern w:val="0"/>
          <w:sz w:val="20"/>
          <w:szCs w:val="20"/>
          <w:lang w:eastAsia="fr-FR"/>
        </w:rPr>
      </w:pPr>
    </w:p>
    <w:p w14:paraId="76507124" w14:textId="02BDE21F" w:rsidR="0033532C" w:rsidRPr="002C7092" w:rsidRDefault="009901C6" w:rsidP="0033532C">
      <w:pPr>
        <w:keepNext/>
        <w:widowControl w:val="0"/>
        <w:suppressAutoHyphens/>
        <w:autoSpaceDN w:val="0"/>
        <w:spacing w:before="120" w:after="0" w:line="240" w:lineRule="auto"/>
        <w:jc w:val="both"/>
        <w:textAlignment w:val="baseline"/>
        <w:outlineLvl w:val="4"/>
        <w:rPr>
          <w:rFonts w:ascii="Cambria" w:eastAsia="Droid Sans Fallback" w:hAnsi="Cambria" w:cs="Times New Roman"/>
          <w:bCs/>
          <w:color w:val="C00000"/>
          <w:kern w:val="3"/>
          <w:sz w:val="22"/>
          <w:lang w:eastAsia="en-US"/>
        </w:rPr>
      </w:pPr>
      <w:r w:rsidRPr="002C7092">
        <w:rPr>
          <w:rFonts w:ascii="Cambria" w:hAnsi="Cambria" w:cs="Times New Roman"/>
          <w:color w:val="C00000"/>
          <w:sz w:val="22"/>
          <w:u w:val="single"/>
        </w:rPr>
        <w:t xml:space="preserve">Sujet du cours </w:t>
      </w:r>
      <w:r w:rsidR="002C7092" w:rsidRPr="002C7092">
        <w:rPr>
          <w:rFonts w:ascii="Cambria" w:hAnsi="Cambria" w:cs="Times New Roman"/>
          <w:color w:val="C00000"/>
          <w:sz w:val="22"/>
          <w:u w:val="single"/>
        </w:rPr>
        <w:t xml:space="preserve">semestre </w:t>
      </w:r>
      <w:r w:rsidRPr="002C7092">
        <w:rPr>
          <w:rFonts w:ascii="Cambria" w:hAnsi="Cambria" w:cs="Times New Roman"/>
          <w:color w:val="C00000"/>
          <w:sz w:val="22"/>
          <w:u w:val="single"/>
        </w:rPr>
        <w:t>2</w:t>
      </w:r>
      <w:r w:rsidR="0033532C" w:rsidRPr="002C7092">
        <w:rPr>
          <w:rFonts w:ascii="Cambria" w:hAnsi="Cambria" w:cs="Times New Roman"/>
          <w:color w:val="C00000"/>
          <w:sz w:val="22"/>
          <w:u w:val="single"/>
        </w:rPr>
        <w:t> </w:t>
      </w:r>
      <w:r w:rsidR="0033532C" w:rsidRPr="002C7092">
        <w:rPr>
          <w:rFonts w:ascii="Cambria" w:hAnsi="Cambria" w:cs="Times New Roman"/>
          <w:color w:val="C00000"/>
          <w:sz w:val="22"/>
        </w:rPr>
        <w:t xml:space="preserve">: </w:t>
      </w:r>
      <w:r w:rsidR="00C70426" w:rsidRPr="002C7092">
        <w:rPr>
          <w:rFonts w:ascii="Cambria" w:eastAsia="Droid Sans Fallback" w:hAnsi="Cambria" w:cs="Times New Roman"/>
          <w:bCs/>
          <w:color w:val="C00000"/>
          <w:kern w:val="3"/>
          <w:sz w:val="22"/>
          <w:lang w:eastAsia="en-US"/>
        </w:rPr>
        <w:t xml:space="preserve">Histoire de l’Afrique du Sud XIXe-XXe siècles </w:t>
      </w:r>
    </w:p>
    <w:p w14:paraId="77F98C40" w14:textId="77777777" w:rsidR="00C70426" w:rsidRPr="002C7092" w:rsidRDefault="00C70426" w:rsidP="00C70426">
      <w:pPr>
        <w:spacing w:before="100" w:beforeAutospacing="1" w:after="100" w:afterAutospacing="1" w:line="240" w:lineRule="auto"/>
        <w:jc w:val="both"/>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Ce cours se propose de comprendre les dynamiques singulières de l'Afrique du Sud sur deux siècles, du début du XIXe s. à nos jours, en faisant ressortir à la fois les spécificités de ce pays et les points communs avec d’autres pays africains. L'épisode de l'apartheid (système de ségrégation raciale radicale, 1948-1994) est sans doute le plus connu des traits distinctifs de ce pays mais ce système est l'aboutissement d'une longue histoire de domination (et de résistances). En effet, cette région est caractérisée par un peuplement d'origine européenne qui a entraîné des contacts, des conflits et des négociations, entre diverses populations, africaines, européennes, voire asiatiques. On mettra en particulier l'accent sur l'histoire des peuples africains durant ces deux siècles, laquelle histoire n'est qu'en partie influencée par la présence des Blancs dans la région. De l'expansion zouloue à la difficile liquidation de l'apartheid, on évoquera les changements politiques, culturels, sociaux et économiques d'un pays qui est récemment devenu une puissance régionale, et même mondiale. Ce sera l'occasion d'aborder la question du racisme dans la construction d'une politique coloniale puis nationale. </w:t>
      </w:r>
    </w:p>
    <w:p w14:paraId="3B866C43"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Le cours s'appuiera sur des documents historiques (témoignages, photos, manifestes politiques…) </w:t>
      </w:r>
      <w:r w:rsidRPr="002C7092">
        <w:rPr>
          <w:rFonts w:ascii="Cambria" w:eastAsia="Times New Roman" w:hAnsi="Cambria" w:cs="Times New Roman"/>
          <w:b w:val="0"/>
          <w:kern w:val="0"/>
          <w:sz w:val="22"/>
          <w:u w:val="single"/>
          <w:lang w:eastAsia="fr-FR"/>
        </w:rPr>
        <w:t>en anglais ou en français</w:t>
      </w:r>
      <w:r w:rsidRPr="002C7092">
        <w:rPr>
          <w:rFonts w:ascii="Cambria" w:eastAsia="Times New Roman" w:hAnsi="Cambria" w:cs="Times New Roman"/>
          <w:b w:val="0"/>
          <w:kern w:val="0"/>
          <w:sz w:val="22"/>
          <w:lang w:eastAsia="fr-FR"/>
        </w:rPr>
        <w:t>, dus à des acteurs locaux ou étrangers. Il s'appuiera également en partie sur des films documentaires, visionnés ensemble en cours ou encore chez soi. </w:t>
      </w:r>
    </w:p>
    <w:p w14:paraId="2EF4074E" w14:textId="77777777" w:rsidR="00C70426" w:rsidRPr="002C7092" w:rsidRDefault="00C70426" w:rsidP="00C70426">
      <w:pPr>
        <w:spacing w:before="100" w:beforeAutospacing="1" w:after="100" w:afterAutospacing="1" w:line="240" w:lineRule="auto"/>
        <w:rPr>
          <w:rFonts w:ascii="Cambria" w:eastAsia="Times New Roman" w:hAnsi="Cambria" w:cs="Times New Roman"/>
          <w:bCs/>
          <w:kern w:val="0"/>
          <w:sz w:val="22"/>
          <w:lang w:eastAsia="fr-FR"/>
        </w:rPr>
      </w:pPr>
      <w:r w:rsidRPr="002C7092">
        <w:rPr>
          <w:rFonts w:ascii="Cambria" w:eastAsia="Times New Roman" w:hAnsi="Cambria" w:cs="Times New Roman"/>
          <w:bCs/>
          <w:kern w:val="0"/>
          <w:sz w:val="22"/>
          <w:lang w:eastAsia="fr-FR"/>
        </w:rPr>
        <w:t>Bibliographie</w:t>
      </w:r>
    </w:p>
    <w:p w14:paraId="62C90151"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En français :</w:t>
      </w:r>
    </w:p>
    <w:p w14:paraId="5444734A"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FAUVELLE-AYMAR, François-Xavier : </w:t>
      </w:r>
      <w:r w:rsidRPr="002C7092">
        <w:rPr>
          <w:rFonts w:ascii="Cambria" w:eastAsia="Times New Roman" w:hAnsi="Cambria" w:cs="Times New Roman"/>
          <w:b w:val="0"/>
          <w:i/>
          <w:iCs/>
          <w:kern w:val="0"/>
          <w:sz w:val="22"/>
          <w:lang w:eastAsia="fr-FR"/>
        </w:rPr>
        <w:t>Histoire de l'Afrique du Sud</w:t>
      </w:r>
      <w:r w:rsidRPr="002C7092">
        <w:rPr>
          <w:rFonts w:ascii="Cambria" w:eastAsia="Times New Roman" w:hAnsi="Cambria" w:cs="Times New Roman"/>
          <w:b w:val="0"/>
          <w:kern w:val="0"/>
          <w:sz w:val="22"/>
          <w:lang w:eastAsia="fr-FR"/>
        </w:rPr>
        <w:t>, Paris, L'Univers Historique, Le Seuil (rééd 2013 en collection Point Seuil).</w:t>
      </w:r>
    </w:p>
    <w:p w14:paraId="6107C92E"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COQUEREL Jean-Paul, </w:t>
      </w:r>
      <w:r w:rsidRPr="002C7092">
        <w:rPr>
          <w:rFonts w:ascii="Cambria" w:eastAsia="Times New Roman" w:hAnsi="Cambria" w:cs="Times New Roman"/>
          <w:b w:val="0"/>
          <w:i/>
          <w:iCs/>
          <w:kern w:val="0"/>
          <w:sz w:val="22"/>
          <w:lang w:eastAsia="fr-FR"/>
        </w:rPr>
        <w:t>L'Afrique du Sud, une histoire séparée, une nation à réinventer</w:t>
      </w:r>
      <w:r w:rsidRPr="002C7092">
        <w:rPr>
          <w:rFonts w:ascii="Cambria" w:eastAsia="Times New Roman" w:hAnsi="Cambria" w:cs="Times New Roman"/>
          <w:b w:val="0"/>
          <w:kern w:val="0"/>
          <w:sz w:val="22"/>
          <w:lang w:eastAsia="fr-FR"/>
        </w:rPr>
        <w:t>, Paris, Découvertes Gallimard, 2010 (rééd).</w:t>
      </w:r>
    </w:p>
    <w:p w14:paraId="02BDC7C0"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TEULIE Gilles, </w:t>
      </w:r>
      <w:r w:rsidRPr="002C7092">
        <w:rPr>
          <w:rFonts w:ascii="Cambria" w:eastAsia="Times New Roman" w:hAnsi="Cambria" w:cs="Times New Roman"/>
          <w:b w:val="0"/>
          <w:i/>
          <w:iCs/>
          <w:kern w:val="0"/>
          <w:sz w:val="22"/>
          <w:lang w:eastAsia="fr-FR"/>
        </w:rPr>
        <w:t>Histoire de l’Afrique du Sud des origines à nos jours</w:t>
      </w:r>
      <w:r w:rsidRPr="002C7092">
        <w:rPr>
          <w:rFonts w:ascii="Cambria" w:eastAsia="Times New Roman" w:hAnsi="Cambria" w:cs="Times New Roman"/>
          <w:b w:val="0"/>
          <w:kern w:val="0"/>
          <w:sz w:val="22"/>
          <w:lang w:eastAsia="fr-FR"/>
        </w:rPr>
        <w:t>, Paris, Tallandier, 2009.</w:t>
      </w:r>
    </w:p>
    <w:p w14:paraId="45A4C2A7"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En anglais:</w:t>
      </w:r>
    </w:p>
    <w:p w14:paraId="5CCC5975"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BECK Roger, </w:t>
      </w:r>
      <w:r w:rsidRPr="002C7092">
        <w:rPr>
          <w:rFonts w:ascii="Cambria" w:eastAsia="Times New Roman" w:hAnsi="Cambria" w:cs="Times New Roman"/>
          <w:b w:val="0"/>
          <w:i/>
          <w:iCs/>
          <w:kern w:val="0"/>
          <w:sz w:val="22"/>
          <w:lang w:val="en-US" w:eastAsia="fr-FR"/>
        </w:rPr>
        <w:t>The History of South Africa</w:t>
      </w:r>
      <w:r w:rsidRPr="002C7092">
        <w:rPr>
          <w:rFonts w:ascii="Cambria" w:eastAsia="Times New Roman" w:hAnsi="Cambria" w:cs="Times New Roman"/>
          <w:b w:val="0"/>
          <w:kern w:val="0"/>
          <w:sz w:val="22"/>
          <w:lang w:val="en-US" w:eastAsia="fr-FR"/>
        </w:rPr>
        <w:t>, Westport, Greenwood Press, 2000 (2</w:t>
      </w:r>
      <w:r w:rsidRPr="002C7092">
        <w:rPr>
          <w:rFonts w:ascii="Cambria" w:eastAsia="Times New Roman" w:hAnsi="Cambria" w:cs="Times New Roman"/>
          <w:b w:val="0"/>
          <w:kern w:val="0"/>
          <w:sz w:val="22"/>
          <w:vertAlign w:val="superscript"/>
          <w:lang w:val="en-US" w:eastAsia="fr-FR"/>
        </w:rPr>
        <w:t xml:space="preserve">nd </w:t>
      </w:r>
      <w:r w:rsidRPr="002C7092">
        <w:rPr>
          <w:rFonts w:ascii="Cambria" w:eastAsia="Times New Roman" w:hAnsi="Cambria" w:cs="Times New Roman"/>
          <w:b w:val="0"/>
          <w:kern w:val="0"/>
          <w:sz w:val="22"/>
          <w:lang w:val="en-US" w:eastAsia="fr-FR"/>
        </w:rPr>
        <w:t>edition 2023). </w:t>
      </w:r>
    </w:p>
    <w:p w14:paraId="2690D7B7"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BEINART William, </w:t>
      </w:r>
      <w:r w:rsidRPr="002C7092">
        <w:rPr>
          <w:rFonts w:ascii="Cambria" w:eastAsia="Times New Roman" w:hAnsi="Cambria" w:cs="Times New Roman"/>
          <w:b w:val="0"/>
          <w:i/>
          <w:iCs/>
          <w:kern w:val="0"/>
          <w:sz w:val="22"/>
          <w:lang w:val="en-US" w:eastAsia="fr-FR"/>
        </w:rPr>
        <w:t>Twentieth Century South Africa</w:t>
      </w:r>
      <w:r w:rsidRPr="002C7092">
        <w:rPr>
          <w:rFonts w:ascii="Cambria" w:eastAsia="Times New Roman" w:hAnsi="Cambria" w:cs="Times New Roman"/>
          <w:b w:val="0"/>
          <w:kern w:val="0"/>
          <w:sz w:val="22"/>
          <w:lang w:val="en-US" w:eastAsia="fr-FR"/>
        </w:rPr>
        <w:t>, Oxford, Oxford University Press, 2001. </w:t>
      </w:r>
    </w:p>
    <w:p w14:paraId="1DB044C6"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Clark Nancy, Worger William, </w:t>
      </w:r>
      <w:r w:rsidRPr="002C7092">
        <w:rPr>
          <w:rFonts w:ascii="Cambria" w:eastAsia="Times New Roman" w:hAnsi="Cambria" w:cs="Times New Roman"/>
          <w:b w:val="0"/>
          <w:i/>
          <w:iCs/>
          <w:kern w:val="0"/>
          <w:sz w:val="22"/>
          <w:lang w:val="en-US" w:eastAsia="fr-FR"/>
        </w:rPr>
        <w:t>South Africa. The rise and fall of apartheid,</w:t>
      </w:r>
      <w:r w:rsidRPr="002C7092">
        <w:rPr>
          <w:rFonts w:ascii="Cambria" w:eastAsia="Times New Roman" w:hAnsi="Cambria" w:cs="Times New Roman"/>
          <w:b w:val="0"/>
          <w:kern w:val="0"/>
          <w:sz w:val="22"/>
          <w:lang w:val="en-US" w:eastAsia="fr-FR"/>
        </w:rPr>
        <w:t xml:space="preserve"> London &amp; New York, Routledge, 2016 (3</w:t>
      </w:r>
      <w:r w:rsidRPr="002C7092">
        <w:rPr>
          <w:rFonts w:ascii="Cambria" w:eastAsia="Times New Roman" w:hAnsi="Cambria" w:cs="Times New Roman"/>
          <w:b w:val="0"/>
          <w:kern w:val="0"/>
          <w:sz w:val="22"/>
          <w:vertAlign w:val="superscript"/>
          <w:lang w:val="en-US" w:eastAsia="fr-FR"/>
        </w:rPr>
        <w:t>rd</w:t>
      </w:r>
      <w:r w:rsidRPr="002C7092">
        <w:rPr>
          <w:rFonts w:ascii="Cambria" w:eastAsia="Times New Roman" w:hAnsi="Cambria" w:cs="Times New Roman"/>
          <w:b w:val="0"/>
          <w:kern w:val="0"/>
          <w:sz w:val="22"/>
          <w:lang w:val="en-US" w:eastAsia="fr-FR"/>
        </w:rPr>
        <w:t xml:space="preserve"> edition)</w:t>
      </w:r>
    </w:p>
    <w:p w14:paraId="0E4B29BD"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WORDEN Nigel, </w:t>
      </w:r>
      <w:r w:rsidRPr="002C7092">
        <w:rPr>
          <w:rFonts w:ascii="Cambria" w:eastAsia="Times New Roman" w:hAnsi="Cambria" w:cs="Times New Roman"/>
          <w:b w:val="0"/>
          <w:i/>
          <w:iCs/>
          <w:kern w:val="0"/>
          <w:sz w:val="22"/>
          <w:lang w:val="en-US" w:eastAsia="fr-FR"/>
        </w:rPr>
        <w:t>The making of South Africa. Conquest, Apartheid, Democracy,</w:t>
      </w:r>
      <w:r w:rsidRPr="002C7092">
        <w:rPr>
          <w:rFonts w:ascii="Cambria" w:eastAsia="Times New Roman" w:hAnsi="Cambria" w:cs="Times New Roman"/>
          <w:b w:val="0"/>
          <w:kern w:val="0"/>
          <w:sz w:val="22"/>
          <w:lang w:val="en-US" w:eastAsia="fr-FR"/>
        </w:rPr>
        <w:t xml:space="preserve"> Malden &amp; Oxford, Wiley-Blackwell, 2012 (5</w:t>
      </w:r>
      <w:r w:rsidRPr="002C7092">
        <w:rPr>
          <w:rFonts w:ascii="Cambria" w:eastAsia="Times New Roman" w:hAnsi="Cambria" w:cs="Times New Roman"/>
          <w:b w:val="0"/>
          <w:kern w:val="0"/>
          <w:sz w:val="22"/>
          <w:vertAlign w:val="superscript"/>
          <w:lang w:val="en-US" w:eastAsia="fr-FR"/>
        </w:rPr>
        <w:t>th</w:t>
      </w:r>
      <w:r w:rsidRPr="002C7092">
        <w:rPr>
          <w:rFonts w:ascii="Cambria" w:eastAsia="Times New Roman" w:hAnsi="Cambria" w:cs="Times New Roman"/>
          <w:b w:val="0"/>
          <w:kern w:val="0"/>
          <w:sz w:val="22"/>
          <w:lang w:val="en-US" w:eastAsia="fr-FR"/>
        </w:rPr>
        <w:t xml:space="preserve"> edition).</w:t>
      </w:r>
    </w:p>
    <w:p w14:paraId="748CE7E9"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Le site South African History online est également très utile pour ce cours :</w:t>
      </w:r>
    </w:p>
    <w:p w14:paraId="5CA9D4F2" w14:textId="77777777" w:rsidR="00C70426" w:rsidRPr="002C7092" w:rsidRDefault="00000000" w:rsidP="00C70426">
      <w:pPr>
        <w:spacing w:before="100" w:beforeAutospacing="1" w:after="100" w:afterAutospacing="1" w:line="240" w:lineRule="auto"/>
        <w:rPr>
          <w:rFonts w:ascii="Cambria" w:eastAsia="Times New Roman" w:hAnsi="Cambria" w:cs="Times New Roman"/>
          <w:b w:val="0"/>
          <w:kern w:val="0"/>
          <w:sz w:val="22"/>
          <w:lang w:eastAsia="fr-FR"/>
        </w:rPr>
      </w:pPr>
      <w:hyperlink r:id="rId24" w:history="1">
        <w:r w:rsidR="00C70426" w:rsidRPr="002C7092">
          <w:rPr>
            <w:rFonts w:ascii="Cambria" w:eastAsia="Times New Roman" w:hAnsi="Cambria" w:cs="Times New Roman"/>
            <w:b w:val="0"/>
            <w:color w:val="0000FF"/>
            <w:kern w:val="0"/>
            <w:sz w:val="22"/>
            <w:u w:val="single"/>
            <w:lang w:eastAsia="fr-FR"/>
          </w:rPr>
          <w:t>https://www.sahistory.org.za/</w:t>
        </w:r>
      </w:hyperlink>
    </w:p>
    <w:p w14:paraId="2D6A88C7" w14:textId="77777777" w:rsidR="00B370A3" w:rsidRPr="002C7092" w:rsidRDefault="00B370A3"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E8A557A" w14:textId="77777777" w:rsidR="00FC0880" w:rsidRPr="002C7092"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D025417"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5200B59"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7667A88"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150289F"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5AD915A"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44076A6"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9F24B8B"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BFF4B53"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63E31213" w14:textId="77777777" w:rsidR="00FC0880"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655D5892"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AEBA265"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4E53ED8"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8B0D8D9"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7F1E4AB7"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AACFCDE" w14:textId="77777777" w:rsidR="002C7092" w:rsidRPr="007223DB"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73A6FE6"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16998074" w14:textId="77777777" w:rsidR="009C5BE2" w:rsidRPr="007223DB" w:rsidRDefault="009C5BE2" w:rsidP="007D0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FD66D51" w14:textId="77777777" w:rsidR="009C5BE2" w:rsidRPr="007223DB" w:rsidRDefault="009C5BE2" w:rsidP="007D0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CE64658" w14:textId="77777777" w:rsidR="00EE03A3" w:rsidRPr="007223DB" w:rsidRDefault="00EE03A3" w:rsidP="005439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B8C6DA2" w14:textId="770A9AEC" w:rsidR="006124D5" w:rsidRPr="007223DB" w:rsidRDefault="00BB22E8"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sz w:val="28"/>
          <w:szCs w:val="28"/>
        </w:rPr>
      </w:pPr>
      <w:r w:rsidRPr="007223DB">
        <w:rPr>
          <w:rFonts w:ascii="Cambria" w:hAnsi="Cambria"/>
          <w:i/>
          <w:color w:val="C00000"/>
          <w:sz w:val="28"/>
          <w:szCs w:val="28"/>
        </w:rPr>
        <w:t>J3041719/J3041819</w:t>
      </w:r>
      <w:r w:rsidR="006124D5" w:rsidRPr="007223DB">
        <w:rPr>
          <w:rFonts w:ascii="Cambria" w:hAnsi="Cambria"/>
          <w:i/>
          <w:color w:val="C00000"/>
          <w:sz w:val="28"/>
          <w:szCs w:val="28"/>
        </w:rPr>
        <w:t xml:space="preserve"> : Histoire culturelle et politique des sociétés contemporaines</w:t>
      </w:r>
    </w:p>
    <w:p w14:paraId="370002B2" w14:textId="77777777" w:rsidR="00460188" w:rsidRPr="007223DB" w:rsidRDefault="00460188" w:rsidP="00293A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olor w:val="C00000"/>
          <w:sz w:val="28"/>
          <w:szCs w:val="28"/>
        </w:rPr>
      </w:pPr>
    </w:p>
    <w:p w14:paraId="5A584985" w14:textId="561E82D7" w:rsidR="00293A1D" w:rsidRPr="007223DB" w:rsidRDefault="00293A1D" w:rsidP="00293A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u w:val="single"/>
          <w:lang w:eastAsia="fr-FR"/>
        </w:rPr>
      </w:pPr>
      <w:r w:rsidRPr="007223DB">
        <w:rPr>
          <w:rFonts w:ascii="Cambria" w:hAnsi="Cambria" w:cs="Times New Roman"/>
          <w:i/>
          <w:color w:val="C00000"/>
          <w:sz w:val="28"/>
          <w:szCs w:val="28"/>
          <w:u w:val="single"/>
          <w:lang w:eastAsia="fr-FR"/>
        </w:rPr>
        <w:t xml:space="preserve">Cet enseignement </w:t>
      </w:r>
      <w:r w:rsidR="00586495" w:rsidRPr="007223DB">
        <w:rPr>
          <w:rFonts w:ascii="Cambria" w:hAnsi="Cambria" w:cs="Times New Roman"/>
          <w:i/>
          <w:color w:val="C00000"/>
          <w:sz w:val="28"/>
          <w:szCs w:val="28"/>
          <w:u w:val="single"/>
          <w:lang w:eastAsia="fr-FR"/>
        </w:rPr>
        <w:t>est suspendu cette année</w:t>
      </w:r>
    </w:p>
    <w:p w14:paraId="4DCC119C" w14:textId="77777777" w:rsidR="00644817" w:rsidRPr="007223DB" w:rsidRDefault="00644817" w:rsidP="00644817">
      <w:pPr>
        <w:rPr>
          <w:rFonts w:ascii="Cambria" w:hAnsi="Cambria" w:cs="Times New Roman"/>
          <w:sz w:val="22"/>
        </w:rPr>
      </w:pPr>
    </w:p>
    <w:p w14:paraId="6D841ACE" w14:textId="77777777" w:rsidR="00543986" w:rsidRPr="007223DB" w:rsidRDefault="00543986" w:rsidP="00615146">
      <w:pPr>
        <w:spacing w:after="0" w:line="276" w:lineRule="auto"/>
        <w:contextualSpacing/>
        <w:jc w:val="center"/>
        <w:rPr>
          <w:rFonts w:ascii="Cambria" w:hAnsi="Cambria" w:cs="Times New Roman"/>
          <w:i/>
          <w:color w:val="C00000"/>
          <w:sz w:val="22"/>
        </w:rPr>
      </w:pPr>
    </w:p>
    <w:p w14:paraId="50DE483A"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7021CB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A9F13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B973A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7C6953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C04C3A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59DA19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0EC2E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C18684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2CF5A7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D69DED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F4ED35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9A872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DBF13A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41B1A2F"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8BAC9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EB824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0CEC8F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317C0EB"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DEDE18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8372BA5"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F09307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17DDF9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F16F1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508F3E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FCE5C68"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5AE39F"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43A781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8F050B"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895127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F1CF32"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8CA37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2AF72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C853B6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134F0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36C2BD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AD79F9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048F1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33953F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699F1C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2840EE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A7D605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018ABF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2F45A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B6A2BC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04EA93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0E07F2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EF2BBB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17B60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F2470E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25B534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E76700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DE7EE4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BC725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6A62FB2"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ECA6FD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C22D348"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51BC54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14B5A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E462998" w14:textId="00055251" w:rsidR="0077265F" w:rsidRPr="007223DB" w:rsidRDefault="00BB22E8" w:rsidP="00615146">
      <w:pPr>
        <w:spacing w:after="0" w:line="276" w:lineRule="auto"/>
        <w:contextualSpacing/>
        <w:jc w:val="center"/>
        <w:rPr>
          <w:rFonts w:ascii="Cambria" w:hAnsi="Cambria" w:cs="Times New Roman"/>
          <w:i/>
          <w:color w:val="C00000"/>
          <w:sz w:val="28"/>
          <w:szCs w:val="28"/>
        </w:rPr>
      </w:pPr>
      <w:r w:rsidRPr="007223DB">
        <w:rPr>
          <w:rFonts w:ascii="Cambria" w:hAnsi="Cambria" w:cs="Times New Roman"/>
          <w:i/>
          <w:color w:val="C00000"/>
          <w:sz w:val="28"/>
          <w:szCs w:val="28"/>
        </w:rPr>
        <w:t>J3041919</w:t>
      </w:r>
      <w:r w:rsidR="0077265F" w:rsidRPr="007223DB">
        <w:rPr>
          <w:rFonts w:ascii="Cambria" w:hAnsi="Cambria" w:cs="Times New Roman"/>
          <w:i/>
          <w:color w:val="C00000"/>
          <w:sz w:val="28"/>
          <w:szCs w:val="28"/>
        </w:rPr>
        <w:t xml:space="preserve"> /</w:t>
      </w:r>
      <w:r w:rsidR="00637C66" w:rsidRPr="007223DB">
        <w:rPr>
          <w:rFonts w:ascii="Cambria" w:hAnsi="Cambria" w:cs="Times New Roman"/>
          <w:i/>
          <w:color w:val="C00000"/>
          <w:sz w:val="28"/>
          <w:szCs w:val="28"/>
        </w:rPr>
        <w:t xml:space="preserve">J3042019 </w:t>
      </w:r>
      <w:r w:rsidR="0077265F" w:rsidRPr="007223DB">
        <w:rPr>
          <w:rFonts w:ascii="Cambria" w:hAnsi="Cambria" w:cs="Times New Roman"/>
          <w:i/>
          <w:color w:val="C00000"/>
          <w:sz w:val="28"/>
          <w:szCs w:val="28"/>
        </w:rPr>
        <w:t>: Histoire contemporaine de l’Europe centrale</w:t>
      </w:r>
    </w:p>
    <w:p w14:paraId="64B6BA81" w14:textId="77777777" w:rsidR="0049207C" w:rsidRPr="007223DB" w:rsidRDefault="0049207C" w:rsidP="0049207C">
      <w:pPr>
        <w:jc w:val="center"/>
        <w:rPr>
          <w:rFonts w:ascii="Cambria" w:eastAsia="Times New Roman" w:hAnsi="Cambria" w:cs="Times New Roman"/>
          <w:i/>
          <w:iCs/>
          <w:sz w:val="28"/>
          <w:szCs w:val="28"/>
          <w:lang w:eastAsia="fr-FR"/>
        </w:rPr>
      </w:pPr>
    </w:p>
    <w:p w14:paraId="28748B4E" w14:textId="6E22F449" w:rsidR="00AF18F0" w:rsidRPr="007223DB" w:rsidRDefault="0049207C" w:rsidP="00AF18F0">
      <w:pPr>
        <w:jc w:val="center"/>
        <w:rPr>
          <w:rFonts w:ascii="Cambria" w:eastAsia="Times New Roman" w:hAnsi="Cambria" w:cs="Times New Roman"/>
          <w:i/>
          <w:iCs/>
          <w:sz w:val="22"/>
          <w:lang w:val="en-US" w:eastAsia="fr-FR"/>
        </w:rPr>
      </w:pPr>
      <w:r w:rsidRPr="007223DB">
        <w:rPr>
          <w:rFonts w:ascii="Cambria" w:eastAsia="Times New Roman" w:hAnsi="Cambria" w:cs="Times New Roman"/>
          <w:i/>
          <w:iCs/>
          <w:sz w:val="22"/>
          <w:lang w:val="en-US" w:eastAsia="fr-FR"/>
        </w:rPr>
        <w:t>Paul Gradvohl</w:t>
      </w:r>
      <w:r w:rsidR="00DF31EE" w:rsidRPr="007223DB">
        <w:rPr>
          <w:rFonts w:ascii="Cambria" w:eastAsia="Times New Roman" w:hAnsi="Cambria" w:cs="Times New Roman"/>
          <w:i/>
          <w:iCs/>
          <w:sz w:val="22"/>
          <w:lang w:val="en-US" w:eastAsia="fr-FR"/>
        </w:rPr>
        <w:t xml:space="preserve"> </w:t>
      </w:r>
      <w:r w:rsidRPr="007223DB">
        <w:rPr>
          <w:rFonts w:ascii="Cambria" w:eastAsia="Times New Roman" w:hAnsi="Cambria" w:cs="Times New Roman"/>
          <w:i/>
          <w:iCs/>
          <w:sz w:val="22"/>
          <w:lang w:val="en-US" w:eastAsia="fr-FR"/>
        </w:rPr>
        <w:t>(CM</w:t>
      </w:r>
      <w:r w:rsidR="00D752D7" w:rsidRPr="007223DB">
        <w:rPr>
          <w:rFonts w:ascii="Cambria" w:eastAsia="Times New Roman" w:hAnsi="Cambria" w:cs="Times New Roman"/>
          <w:i/>
          <w:iCs/>
          <w:sz w:val="22"/>
          <w:lang w:val="en-US" w:eastAsia="fr-FR"/>
        </w:rPr>
        <w:t>/</w:t>
      </w:r>
      <w:r w:rsidR="00DF31EE" w:rsidRPr="007223DB">
        <w:rPr>
          <w:rFonts w:ascii="Cambria" w:eastAsia="Times New Roman" w:hAnsi="Cambria" w:cs="Times New Roman"/>
          <w:i/>
          <w:iCs/>
          <w:sz w:val="22"/>
          <w:lang w:val="en-US" w:eastAsia="fr-FR"/>
        </w:rPr>
        <w:t>TD</w:t>
      </w:r>
      <w:r w:rsidR="001120D7" w:rsidRPr="007223DB">
        <w:rPr>
          <w:rFonts w:ascii="Cambria" w:eastAsia="Times New Roman" w:hAnsi="Cambria" w:cs="Times New Roman"/>
          <w:i/>
          <w:iCs/>
          <w:sz w:val="22"/>
          <w:lang w:val="en-US" w:eastAsia="fr-FR"/>
        </w:rPr>
        <w:t xml:space="preserve"> S1</w:t>
      </w:r>
      <w:r w:rsidRPr="007223DB">
        <w:rPr>
          <w:rFonts w:ascii="Cambria" w:eastAsia="Times New Roman" w:hAnsi="Cambria" w:cs="Times New Roman"/>
          <w:i/>
          <w:iCs/>
          <w:sz w:val="22"/>
          <w:lang w:val="en-US" w:eastAsia="fr-FR"/>
        </w:rPr>
        <w:t>), Alain Soubigou</w:t>
      </w:r>
      <w:r w:rsidR="00DF31EE" w:rsidRPr="007223DB">
        <w:rPr>
          <w:rFonts w:ascii="Cambria" w:eastAsia="Times New Roman" w:hAnsi="Cambria" w:cs="Times New Roman"/>
          <w:i/>
          <w:iCs/>
          <w:sz w:val="22"/>
          <w:lang w:val="en-US" w:eastAsia="fr-FR"/>
        </w:rPr>
        <w:t xml:space="preserve"> </w:t>
      </w:r>
      <w:r w:rsidRPr="007223DB">
        <w:rPr>
          <w:rFonts w:ascii="Cambria" w:eastAsia="Times New Roman" w:hAnsi="Cambria" w:cs="Times New Roman"/>
          <w:i/>
          <w:iCs/>
          <w:sz w:val="22"/>
          <w:lang w:val="en-US" w:eastAsia="fr-FR"/>
        </w:rPr>
        <w:t>(</w:t>
      </w:r>
      <w:r w:rsidR="00DF31EE" w:rsidRPr="007223DB">
        <w:rPr>
          <w:rFonts w:ascii="Cambria" w:eastAsia="Times New Roman" w:hAnsi="Cambria" w:cs="Times New Roman"/>
          <w:i/>
          <w:iCs/>
          <w:sz w:val="22"/>
          <w:lang w:val="en-US" w:eastAsia="fr-FR"/>
        </w:rPr>
        <w:t>CM</w:t>
      </w:r>
      <w:r w:rsidR="00D752D7" w:rsidRPr="007223DB">
        <w:rPr>
          <w:rFonts w:ascii="Cambria" w:eastAsia="Times New Roman" w:hAnsi="Cambria" w:cs="Times New Roman"/>
          <w:i/>
          <w:iCs/>
          <w:sz w:val="22"/>
          <w:lang w:val="en-US" w:eastAsia="fr-FR"/>
        </w:rPr>
        <w:t>/</w:t>
      </w:r>
      <w:r w:rsidRPr="007223DB">
        <w:rPr>
          <w:rFonts w:ascii="Cambria" w:eastAsia="Times New Roman" w:hAnsi="Cambria" w:cs="Times New Roman"/>
          <w:i/>
          <w:iCs/>
          <w:sz w:val="22"/>
          <w:lang w:val="en-US" w:eastAsia="fr-FR"/>
        </w:rPr>
        <w:t>TD</w:t>
      </w:r>
      <w:r w:rsidR="001120D7" w:rsidRPr="007223DB">
        <w:rPr>
          <w:rFonts w:ascii="Cambria" w:eastAsia="Times New Roman" w:hAnsi="Cambria" w:cs="Times New Roman"/>
          <w:i/>
          <w:iCs/>
          <w:sz w:val="22"/>
          <w:lang w:val="en-US" w:eastAsia="fr-FR"/>
        </w:rPr>
        <w:t xml:space="preserve"> S2</w:t>
      </w:r>
      <w:r w:rsidRPr="007223DB">
        <w:rPr>
          <w:rFonts w:ascii="Cambria" w:eastAsia="Times New Roman" w:hAnsi="Cambria" w:cs="Times New Roman"/>
          <w:i/>
          <w:iCs/>
          <w:sz w:val="22"/>
          <w:lang w:val="en-US" w:eastAsia="fr-FR"/>
        </w:rPr>
        <w:t>)</w:t>
      </w:r>
    </w:p>
    <w:p w14:paraId="41A2E6DC" w14:textId="77777777" w:rsidR="00CC6987" w:rsidRPr="007223DB" w:rsidRDefault="00CC6987" w:rsidP="00AF18F0">
      <w:pPr>
        <w:jc w:val="center"/>
        <w:rPr>
          <w:rFonts w:ascii="Cambria" w:eastAsia="Times New Roman" w:hAnsi="Cambria" w:cs="Times New Roman"/>
          <w:i/>
          <w:iCs/>
          <w:sz w:val="22"/>
          <w:lang w:val="en-US" w:eastAsia="fr-FR"/>
        </w:rPr>
      </w:pPr>
    </w:p>
    <w:p w14:paraId="02DA4CFD" w14:textId="0C740BAF" w:rsidR="0049207C" w:rsidRPr="002C7092" w:rsidRDefault="0049207C" w:rsidP="00265D8A">
      <w:pPr>
        <w:jc w:val="center"/>
        <w:rPr>
          <w:rFonts w:ascii="Cambria" w:eastAsia="Times New Roman" w:hAnsi="Cambria" w:cs="Times New Roman"/>
          <w:i/>
          <w:iCs/>
          <w:color w:val="C00000"/>
          <w:sz w:val="22"/>
          <w:lang w:eastAsia="fr-FR"/>
        </w:rPr>
      </w:pPr>
      <w:r w:rsidRPr="002C7092">
        <w:rPr>
          <w:rFonts w:ascii="Cambria" w:eastAsia="Times New Roman" w:hAnsi="Cambria" w:cs="Times New Roman"/>
          <w:i/>
          <w:iCs/>
          <w:color w:val="C00000"/>
          <w:sz w:val="22"/>
          <w:u w:val="single"/>
          <w:lang w:eastAsia="fr-FR"/>
        </w:rPr>
        <w:t>Sujet du cours</w:t>
      </w:r>
      <w:r w:rsidRPr="002C7092">
        <w:rPr>
          <w:rFonts w:ascii="Cambria" w:eastAsia="Times New Roman" w:hAnsi="Cambria" w:cs="Times New Roman"/>
          <w:i/>
          <w:iCs/>
          <w:color w:val="C00000"/>
          <w:sz w:val="22"/>
          <w:lang w:eastAsia="fr-FR"/>
        </w:rPr>
        <w:t xml:space="preserve"> : </w:t>
      </w:r>
      <w:bookmarkStart w:id="30" w:name="_Hlk170723113"/>
      <w:r w:rsidR="008E50DC" w:rsidRPr="002C7092">
        <w:rPr>
          <w:rFonts w:ascii="Cambria" w:eastAsia="Times New Roman" w:hAnsi="Cambria" w:cs="Times New Roman"/>
          <w:i/>
          <w:iCs/>
          <w:color w:val="C00000"/>
          <w:sz w:val="22"/>
          <w:lang w:eastAsia="fr-FR"/>
        </w:rPr>
        <w:t xml:space="preserve">Forces du faible et incertitudes de la puissance : l’Europe centrale entre Empires et </w:t>
      </w:r>
      <w:r w:rsidR="0018532C" w:rsidRPr="002C7092">
        <w:rPr>
          <w:rFonts w:ascii="Cambria" w:eastAsia="Times New Roman" w:hAnsi="Cambria" w:cs="Times New Roman"/>
          <w:i/>
          <w:iCs/>
          <w:color w:val="C00000"/>
          <w:sz w:val="22"/>
          <w:lang w:eastAsia="fr-FR"/>
        </w:rPr>
        <w:t xml:space="preserve">« Etats-Nations » </w:t>
      </w:r>
      <w:r w:rsidR="008E50DC" w:rsidRPr="002C7092">
        <w:rPr>
          <w:rFonts w:ascii="Cambria" w:eastAsia="Times New Roman" w:hAnsi="Cambria" w:cs="Times New Roman"/>
          <w:i/>
          <w:iCs/>
          <w:color w:val="C00000"/>
          <w:sz w:val="22"/>
          <w:lang w:eastAsia="fr-FR"/>
        </w:rPr>
        <w:t>(depuis Napoléon)</w:t>
      </w:r>
      <w:bookmarkEnd w:id="30"/>
    </w:p>
    <w:p w14:paraId="1432923D" w14:textId="614047CC"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Le CM de cette année 2024-2025 est nouveau. Il vise à faire réfléchir (1) sur le rapport entre État et souveraineté dans une région ou ces deux notions ne correspondent pas depuis le XIXe siècle, donc à l’ère de l’État-nation ; (2) sur le rapport entre logiques locales ou nationales et acteurs extérieurs, dans une région où plus de vingt États « nationaux » existent aujour</w:t>
      </w:r>
      <w:r w:rsidRPr="007223DB">
        <w:rPr>
          <w:rFonts w:ascii="Cambria" w:hAnsi="Cambria" w:cs="Times New Roman"/>
          <w:b w:val="0"/>
          <w:bCs/>
          <w:sz w:val="22"/>
        </w:rPr>
        <w:softHyphen/>
        <w:t>d’hui (Europe médiane) alors que quatre empires étaient présents en 1815 ; (3) donc sur la question de la force d’acteurs qui peuvent sembler faibles, petits, négligeables aux yeux de puissances plus fortes et de leurs habitants.</w:t>
      </w:r>
    </w:p>
    <w:p w14:paraId="52CCF5BC" w14:textId="7A0F4B8D"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Faire comprendre combien cette zone qui représentent 5 fois la France en superficie ques</w:t>
      </w:r>
      <w:r w:rsidRPr="007223DB">
        <w:rPr>
          <w:rFonts w:ascii="Cambria" w:hAnsi="Cambria" w:cs="Times New Roman"/>
          <w:b w:val="0"/>
          <w:bCs/>
          <w:sz w:val="22"/>
        </w:rPr>
        <w:softHyphen/>
        <w:t>tion</w:t>
      </w:r>
      <w:r w:rsidRPr="007223DB">
        <w:rPr>
          <w:rFonts w:ascii="Cambria" w:hAnsi="Cambria" w:cs="Times New Roman"/>
          <w:b w:val="0"/>
          <w:bCs/>
          <w:sz w:val="22"/>
        </w:rPr>
        <w:softHyphen/>
        <w:t>ne l’approche des cultures, des cultures politiques, et de l’histoire de l’Europe est l’objec</w:t>
      </w:r>
      <w:r w:rsidRPr="007223DB">
        <w:rPr>
          <w:rFonts w:ascii="Cambria" w:hAnsi="Cambria" w:cs="Times New Roman"/>
          <w:b w:val="0"/>
          <w:bCs/>
          <w:sz w:val="22"/>
        </w:rPr>
        <w:softHyphen/>
        <w:t>tif. Effondrements impériaux à répétition, nationalismes exacerbés ou non, massacres de mas</w:t>
      </w:r>
      <w:r w:rsidRPr="007223DB">
        <w:rPr>
          <w:rFonts w:ascii="Cambria" w:hAnsi="Cambria" w:cs="Times New Roman"/>
          <w:b w:val="0"/>
          <w:bCs/>
          <w:sz w:val="22"/>
        </w:rPr>
        <w:softHyphen/>
        <w:t>ses, Shoah, révolutions sociales plus ou moins silencieuses, autant de phénomènes qui per</w:t>
      </w:r>
      <w:r w:rsidRPr="007223DB">
        <w:rPr>
          <w:rFonts w:ascii="Cambria" w:hAnsi="Cambria" w:cs="Times New Roman"/>
          <w:b w:val="0"/>
          <w:bCs/>
          <w:sz w:val="22"/>
        </w:rPr>
        <w:softHyphen/>
        <w:t>met</w:t>
      </w:r>
      <w:r w:rsidRPr="007223DB">
        <w:rPr>
          <w:rFonts w:ascii="Cambria" w:hAnsi="Cambria" w:cs="Times New Roman"/>
          <w:b w:val="0"/>
          <w:bCs/>
          <w:sz w:val="22"/>
        </w:rPr>
        <w:softHyphen/>
        <w:t>tent de repenser les rapports entre social, culturel, national et impérial.</w:t>
      </w:r>
    </w:p>
    <w:p w14:paraId="1BFC12AD" w14:textId="77777777" w:rsidR="008E50DC" w:rsidRPr="007223DB" w:rsidRDefault="008E50DC" w:rsidP="008E50DC">
      <w:pPr>
        <w:jc w:val="both"/>
        <w:rPr>
          <w:rFonts w:ascii="Cambria" w:hAnsi="Cambria" w:cs="Times New Roman"/>
          <w:b w:val="0"/>
          <w:bCs/>
          <w:sz w:val="22"/>
        </w:rPr>
      </w:pPr>
      <w:r w:rsidRPr="007223DB">
        <w:rPr>
          <w:rFonts w:ascii="Cambria" w:eastAsia="Times New Roman" w:hAnsi="Cambria" w:cs="Times New Roman"/>
          <w:b w:val="0"/>
          <w:bCs/>
          <w:sz w:val="22"/>
          <w:lang w:eastAsia="fr-FR"/>
        </w:rPr>
        <w:t>L’Europe centrale (qui se réduit à Pologne, République Tchèque, Slovaquie et Hongrie) et mé</w:t>
      </w:r>
      <w:r w:rsidRPr="007223DB">
        <w:rPr>
          <w:rFonts w:ascii="Cambria" w:eastAsia="Times New Roman" w:hAnsi="Cambria" w:cs="Times New Roman"/>
          <w:b w:val="0"/>
          <w:bCs/>
          <w:sz w:val="22"/>
          <w:lang w:eastAsia="fr-FR"/>
        </w:rPr>
        <w:softHyphen/>
        <w:t>diane (de la Finlande à la Grèce, les États qui ont quitté les empires dirigés d’Istanbul, de Ber</w:t>
      </w:r>
      <w:r w:rsidRPr="007223DB">
        <w:rPr>
          <w:rFonts w:ascii="Cambria" w:eastAsia="Times New Roman" w:hAnsi="Cambria" w:cs="Times New Roman"/>
          <w:b w:val="0"/>
          <w:bCs/>
          <w:sz w:val="22"/>
          <w:lang w:eastAsia="fr-FR"/>
        </w:rPr>
        <w:softHyphen/>
        <w:t>lin, de Vienne et de Saint-Pétersbourg ou Moscou) sont donc vue ensemble comme labo</w:t>
      </w:r>
      <w:r w:rsidRPr="007223DB">
        <w:rPr>
          <w:rFonts w:ascii="Cambria" w:eastAsia="Times New Roman" w:hAnsi="Cambria" w:cs="Times New Roman"/>
          <w:b w:val="0"/>
          <w:bCs/>
          <w:sz w:val="22"/>
          <w:lang w:eastAsia="fr-FR"/>
        </w:rPr>
        <w:softHyphen/>
        <w:t>ra</w:t>
      </w:r>
      <w:r w:rsidRPr="007223DB">
        <w:rPr>
          <w:rFonts w:ascii="Cambria" w:eastAsia="Times New Roman" w:hAnsi="Cambria" w:cs="Times New Roman"/>
          <w:b w:val="0"/>
          <w:bCs/>
          <w:sz w:val="22"/>
          <w:lang w:eastAsia="fr-FR"/>
        </w:rPr>
        <w:softHyphen/>
        <w:t>toire et sismographe d’une histoire Européenne et mondiale.</w:t>
      </w:r>
    </w:p>
    <w:p w14:paraId="0BCF9DC8" w14:textId="77777777" w:rsidR="00CC6987" w:rsidRPr="007223DB" w:rsidRDefault="00CC6987" w:rsidP="008E50DC">
      <w:pPr>
        <w:jc w:val="center"/>
        <w:rPr>
          <w:rFonts w:ascii="Cambria" w:eastAsia="Times New Roman" w:hAnsi="Cambria" w:cs="Times New Roman"/>
          <w:i/>
          <w:iCs/>
          <w:color w:val="C00000"/>
          <w:sz w:val="22"/>
          <w:lang w:eastAsia="fr-FR"/>
        </w:rPr>
      </w:pPr>
    </w:p>
    <w:p w14:paraId="00AF17E3" w14:textId="77777777" w:rsidR="00CC6987" w:rsidRPr="007223DB" w:rsidRDefault="00CC6987" w:rsidP="008E50DC">
      <w:pPr>
        <w:jc w:val="center"/>
        <w:rPr>
          <w:rFonts w:ascii="Cambria" w:eastAsia="Times New Roman" w:hAnsi="Cambria" w:cs="Times New Roman"/>
          <w:i/>
          <w:iCs/>
          <w:color w:val="C00000"/>
          <w:sz w:val="22"/>
          <w:lang w:eastAsia="fr-FR"/>
        </w:rPr>
      </w:pPr>
    </w:p>
    <w:p w14:paraId="05997475" w14:textId="77777777" w:rsidR="00CC6987" w:rsidRPr="007223DB" w:rsidRDefault="00CC6987" w:rsidP="006C37C1">
      <w:pPr>
        <w:rPr>
          <w:rFonts w:ascii="Cambria" w:eastAsia="Times New Roman" w:hAnsi="Cambria" w:cs="Times New Roman"/>
          <w:i/>
          <w:iCs/>
          <w:color w:val="C00000"/>
          <w:sz w:val="22"/>
          <w:lang w:eastAsia="fr-FR"/>
        </w:rPr>
      </w:pPr>
    </w:p>
    <w:p w14:paraId="3006FB3A" w14:textId="77777777" w:rsidR="00CC6987" w:rsidRPr="007223DB" w:rsidRDefault="00CC6987" w:rsidP="008E50DC">
      <w:pPr>
        <w:jc w:val="center"/>
        <w:rPr>
          <w:rFonts w:ascii="Cambria" w:eastAsia="Times New Roman" w:hAnsi="Cambria" w:cs="Times New Roman"/>
          <w:i/>
          <w:iCs/>
          <w:color w:val="C00000"/>
          <w:sz w:val="22"/>
          <w:lang w:eastAsia="fr-FR"/>
        </w:rPr>
      </w:pPr>
    </w:p>
    <w:p w14:paraId="30654779" w14:textId="41DA9C37" w:rsidR="008E50DC" w:rsidRPr="007223DB" w:rsidRDefault="008E50DC" w:rsidP="00EF1149">
      <w:pPr>
        <w:rPr>
          <w:rFonts w:ascii="Cambria" w:eastAsia="Times New Roman" w:hAnsi="Cambria" w:cs="Times New Roman"/>
          <w:color w:val="C00000"/>
          <w:sz w:val="22"/>
          <w:lang w:eastAsia="fr-FR"/>
        </w:rPr>
      </w:pPr>
      <w:r w:rsidRPr="002C7092">
        <w:rPr>
          <w:rFonts w:ascii="Cambria" w:eastAsia="Times New Roman" w:hAnsi="Cambria" w:cs="Times New Roman"/>
          <w:color w:val="C00000"/>
          <w:sz w:val="22"/>
          <w:u w:val="single"/>
          <w:lang w:eastAsia="fr-FR"/>
        </w:rPr>
        <w:t>Semestre 1</w:t>
      </w:r>
      <w:r w:rsidRPr="007223DB">
        <w:rPr>
          <w:rFonts w:ascii="Cambria" w:eastAsia="Times New Roman" w:hAnsi="Cambria" w:cs="Times New Roman"/>
          <w:color w:val="C00000"/>
          <w:sz w:val="22"/>
          <w:lang w:eastAsia="fr-FR"/>
        </w:rPr>
        <w:t> </w:t>
      </w:r>
      <w:bookmarkStart w:id="31" w:name="_Hlk170723428"/>
      <w:r w:rsidRPr="007223DB">
        <w:rPr>
          <w:rFonts w:ascii="Cambria" w:eastAsia="Times New Roman" w:hAnsi="Cambria" w:cs="Times New Roman"/>
          <w:color w:val="C00000"/>
          <w:sz w:val="22"/>
          <w:lang w:eastAsia="fr-FR"/>
        </w:rPr>
        <w:t>: l’ère des empires : une fin annoncée en 1918 pour cause de faiblesse impériale ?</w:t>
      </w:r>
      <w:bookmarkEnd w:id="31"/>
    </w:p>
    <w:p w14:paraId="30A66D37" w14:textId="0C4664C0" w:rsidR="008E50DC"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1 - </w:t>
      </w:r>
      <w:r w:rsidR="008E50DC" w:rsidRPr="007223DB">
        <w:rPr>
          <w:rFonts w:ascii="Cambria" w:hAnsi="Cambria" w:cs="Times New Roman"/>
          <w:b w:val="0"/>
          <w:bCs/>
          <w:sz w:val="22"/>
        </w:rPr>
        <w:t>De Napoléon au romantisme, ou comment l’impérialisme français favorisa les nations et</w:t>
      </w:r>
      <w:r w:rsidRPr="007223DB">
        <w:rPr>
          <w:rFonts w:ascii="Cambria" w:hAnsi="Cambria" w:cs="Times New Roman"/>
          <w:b w:val="0"/>
          <w:bCs/>
          <w:sz w:val="22"/>
        </w:rPr>
        <w:t xml:space="preserve"> </w:t>
      </w:r>
      <w:r w:rsidR="008E50DC" w:rsidRPr="007223DB">
        <w:rPr>
          <w:rFonts w:ascii="Cambria" w:hAnsi="Cambria" w:cs="Times New Roman"/>
          <w:b w:val="0"/>
          <w:bCs/>
          <w:sz w:val="22"/>
        </w:rPr>
        <w:t>leur nuisit en Europe médiane.</w:t>
      </w:r>
    </w:p>
    <w:p w14:paraId="76F9DEBE" w14:textId="4633773D"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2</w:t>
      </w:r>
      <w:r w:rsidR="00CC6987" w:rsidRPr="007223DB">
        <w:rPr>
          <w:rFonts w:ascii="Cambria" w:hAnsi="Cambria" w:cs="Times New Roman"/>
          <w:b w:val="0"/>
          <w:bCs/>
          <w:sz w:val="22"/>
        </w:rPr>
        <w:t xml:space="preserve"> -</w:t>
      </w:r>
      <w:r w:rsidRPr="007223DB">
        <w:rPr>
          <w:rFonts w:ascii="Cambria" w:hAnsi="Cambria" w:cs="Times New Roman"/>
          <w:b w:val="0"/>
          <w:bCs/>
          <w:sz w:val="22"/>
        </w:rPr>
        <w:t>1848-1849 : querelles entre faibles et mutations des forts.</w:t>
      </w:r>
    </w:p>
    <w:p w14:paraId="25FE0826" w14:textId="1167C7AC"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3</w:t>
      </w:r>
      <w:r w:rsidR="00CC6987" w:rsidRPr="007223DB">
        <w:rPr>
          <w:rFonts w:ascii="Cambria" w:hAnsi="Cambria" w:cs="Times New Roman"/>
          <w:b w:val="0"/>
          <w:bCs/>
          <w:sz w:val="22"/>
        </w:rPr>
        <w:t xml:space="preserve">- </w:t>
      </w:r>
      <w:r w:rsidRPr="007223DB">
        <w:rPr>
          <w:rFonts w:ascii="Cambria" w:hAnsi="Cambria" w:cs="Times New Roman"/>
          <w:b w:val="0"/>
          <w:bCs/>
          <w:sz w:val="22"/>
        </w:rPr>
        <w:t>Après la victoire : les empires en voie d’affaiblissement. Culture, religion économie</w:t>
      </w:r>
      <w:r w:rsidR="00CC6987" w:rsidRPr="007223DB">
        <w:rPr>
          <w:rFonts w:ascii="Cambria" w:hAnsi="Cambria" w:cs="Times New Roman"/>
          <w:b w:val="0"/>
          <w:bCs/>
          <w:sz w:val="22"/>
        </w:rPr>
        <w:t xml:space="preserve"> </w:t>
      </w:r>
      <w:r w:rsidRPr="007223DB">
        <w:rPr>
          <w:rFonts w:ascii="Cambria" w:hAnsi="Cambria" w:cs="Times New Roman"/>
          <w:b w:val="0"/>
          <w:bCs/>
          <w:sz w:val="22"/>
        </w:rPr>
        <w:t>jusqu’à 1867.</w:t>
      </w:r>
    </w:p>
    <w:p w14:paraId="04BBCDD9" w14:textId="0393DBB1"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4</w:t>
      </w:r>
      <w:r w:rsidR="00CC6987" w:rsidRPr="007223DB">
        <w:rPr>
          <w:rFonts w:ascii="Cambria" w:hAnsi="Cambria" w:cs="Times New Roman"/>
          <w:b w:val="0"/>
          <w:bCs/>
          <w:sz w:val="22"/>
        </w:rPr>
        <w:t xml:space="preserve">- </w:t>
      </w:r>
      <w:r w:rsidRPr="007223DB">
        <w:rPr>
          <w:rFonts w:ascii="Cambria" w:hAnsi="Cambria" w:cs="Times New Roman"/>
          <w:b w:val="0"/>
          <w:bCs/>
          <w:sz w:val="22"/>
        </w:rPr>
        <w:t>Les dynamiques militaires comme moteur du changement démocratique ? (De la guerre de Crimée à Sadowa).</w:t>
      </w:r>
    </w:p>
    <w:p w14:paraId="02B6E8F6" w14:textId="5A5FC2C8"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5</w:t>
      </w:r>
      <w:r w:rsidR="00CC6987" w:rsidRPr="007223DB">
        <w:rPr>
          <w:rFonts w:ascii="Cambria" w:hAnsi="Cambria" w:cs="Times New Roman"/>
          <w:b w:val="0"/>
          <w:bCs/>
          <w:sz w:val="22"/>
        </w:rPr>
        <w:t xml:space="preserve">- </w:t>
      </w:r>
      <w:r w:rsidRPr="007223DB">
        <w:rPr>
          <w:rFonts w:ascii="Cambria" w:hAnsi="Cambria" w:cs="Times New Roman"/>
          <w:b w:val="0"/>
          <w:bCs/>
          <w:sz w:val="22"/>
        </w:rPr>
        <w:t>L’étrange compromis austro-hongrois (1867) : faiblesse du fort et des faibles …</w:t>
      </w:r>
    </w:p>
    <w:p w14:paraId="18957D9D" w14:textId="26C05650"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6</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Le monde juif centre-européen rencontre la nation moderne (de 1848 à aux débuts du sionisme) : minorité peut-elle espérer la puissance ? </w:t>
      </w:r>
    </w:p>
    <w:p w14:paraId="47F7AE75" w14:textId="6F1F3896"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7</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Trois catholicismes « dominants » (tchèque, polonais et hongrois) : qui peut se croire fort avant 1914 ? </w:t>
      </w:r>
    </w:p>
    <w:p w14:paraId="25FF20C1" w14:textId="1BCAB7DF"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8</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Mutations économiques et migrations : où est la puissance ? </w:t>
      </w:r>
    </w:p>
    <w:p w14:paraId="3BF3BA2B" w14:textId="4AFCB6B6"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9</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La culture entre outil de légitimation du fort et arme des faibles ? </w:t>
      </w:r>
    </w:p>
    <w:p w14:paraId="151D3E9F" w14:textId="5BFA2FA5"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10</w:t>
      </w:r>
      <w:r w:rsidR="00CC6987" w:rsidRPr="007223DB">
        <w:rPr>
          <w:rFonts w:ascii="Cambria" w:hAnsi="Cambria" w:cs="Times New Roman"/>
          <w:b w:val="0"/>
          <w:bCs/>
          <w:sz w:val="22"/>
        </w:rPr>
        <w:t xml:space="preserve">- </w:t>
      </w:r>
      <w:r w:rsidRPr="007223DB">
        <w:rPr>
          <w:rFonts w:ascii="Cambria" w:hAnsi="Cambria" w:cs="Times New Roman"/>
          <w:b w:val="0"/>
          <w:bCs/>
          <w:sz w:val="22"/>
        </w:rPr>
        <w:t>1912-1913 : Guerres des faibles, jeux des forts dans les Balkans — un labo</w:t>
      </w:r>
      <w:r w:rsidRPr="007223DB">
        <w:rPr>
          <w:rFonts w:ascii="Cambria" w:hAnsi="Cambria" w:cs="Times New Roman"/>
          <w:b w:val="0"/>
          <w:bCs/>
          <w:sz w:val="22"/>
        </w:rPr>
        <w:softHyphen/>
        <w:t>ra</w:t>
      </w:r>
      <w:r w:rsidRPr="007223DB">
        <w:rPr>
          <w:rFonts w:ascii="Cambria" w:hAnsi="Cambria" w:cs="Times New Roman"/>
          <w:b w:val="0"/>
          <w:bCs/>
          <w:sz w:val="22"/>
        </w:rPr>
        <w:softHyphen/>
        <w:t>toire du souverainisme des fai</w:t>
      </w:r>
      <w:r w:rsidRPr="007223DB">
        <w:rPr>
          <w:rFonts w:ascii="Cambria" w:hAnsi="Cambria" w:cs="Times New Roman"/>
          <w:b w:val="0"/>
          <w:bCs/>
          <w:sz w:val="22"/>
        </w:rPr>
        <w:softHyphen/>
        <w:t>bles associé à l’expéri</w:t>
      </w:r>
      <w:r w:rsidRPr="007223DB">
        <w:rPr>
          <w:rFonts w:ascii="Cambria" w:hAnsi="Cambria" w:cs="Times New Roman"/>
          <w:b w:val="0"/>
          <w:bCs/>
          <w:sz w:val="22"/>
        </w:rPr>
        <w:softHyphen/>
        <w:t>men</w:t>
      </w:r>
      <w:r w:rsidRPr="007223DB">
        <w:rPr>
          <w:rFonts w:ascii="Cambria" w:hAnsi="Cambria" w:cs="Times New Roman"/>
          <w:b w:val="0"/>
          <w:bCs/>
          <w:sz w:val="22"/>
        </w:rPr>
        <w:softHyphen/>
        <w:t xml:space="preserve">tation par les forts ?    </w:t>
      </w:r>
    </w:p>
    <w:p w14:paraId="52FDADDA" w14:textId="2802AA61"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11</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Puissances impériales à l’épreuve de la guerre.  </w:t>
      </w:r>
    </w:p>
    <w:p w14:paraId="44A8097F" w14:textId="094F1220"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12</w:t>
      </w:r>
      <w:r w:rsidR="00CC6987" w:rsidRPr="007223DB">
        <w:rPr>
          <w:rFonts w:ascii="Cambria" w:hAnsi="Cambria" w:cs="Times New Roman"/>
          <w:b w:val="0"/>
          <w:bCs/>
          <w:sz w:val="22"/>
        </w:rPr>
        <w:t xml:space="preserve">- </w:t>
      </w:r>
      <w:r w:rsidRPr="007223DB">
        <w:rPr>
          <w:rFonts w:ascii="Cambria" w:hAnsi="Cambria" w:cs="Times New Roman"/>
          <w:b w:val="0"/>
          <w:bCs/>
          <w:sz w:val="22"/>
        </w:rPr>
        <w:t>Une année 1917 terrible et la spirale révolutionnaire.</w:t>
      </w:r>
    </w:p>
    <w:p w14:paraId="0F5FE801" w14:textId="7997DE5E"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13</w:t>
      </w:r>
      <w:r w:rsidR="00CC6987" w:rsidRPr="007223DB">
        <w:rPr>
          <w:rFonts w:ascii="Cambria" w:hAnsi="Cambria" w:cs="Times New Roman"/>
          <w:b w:val="0"/>
          <w:bCs/>
          <w:sz w:val="22"/>
        </w:rPr>
        <w:t xml:space="preserve">- </w:t>
      </w:r>
      <w:r w:rsidRPr="007223DB">
        <w:rPr>
          <w:rFonts w:ascii="Cambria" w:hAnsi="Cambria" w:cs="Times New Roman"/>
          <w:b w:val="0"/>
          <w:bCs/>
          <w:sz w:val="22"/>
        </w:rPr>
        <w:t>Les derniers mois de 1918 : la guerre est-elle finie en Europe centrale ?</w:t>
      </w:r>
    </w:p>
    <w:p w14:paraId="4720D762" w14:textId="77777777" w:rsidR="006C37C1" w:rsidRPr="007223DB" w:rsidRDefault="006C37C1" w:rsidP="00CC6987">
      <w:pPr>
        <w:jc w:val="center"/>
        <w:rPr>
          <w:rFonts w:ascii="Cambria" w:eastAsia="Times New Roman" w:hAnsi="Cambria" w:cs="Times New Roman"/>
          <w:color w:val="C00000"/>
          <w:sz w:val="22"/>
          <w:lang w:eastAsia="fr-FR"/>
        </w:rPr>
      </w:pPr>
      <w:bookmarkStart w:id="32" w:name="_Hlk170723445"/>
    </w:p>
    <w:p w14:paraId="6EA02310" w14:textId="77777777" w:rsidR="00B66147" w:rsidRPr="007223DB" w:rsidRDefault="00B66147" w:rsidP="00CC6987">
      <w:pPr>
        <w:jc w:val="center"/>
        <w:rPr>
          <w:rFonts w:ascii="Cambria" w:eastAsia="Times New Roman" w:hAnsi="Cambria" w:cs="Times New Roman"/>
          <w:color w:val="C00000"/>
          <w:sz w:val="22"/>
          <w:lang w:eastAsia="fr-FR"/>
        </w:rPr>
      </w:pPr>
    </w:p>
    <w:p w14:paraId="015FBEDD" w14:textId="67190D51" w:rsidR="00CC6987" w:rsidRPr="007223DB" w:rsidRDefault="00CC6987" w:rsidP="00EF1149">
      <w:pPr>
        <w:rPr>
          <w:rFonts w:ascii="Cambria" w:eastAsia="Times New Roman" w:hAnsi="Cambria" w:cs="Times New Roman"/>
          <w:color w:val="B71E42" w:themeColor="accent1"/>
          <w:sz w:val="22"/>
          <w:lang w:eastAsia="fr-FR"/>
        </w:rPr>
      </w:pPr>
      <w:r w:rsidRPr="002C7092">
        <w:rPr>
          <w:rFonts w:ascii="Cambria" w:eastAsia="Times New Roman" w:hAnsi="Cambria" w:cs="Times New Roman"/>
          <w:color w:val="B71E42" w:themeColor="accent1"/>
          <w:sz w:val="22"/>
          <w:u w:val="single"/>
          <w:lang w:eastAsia="fr-FR"/>
        </w:rPr>
        <w:t>Semestre 2</w:t>
      </w:r>
      <w:r w:rsidRPr="007223DB">
        <w:rPr>
          <w:rFonts w:ascii="Cambria" w:eastAsia="Times New Roman" w:hAnsi="Cambria" w:cs="Times New Roman"/>
          <w:color w:val="B71E42" w:themeColor="accent1"/>
          <w:sz w:val="22"/>
          <w:lang w:eastAsia="fr-FR"/>
        </w:rPr>
        <w:t> : 1918…Une ère d’Etats faibles condamnés à l’alignement impérial ?</w:t>
      </w:r>
    </w:p>
    <w:bookmarkEnd w:id="32"/>
    <w:p w14:paraId="68A04637" w14:textId="70344666"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1- La guerre jusqu’à 1921 en Europe centrale : contradictions de l’auto</w:t>
      </w:r>
      <w:r w:rsidRPr="007223DB">
        <w:rPr>
          <w:rFonts w:ascii="Cambria" w:hAnsi="Cambria" w:cs="Times New Roman"/>
          <w:b w:val="0"/>
          <w:bCs/>
          <w:sz w:val="22"/>
        </w:rPr>
        <w:softHyphen/>
        <w:t>dé</w:t>
      </w:r>
      <w:r w:rsidRPr="007223DB">
        <w:rPr>
          <w:rFonts w:ascii="Cambria" w:hAnsi="Cambria" w:cs="Times New Roman"/>
          <w:b w:val="0"/>
          <w:bCs/>
          <w:sz w:val="22"/>
        </w:rPr>
        <w:softHyphen/>
        <w:t>ter</w:t>
      </w:r>
      <w:r w:rsidRPr="007223DB">
        <w:rPr>
          <w:rFonts w:ascii="Cambria" w:hAnsi="Cambria" w:cs="Times New Roman"/>
          <w:b w:val="0"/>
          <w:bCs/>
          <w:sz w:val="22"/>
        </w:rPr>
        <w:softHyphen/>
        <w:t>mi</w:t>
      </w:r>
      <w:r w:rsidRPr="007223DB">
        <w:rPr>
          <w:rFonts w:ascii="Cambria" w:hAnsi="Cambria" w:cs="Times New Roman"/>
          <w:b w:val="0"/>
          <w:bCs/>
          <w:sz w:val="22"/>
        </w:rPr>
        <w:softHyphen/>
        <w:t>na</w:t>
      </w:r>
      <w:r w:rsidRPr="007223DB">
        <w:rPr>
          <w:rFonts w:ascii="Cambria" w:hAnsi="Cambria" w:cs="Times New Roman"/>
          <w:b w:val="0"/>
          <w:bCs/>
          <w:sz w:val="22"/>
        </w:rPr>
        <w:softHyphen/>
        <w:t>tion nationale à l’ombre de la révolution bolchevique.</w:t>
      </w:r>
    </w:p>
    <w:p w14:paraId="48068C7A" w14:textId="207DB3AA"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2- Logiques économiques et sociales en période libérale : un nouvel ordre incer</w:t>
      </w:r>
      <w:r w:rsidRPr="007223DB">
        <w:rPr>
          <w:rFonts w:ascii="Cambria" w:hAnsi="Cambria" w:cs="Times New Roman"/>
          <w:b w:val="0"/>
          <w:bCs/>
          <w:sz w:val="22"/>
        </w:rPr>
        <w:softHyphen/>
      </w:r>
      <w:r w:rsidRPr="007223DB">
        <w:rPr>
          <w:rFonts w:ascii="Cambria" w:hAnsi="Cambria" w:cs="Times New Roman"/>
          <w:b w:val="0"/>
          <w:bCs/>
          <w:sz w:val="22"/>
        </w:rPr>
        <w:softHyphen/>
        <w:t>tain.</w:t>
      </w:r>
    </w:p>
    <w:p w14:paraId="6AAEFF69" w14:textId="11624DDD"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3- De l’ordre apparent au désordre nazi : le retour de l’empire en Europe cen</w:t>
      </w:r>
      <w:r w:rsidRPr="007223DB">
        <w:rPr>
          <w:rFonts w:ascii="Cambria" w:hAnsi="Cambria" w:cs="Times New Roman"/>
          <w:b w:val="0"/>
          <w:bCs/>
          <w:sz w:val="22"/>
        </w:rPr>
        <w:softHyphen/>
        <w:t xml:space="preserve">trale (1924-1938). </w:t>
      </w:r>
    </w:p>
    <w:p w14:paraId="6B6155F0" w14:textId="0351C73E"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4- L’ordre impérial en Europe centrale (1938-1941) : le paradoxal maintien du souve</w:t>
      </w:r>
      <w:r w:rsidRPr="007223DB">
        <w:rPr>
          <w:rFonts w:ascii="Cambria" w:hAnsi="Cambria" w:cs="Times New Roman"/>
          <w:b w:val="0"/>
          <w:bCs/>
          <w:sz w:val="22"/>
        </w:rPr>
        <w:softHyphen/>
        <w:t>rai</w:t>
      </w:r>
      <w:r w:rsidRPr="007223DB">
        <w:rPr>
          <w:rFonts w:ascii="Cambria" w:hAnsi="Cambria" w:cs="Times New Roman"/>
          <w:b w:val="0"/>
          <w:bCs/>
          <w:sz w:val="22"/>
        </w:rPr>
        <w:softHyphen/>
        <w:t>nisme.</w:t>
      </w:r>
    </w:p>
    <w:p w14:paraId="102ACB0E" w14:textId="3DBB3CFE"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5- La disparition d’un monde : la Shoah en Europe médiane et centrale.</w:t>
      </w:r>
    </w:p>
    <w:p w14:paraId="09141851" w14:textId="10AFC31F"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6- Défaite nazie et victoire soviétique : de nouveaux discours souverainistes (1943-1946).</w:t>
      </w:r>
    </w:p>
    <w:p w14:paraId="0107EAA3" w14:textId="41DD42D8"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7- Libération, soumission, stalinisation (1947-1953) : dans le nouvel ordre impérial, qu’est-ce qu’un État ?</w:t>
      </w:r>
    </w:p>
    <w:p w14:paraId="38624635" w14:textId="538577FD"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8- Comment survivre à la disparition du chef ? L’ordre socialiste après Staline et un changement de statut de l’État. </w:t>
      </w:r>
    </w:p>
    <w:p w14:paraId="11C9EFA0" w14:textId="226EE2E7"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9- Des crises de 1968 à l’ère de la coopération européenne (Helsinki, 1975) : stabilité apparente de l’imperium soviétique en Europe centrale.</w:t>
      </w:r>
    </w:p>
    <w:p w14:paraId="4569B989" w14:textId="4CE00E8F"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10- Des pouvoirs qui s’effondrent (1979-1989) : inextricables logiques internes et externes, où est la puissance ?  </w:t>
      </w:r>
    </w:p>
    <w:p w14:paraId="415E7FA4" w14:textId="00A319DC" w:rsidR="00D4009A" w:rsidRPr="007223DB" w:rsidRDefault="00CC6987" w:rsidP="002C7092">
      <w:pPr>
        <w:ind w:left="1701" w:hanging="1701"/>
        <w:rPr>
          <w:rFonts w:ascii="Cambria" w:hAnsi="Cambria" w:cs="Times New Roman"/>
          <w:b w:val="0"/>
          <w:bCs/>
          <w:sz w:val="22"/>
        </w:rPr>
      </w:pPr>
      <w:r w:rsidRPr="007223DB">
        <w:rPr>
          <w:rFonts w:ascii="Cambria" w:hAnsi="Cambria" w:cs="Times New Roman"/>
          <w:b w:val="0"/>
          <w:bCs/>
          <w:sz w:val="22"/>
        </w:rPr>
        <w:t>11- Attraction et répulsion européennes après 1989 : Bruxelles comme symbole d’émanci</w:t>
      </w:r>
      <w:r w:rsidRPr="007223DB">
        <w:rPr>
          <w:rFonts w:ascii="Cambria" w:hAnsi="Cambria" w:cs="Times New Roman"/>
          <w:b w:val="0"/>
          <w:bCs/>
          <w:sz w:val="22"/>
        </w:rPr>
        <w:softHyphen/>
        <w:t xml:space="preserve">pation ? Face au retour du chômage et du capitalisme, quelles options ?  </w:t>
      </w:r>
    </w:p>
    <w:p w14:paraId="4EB191A4" w14:textId="2A2AA73C" w:rsidR="008E50DC" w:rsidRPr="007223DB" w:rsidRDefault="00CC6987" w:rsidP="00D4009A">
      <w:pPr>
        <w:ind w:left="1701" w:hanging="1701"/>
        <w:rPr>
          <w:rFonts w:ascii="Cambria" w:hAnsi="Cambria" w:cs="Times New Roman"/>
          <w:b w:val="0"/>
          <w:bCs/>
          <w:sz w:val="22"/>
        </w:rPr>
      </w:pPr>
      <w:r w:rsidRPr="007223DB">
        <w:rPr>
          <w:rFonts w:ascii="Cambria" w:hAnsi="Cambria" w:cs="Times New Roman"/>
          <w:b w:val="0"/>
          <w:bCs/>
          <w:sz w:val="22"/>
        </w:rPr>
        <w:t>12- Retour de la puissance impériale russe : vers l’éclatement de l’Europe mé</w:t>
      </w:r>
      <w:r w:rsidRPr="007223DB">
        <w:rPr>
          <w:rFonts w:ascii="Cambria" w:hAnsi="Cambria" w:cs="Times New Roman"/>
          <w:b w:val="0"/>
          <w:bCs/>
          <w:sz w:val="22"/>
        </w:rPr>
        <w:softHyphen/>
        <w:t xml:space="preserve">diane et centrale ? L’Europe centrale comme laboratoire du populisme accapareur et de la légitimation par la religion. </w:t>
      </w:r>
    </w:p>
    <w:p w14:paraId="1F663974" w14:textId="77777777" w:rsidR="00D4009A" w:rsidRPr="007223DB" w:rsidRDefault="00D4009A" w:rsidP="008E50DC">
      <w:pPr>
        <w:tabs>
          <w:tab w:val="left" w:pos="993"/>
        </w:tabs>
        <w:jc w:val="both"/>
        <w:rPr>
          <w:rFonts w:ascii="Cambria" w:eastAsia="Times New Roman" w:hAnsi="Cambria" w:cs="Times New Roman"/>
          <w:sz w:val="22"/>
          <w:lang w:eastAsia="fr-FR"/>
        </w:rPr>
      </w:pPr>
    </w:p>
    <w:p w14:paraId="5453DC41" w14:textId="57A99281" w:rsidR="008E50DC" w:rsidRPr="007223DB" w:rsidRDefault="008E50DC" w:rsidP="008E50DC">
      <w:pPr>
        <w:tabs>
          <w:tab w:val="left" w:pos="993"/>
        </w:tabs>
        <w:jc w:val="both"/>
        <w:rPr>
          <w:rFonts w:ascii="Cambria" w:eastAsia="Times New Roman" w:hAnsi="Cambria" w:cs="Times New Roman"/>
          <w:sz w:val="22"/>
          <w:lang w:eastAsia="fr-FR"/>
        </w:rPr>
      </w:pPr>
      <w:r w:rsidRPr="007223DB">
        <w:rPr>
          <w:rFonts w:ascii="Cambria" w:eastAsia="Times New Roman" w:hAnsi="Cambria" w:cs="Times New Roman"/>
          <w:sz w:val="22"/>
          <w:lang w:eastAsia="fr-FR"/>
        </w:rPr>
        <w:t>Orientation bibliographique succincte</w:t>
      </w:r>
    </w:p>
    <w:p w14:paraId="496DF682" w14:textId="4821D0CB" w:rsidR="008E50DC" w:rsidRPr="007223DB" w:rsidRDefault="008E50DC" w:rsidP="008E50DC">
      <w:pPr>
        <w:widowControl w:val="0"/>
        <w:autoSpaceDE w:val="0"/>
        <w:autoSpaceDN w:val="0"/>
        <w:adjustRightInd w:val="0"/>
        <w:jc w:val="both"/>
        <w:rPr>
          <w:rFonts w:ascii="Cambria" w:eastAsia="Times New Roman" w:hAnsi="Cambria" w:cs="Times New Roman"/>
          <w:sz w:val="22"/>
          <w:lang w:eastAsia="fr-FR"/>
        </w:rPr>
      </w:pPr>
      <w:r w:rsidRPr="007223DB">
        <w:rPr>
          <w:rFonts w:ascii="Cambria" w:eastAsia="Times New Roman" w:hAnsi="Cambria" w:cs="Times New Roman"/>
          <w:sz w:val="22"/>
          <w:lang w:eastAsia="fr-FR" w:bidi="fr-FR"/>
        </w:rPr>
        <w:t>Généralités</w:t>
      </w:r>
    </w:p>
    <w:p w14:paraId="1A96C61A" w14:textId="77777777" w:rsidR="008E50DC" w:rsidRPr="007223DB" w:rsidRDefault="008E50DC" w:rsidP="008E50DC">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bidi="fr-FR"/>
        </w:rPr>
        <w:t>- SELLIER Jean et André, Atlas des peuples d'Europe centrale, Paris, La Découverte, 2013.</w:t>
      </w:r>
    </w:p>
    <w:p w14:paraId="253A8400" w14:textId="77777777" w:rsidR="008E50DC" w:rsidRPr="007223DB" w:rsidRDefault="008E50DC" w:rsidP="008E50DC">
      <w:pPr>
        <w:jc w:val="both"/>
        <w:rPr>
          <w:rFonts w:ascii="Cambria" w:eastAsia="Times New Roman" w:hAnsi="Cambria" w:cs="Times New Roman"/>
          <w:b w:val="0"/>
          <w:bCs/>
          <w:sz w:val="22"/>
          <w:lang w:eastAsia="fr-FR" w:bidi="fr-FR"/>
        </w:rPr>
      </w:pPr>
      <w:r w:rsidRPr="007223DB">
        <w:rPr>
          <w:rFonts w:ascii="Cambria" w:eastAsia="Times New Roman" w:hAnsi="Cambria" w:cs="Times New Roman"/>
          <w:b w:val="0"/>
          <w:bCs/>
          <w:sz w:val="22"/>
          <w:lang w:eastAsia="fr-FR" w:bidi="fr-FR"/>
        </w:rPr>
        <w:t>- MAR</w:t>
      </w:r>
      <w:r w:rsidRPr="007223DB">
        <w:rPr>
          <w:rFonts w:ascii="Cambria" w:eastAsia="Times New Roman" w:hAnsi="Cambria" w:cs="Times New Roman"/>
          <w:b w:val="0"/>
          <w:bCs/>
          <w:sz w:val="22"/>
          <w:lang w:eastAsia="fr-FR"/>
        </w:rPr>
        <w:t>È</w:t>
      </w:r>
      <w:r w:rsidRPr="007223DB">
        <w:rPr>
          <w:rFonts w:ascii="Cambria" w:eastAsia="Times New Roman" w:hAnsi="Cambria" w:cs="Times New Roman"/>
          <w:b w:val="0"/>
          <w:bCs/>
          <w:sz w:val="22"/>
          <w:lang w:eastAsia="fr-FR" w:bidi="fr-FR"/>
        </w:rPr>
        <w:t>S Antoine et SOUBIGOU Alain, L’Europe centrale/médiane dans l’Europe du XX</w:t>
      </w:r>
      <w:r w:rsidRPr="007223DB">
        <w:rPr>
          <w:rFonts w:ascii="Cambria" w:eastAsia="Times New Roman" w:hAnsi="Cambria" w:cs="Times New Roman"/>
          <w:b w:val="0"/>
          <w:bCs/>
          <w:sz w:val="22"/>
          <w:vertAlign w:val="superscript"/>
          <w:lang w:eastAsia="fr-FR" w:bidi="fr-FR"/>
        </w:rPr>
        <w:t>e</w:t>
      </w:r>
      <w:r w:rsidRPr="007223DB">
        <w:rPr>
          <w:rFonts w:ascii="Cambria" w:eastAsia="Times New Roman" w:hAnsi="Cambria" w:cs="Times New Roman"/>
          <w:b w:val="0"/>
          <w:bCs/>
          <w:sz w:val="22"/>
          <w:lang w:eastAsia="fr-FR" w:bidi="fr-FR"/>
        </w:rPr>
        <w:t xml:space="preserve"> siècle, Paris, Ellipses, 2017.</w:t>
      </w:r>
    </w:p>
    <w:p w14:paraId="50E6C273" w14:textId="77777777" w:rsidR="008E50DC" w:rsidRPr="007223DB" w:rsidRDefault="008E50DC" w:rsidP="008E50DC">
      <w:pPr>
        <w:jc w:val="both"/>
        <w:rPr>
          <w:rFonts w:ascii="Cambria" w:eastAsia="Times New Roman" w:hAnsi="Cambria" w:cs="Times New Roman"/>
          <w:b w:val="0"/>
          <w:bCs/>
          <w:sz w:val="22"/>
          <w:lang w:eastAsia="fr-FR" w:bidi="fr-FR"/>
        </w:rPr>
      </w:pPr>
      <w:r w:rsidRPr="007223DB">
        <w:rPr>
          <w:rFonts w:ascii="Cambria" w:eastAsia="Times New Roman" w:hAnsi="Cambria" w:cs="Times New Roman"/>
          <w:b w:val="0"/>
          <w:bCs/>
          <w:sz w:val="22"/>
          <w:lang w:eastAsia="fr-FR" w:bidi="fr-FR"/>
        </w:rPr>
        <w:t>- JUDSON Pieter M. L’empire des Habsbourg. Une histoire inédite, Paris, Perrin, 2021</w:t>
      </w:r>
    </w:p>
    <w:p w14:paraId="3FBE966F" w14:textId="77777777" w:rsidR="008E50DC" w:rsidRPr="007223DB" w:rsidRDefault="008E50DC" w:rsidP="008E50DC">
      <w:pPr>
        <w:jc w:val="both"/>
        <w:rPr>
          <w:rFonts w:ascii="Cambria" w:eastAsia="Times New Roman" w:hAnsi="Cambria" w:cs="Times New Roman"/>
          <w:b w:val="0"/>
          <w:bCs/>
          <w:kern w:val="36"/>
          <w:sz w:val="22"/>
          <w:lang w:eastAsia="fr-FR"/>
        </w:rPr>
      </w:pPr>
      <w:r w:rsidRPr="007223DB">
        <w:rPr>
          <w:rFonts w:ascii="Cambria" w:eastAsia="Times New Roman" w:hAnsi="Cambria" w:cs="Times New Roman"/>
          <w:b w:val="0"/>
          <w:bCs/>
          <w:sz w:val="22"/>
          <w:lang w:eastAsia="fr-FR" w:bidi="fr-FR"/>
        </w:rPr>
        <w:t xml:space="preserve">- KRAKOVSKY Roman, </w:t>
      </w:r>
      <w:r w:rsidRPr="007223DB">
        <w:rPr>
          <w:rFonts w:ascii="Cambria" w:eastAsia="Times New Roman" w:hAnsi="Cambria" w:cs="Times New Roman"/>
          <w:b w:val="0"/>
          <w:bCs/>
          <w:kern w:val="36"/>
          <w:sz w:val="22"/>
          <w:lang w:eastAsia="fr-FR"/>
        </w:rPr>
        <w:t>L'Europe centrale et orientale - De 1918 à la chute du mur de Berlin, Paris, Armand Colin, 2017.</w:t>
      </w:r>
    </w:p>
    <w:p w14:paraId="0D9E064E" w14:textId="77777777" w:rsidR="008E50DC" w:rsidRPr="007223DB" w:rsidRDefault="008E50DC" w:rsidP="008E50DC">
      <w:pPr>
        <w:jc w:val="both"/>
        <w:rPr>
          <w:rFonts w:ascii="Cambria" w:eastAsia="Times New Roman" w:hAnsi="Cambria" w:cs="Times New Roman"/>
          <w:b w:val="0"/>
          <w:bCs/>
          <w:kern w:val="36"/>
          <w:sz w:val="22"/>
          <w:lang w:val="en-US" w:eastAsia="fr-FR"/>
        </w:rPr>
      </w:pPr>
      <w:r w:rsidRPr="007223DB">
        <w:rPr>
          <w:rFonts w:ascii="Cambria" w:eastAsia="Times New Roman" w:hAnsi="Cambria" w:cs="Times New Roman"/>
          <w:b w:val="0"/>
          <w:bCs/>
          <w:kern w:val="36"/>
          <w:sz w:val="22"/>
          <w:lang w:val="en-US" w:eastAsia="fr-FR"/>
        </w:rPr>
        <w:t>- RADY Martyn, The Middle Kingdoms. A New History of Central Europe, [Londres], Allen Lane/ Penguin, 2023</w:t>
      </w:r>
    </w:p>
    <w:p w14:paraId="026499FC" w14:textId="77777777" w:rsidR="008E50DC" w:rsidRPr="007223DB" w:rsidRDefault="008E50DC" w:rsidP="008E50DC">
      <w:pPr>
        <w:jc w:val="both"/>
        <w:rPr>
          <w:rFonts w:ascii="Cambria" w:eastAsia="Times New Roman" w:hAnsi="Cambria" w:cs="Times New Roman"/>
          <w:b w:val="0"/>
          <w:bCs/>
          <w:sz w:val="22"/>
          <w:lang w:val="en-US" w:eastAsia="fr-FR"/>
        </w:rPr>
      </w:pPr>
    </w:p>
    <w:p w14:paraId="6873FC23" w14:textId="77777777" w:rsidR="008E50DC" w:rsidRPr="007223DB" w:rsidRDefault="008E50DC" w:rsidP="008E50DC">
      <w:pPr>
        <w:jc w:val="both"/>
        <w:rPr>
          <w:rFonts w:ascii="Cambria" w:eastAsia="Times New Roman" w:hAnsi="Cambria" w:cs="Times New Roman"/>
          <w:sz w:val="22"/>
          <w:lang w:eastAsia="fr-FR"/>
        </w:rPr>
      </w:pPr>
      <w:r w:rsidRPr="007223DB">
        <w:rPr>
          <w:rFonts w:ascii="Cambria" w:eastAsia="Times New Roman" w:hAnsi="Cambria" w:cs="Times New Roman"/>
          <w:sz w:val="22"/>
          <w:lang w:eastAsia="fr-FR"/>
        </w:rPr>
        <w:t>Histoires nationales</w:t>
      </w:r>
    </w:p>
    <w:p w14:paraId="449CAF45"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bidi="fr-FR"/>
        </w:rPr>
        <w:t>BEAUVOIS Daniel, Histoire de la Pologne, Paris, La Martinière, 2004.</w:t>
      </w:r>
    </w:p>
    <w:p w14:paraId="49FCD1C4" w14:textId="77777777" w:rsidR="008E50DC" w:rsidRPr="007223DB" w:rsidRDefault="008E50DC" w:rsidP="008E50DC">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caps/>
          <w:sz w:val="22"/>
          <w:lang w:eastAsia="fr-FR" w:bidi="fr-FR"/>
        </w:rPr>
        <w:t>Lukowski</w:t>
      </w:r>
      <w:r w:rsidRPr="007223DB">
        <w:rPr>
          <w:rFonts w:ascii="Cambria" w:eastAsia="Times New Roman" w:hAnsi="Cambria" w:cs="Times New Roman"/>
          <w:b w:val="0"/>
          <w:bCs/>
          <w:sz w:val="22"/>
          <w:lang w:eastAsia="fr-FR" w:bidi="fr-FR"/>
        </w:rPr>
        <w:t xml:space="preserve"> Jerzy, </w:t>
      </w:r>
      <w:r w:rsidRPr="007223DB">
        <w:rPr>
          <w:rFonts w:ascii="Cambria" w:eastAsia="Times New Roman" w:hAnsi="Cambria" w:cs="Times New Roman"/>
          <w:b w:val="0"/>
          <w:bCs/>
          <w:caps/>
          <w:sz w:val="22"/>
          <w:lang w:eastAsia="fr-FR" w:bidi="fr-FR"/>
        </w:rPr>
        <w:t>Zawadski</w:t>
      </w:r>
      <w:r w:rsidRPr="007223DB">
        <w:rPr>
          <w:rFonts w:ascii="Cambria" w:eastAsia="Times New Roman" w:hAnsi="Cambria" w:cs="Times New Roman"/>
          <w:b w:val="0"/>
          <w:bCs/>
          <w:sz w:val="22"/>
          <w:lang w:eastAsia="fr-FR" w:bidi="fr-FR"/>
        </w:rPr>
        <w:t xml:space="preserve"> Hubert, Histoire de la Pologne, Paris, Perrin, 2006. </w:t>
      </w:r>
    </w:p>
    <w:p w14:paraId="03083508"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MARÈS Antoine, Histoire des Tchèques et des Slovaques, Paris, Perrin, coll. Tempus, 2005.</w:t>
      </w:r>
    </w:p>
    <w:p w14:paraId="6CE72BCD"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MOLNÁR Miklós, Histoire de la Hongrie, Paris, Perrin, coll. Tempus, 2004.</w:t>
      </w:r>
    </w:p>
    <w:p w14:paraId="7B8844A4"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PASTEUR Paul, Histoire de l’Autriche. De l’empire multinational à la nation autrichienne (</w:t>
      </w:r>
      <w:r w:rsidRPr="007223DB">
        <w:rPr>
          <w:rFonts w:ascii="Cambria" w:eastAsia="Times New Roman" w:hAnsi="Cambria" w:cs="Times New Roman"/>
          <w:b w:val="0"/>
          <w:bCs/>
          <w:smallCaps/>
          <w:sz w:val="22"/>
          <w:lang w:eastAsia="fr-FR"/>
        </w:rPr>
        <w:t>XVIII</w:t>
      </w:r>
      <w:r w:rsidRPr="007223DB">
        <w:rPr>
          <w:rFonts w:ascii="Cambria" w:eastAsia="Times New Roman" w:hAnsi="Cambria" w:cs="Times New Roman"/>
          <w:b w:val="0"/>
          <w:bCs/>
          <w:sz w:val="22"/>
          <w:vertAlign w:val="superscript"/>
          <w:lang w:eastAsia="fr-FR"/>
        </w:rPr>
        <w:t>e</w:t>
      </w:r>
      <w:r w:rsidRPr="007223DB">
        <w:rPr>
          <w:rFonts w:ascii="Cambria" w:eastAsia="Times New Roman" w:hAnsi="Cambria" w:cs="Times New Roman"/>
          <w:b w:val="0"/>
          <w:bCs/>
          <w:sz w:val="22"/>
          <w:lang w:eastAsia="fr-FR"/>
        </w:rPr>
        <w:t xml:space="preserve"> -XX</w:t>
      </w:r>
      <w:r w:rsidRPr="007223DB">
        <w:rPr>
          <w:rFonts w:ascii="Cambria" w:eastAsia="Times New Roman" w:hAnsi="Cambria" w:cs="Times New Roman"/>
          <w:b w:val="0"/>
          <w:bCs/>
          <w:sz w:val="22"/>
          <w:vertAlign w:val="superscript"/>
          <w:lang w:eastAsia="fr-FR"/>
        </w:rPr>
        <w:t>e</w:t>
      </w:r>
      <w:r w:rsidRPr="007223DB">
        <w:rPr>
          <w:rFonts w:ascii="Cambria" w:eastAsia="Times New Roman" w:hAnsi="Cambria" w:cs="Times New Roman"/>
          <w:b w:val="0"/>
          <w:bCs/>
          <w:sz w:val="22"/>
          <w:lang w:eastAsia="fr-FR"/>
        </w:rPr>
        <w:t> s.), Paris, Armand Colin, 2011.</w:t>
      </w:r>
    </w:p>
    <w:p w14:paraId="614484D9" w14:textId="2755B075" w:rsidR="008E50DC" w:rsidRPr="007223DB" w:rsidRDefault="008E50DC" w:rsidP="00D4009A">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SANDU Traian, Histoire de la Roumanie, Paris, Perrin, 2008.</w:t>
      </w:r>
    </w:p>
    <w:p w14:paraId="1CA962C8" w14:textId="77777777" w:rsidR="008E50DC" w:rsidRDefault="008E50DC" w:rsidP="008E50DC">
      <w:pPr>
        <w:jc w:val="both"/>
        <w:rPr>
          <w:rFonts w:ascii="Cambria" w:eastAsia="Times New Roman" w:hAnsi="Cambria" w:cs="Times New Roman"/>
          <w:b w:val="0"/>
          <w:bCs/>
          <w:sz w:val="22"/>
          <w:lang w:eastAsia="fr-FR"/>
        </w:rPr>
      </w:pPr>
    </w:p>
    <w:p w14:paraId="525F5D50" w14:textId="77777777" w:rsidR="002C7092" w:rsidRPr="007223DB" w:rsidRDefault="002C7092" w:rsidP="008E50DC">
      <w:pPr>
        <w:jc w:val="both"/>
        <w:rPr>
          <w:rFonts w:ascii="Cambria" w:eastAsia="Times New Roman" w:hAnsi="Cambria" w:cs="Times New Roman"/>
          <w:b w:val="0"/>
          <w:bCs/>
          <w:sz w:val="22"/>
          <w:lang w:eastAsia="fr-FR"/>
        </w:rPr>
      </w:pPr>
    </w:p>
    <w:p w14:paraId="293F665A" w14:textId="77777777" w:rsidR="008E50DC" w:rsidRPr="007223DB" w:rsidRDefault="008E50DC" w:rsidP="008E50DC">
      <w:pPr>
        <w:jc w:val="both"/>
        <w:rPr>
          <w:rFonts w:ascii="Cambria" w:hAnsi="Cambria" w:cs="Times New Roman"/>
          <w:sz w:val="22"/>
        </w:rPr>
      </w:pPr>
      <w:r w:rsidRPr="007223DB">
        <w:rPr>
          <w:rFonts w:ascii="Cambria" w:hAnsi="Cambria" w:cs="Times New Roman"/>
          <w:sz w:val="22"/>
        </w:rPr>
        <w:t xml:space="preserve">La nation au-delà de la nation </w:t>
      </w:r>
    </w:p>
    <w:p w14:paraId="0046606B"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ABLONCZY Bal</w:t>
      </w:r>
      <w:r w:rsidRPr="007223DB">
        <w:rPr>
          <w:rFonts w:ascii="Cambria" w:hAnsi="Cambria" w:cs="Times New Roman"/>
          <w:b w:val="0"/>
          <w:bCs/>
          <w:sz w:val="22"/>
          <w:lang w:val="hu-HU"/>
        </w:rPr>
        <w:t>á</w:t>
      </w:r>
      <w:r w:rsidRPr="007223DB">
        <w:rPr>
          <w:rFonts w:ascii="Cambria" w:hAnsi="Cambria" w:cs="Times New Roman"/>
          <w:b w:val="0"/>
          <w:bCs/>
          <w:sz w:val="22"/>
        </w:rPr>
        <w:t xml:space="preserve">zs,Vers l’Est Magyar ! Histoire du touranisme hongrois, Paris, Éditions de l’EHESS, 2021 (avec une présentation générale et une explication des défis de la transposition en français par le traducteur, Benoît Grévin). </w:t>
      </w:r>
    </w:p>
    <w:p w14:paraId="26ED948E"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DUCANGE Jean-Numa, Quand la gauche pensait la nation. Nationalités et socialismes à la Belle Époque, Paris, Fayard, Histoire, 2021.</w:t>
      </w:r>
    </w:p>
    <w:p w14:paraId="0368E176" w14:textId="77777777" w:rsidR="008E50DC" w:rsidRPr="007223DB" w:rsidRDefault="008E50DC" w:rsidP="008E50DC">
      <w:pPr>
        <w:jc w:val="both"/>
        <w:rPr>
          <w:rFonts w:ascii="Cambria" w:hAnsi="Cambria" w:cs="Times New Roman"/>
          <w:b w:val="0"/>
          <w:bCs/>
          <w:sz w:val="22"/>
        </w:rPr>
      </w:pPr>
    </w:p>
    <w:p w14:paraId="699E0D82" w14:textId="77777777" w:rsidR="008E50DC" w:rsidRPr="007223DB" w:rsidRDefault="008E50DC" w:rsidP="008E50DC">
      <w:pPr>
        <w:jc w:val="both"/>
        <w:rPr>
          <w:rFonts w:ascii="Cambria" w:hAnsi="Cambria" w:cs="Times New Roman"/>
          <w:sz w:val="22"/>
        </w:rPr>
      </w:pPr>
      <w:r w:rsidRPr="007223DB">
        <w:rPr>
          <w:rFonts w:ascii="Cambria" w:hAnsi="Cambria" w:cs="Times New Roman"/>
          <w:sz w:val="22"/>
        </w:rPr>
        <w:t>Effets de loupe et d’image satellite</w:t>
      </w:r>
    </w:p>
    <w:p w14:paraId="6F79236B"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BOISSERIE Étienne, Les Tchèques dans l’Autriche-Hongrie en guerre (1914-1918), Paris, Eur’Orbem Éditions, 2017.</w:t>
      </w:r>
    </w:p>
    <w:p w14:paraId="1550AEFE"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LABBÉ Morgane, La nationalité, une histoire de chiffres. Politique et statistiques en Europe centrale (1848-1919), Paris, Presses de Science Po, 2019.</w:t>
      </w:r>
    </w:p>
    <w:p w14:paraId="53560822" w14:textId="77777777" w:rsidR="008E50DC" w:rsidRPr="007223DB" w:rsidRDefault="008E50DC" w:rsidP="008E50DC">
      <w:pPr>
        <w:jc w:val="both"/>
        <w:rPr>
          <w:rFonts w:ascii="Cambria" w:hAnsi="Cambria" w:cs="Times New Roman"/>
          <w:b w:val="0"/>
          <w:bCs/>
          <w:sz w:val="22"/>
          <w:lang w:val="en-US"/>
        </w:rPr>
      </w:pPr>
      <w:r w:rsidRPr="007223DB">
        <w:rPr>
          <w:rFonts w:ascii="Cambria" w:hAnsi="Cambria" w:cs="Times New Roman"/>
          <w:b w:val="0"/>
          <w:bCs/>
          <w:sz w:val="22"/>
          <w:lang w:val="en-US"/>
        </w:rPr>
        <w:t>MILLER Paul et MORELON Claire, Embers of Empire: Continuity and Rupture in the Habsburg Successor States after 1918, New York et Oxford, Berghahn, 2019</w:t>
      </w:r>
    </w:p>
    <w:p w14:paraId="2682F398"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hAnsi="Cambria" w:cs="Times New Roman"/>
          <w:b w:val="0"/>
          <w:bCs/>
          <w:sz w:val="22"/>
        </w:rPr>
        <w:t xml:space="preserve">RAGARU Nadège, </w:t>
      </w:r>
      <w:r w:rsidRPr="007223DB">
        <w:rPr>
          <w:rFonts w:ascii="Cambria" w:eastAsia="Times New Roman" w:hAnsi="Cambria" w:cs="Times New Roman"/>
          <w:b w:val="0"/>
          <w:bCs/>
          <w:sz w:val="22"/>
          <w:lang w:eastAsia="fr-FR"/>
        </w:rPr>
        <w:t>« Et les Juifs bulgares furent sauvés… ». Une histoire des savoirs sur la Shoah en Bulgarie, Paris, Sciences Po Les Presses, 2020 (pour comprendre les multiples acteurs et enjeux qui s’entremêlent).</w:t>
      </w:r>
    </w:p>
    <w:p w14:paraId="08C7CFA3" w14:textId="77777777" w:rsidR="008E50DC" w:rsidRPr="007223DB" w:rsidRDefault="008E50DC" w:rsidP="008E50DC">
      <w:pPr>
        <w:jc w:val="both"/>
        <w:rPr>
          <w:rFonts w:ascii="Cambria" w:eastAsia="Times New Roman" w:hAnsi="Cambria" w:cs="Times New Roman"/>
          <w:bCs/>
          <w:sz w:val="22"/>
          <w:lang w:val="en-US" w:eastAsia="fr-FR"/>
        </w:rPr>
      </w:pPr>
      <w:r w:rsidRPr="007223DB">
        <w:rPr>
          <w:rFonts w:ascii="Cambria" w:eastAsia="Times New Roman" w:hAnsi="Cambria" w:cs="Times New Roman"/>
          <w:b w:val="0"/>
          <w:bCs/>
          <w:sz w:val="22"/>
          <w:lang w:val="hu-HU" w:eastAsia="fr-FR"/>
        </w:rPr>
        <w:t>RIGÓ Máté, Capitalism in Chaos. How the Business Elites of Europe prospered in the Era of the Great War, Ithace et Londres, Cornell University Press, 2022</w:t>
      </w:r>
    </w:p>
    <w:p w14:paraId="74754347" w14:textId="77777777" w:rsidR="008E50DC" w:rsidRPr="007223DB" w:rsidRDefault="008E50DC" w:rsidP="008E50DC">
      <w:pPr>
        <w:rPr>
          <w:rFonts w:ascii="Cambria" w:hAnsi="Cambria" w:cs="Times New Roman"/>
          <w:sz w:val="22"/>
          <w:lang w:val="en-US"/>
        </w:rPr>
      </w:pPr>
    </w:p>
    <w:p w14:paraId="6794D9E8" w14:textId="77777777" w:rsidR="00286088" w:rsidRPr="007223DB" w:rsidRDefault="00286088" w:rsidP="00286088">
      <w:pPr>
        <w:contextualSpacing/>
        <w:jc w:val="both"/>
        <w:rPr>
          <w:rFonts w:ascii="Cambria" w:eastAsia="Times New Roman" w:hAnsi="Cambria" w:cs="Times New Roman"/>
          <w:b w:val="0"/>
          <w:sz w:val="22"/>
          <w:lang w:val="en-US" w:eastAsia="fr-FR"/>
        </w:rPr>
      </w:pPr>
    </w:p>
    <w:p w14:paraId="5478748B" w14:textId="77777777" w:rsidR="00286088" w:rsidRPr="007223DB" w:rsidRDefault="00286088" w:rsidP="00286088">
      <w:pPr>
        <w:contextualSpacing/>
        <w:jc w:val="both"/>
        <w:rPr>
          <w:rFonts w:ascii="Cambria" w:eastAsia="Times New Roman" w:hAnsi="Cambria" w:cs="Times New Roman"/>
          <w:b w:val="0"/>
          <w:sz w:val="22"/>
          <w:lang w:val="en-US" w:eastAsia="fr-FR"/>
        </w:rPr>
      </w:pPr>
    </w:p>
    <w:p w14:paraId="4925EB22" w14:textId="77777777" w:rsidR="005C5BF0" w:rsidRPr="007223DB" w:rsidRDefault="005C5BF0" w:rsidP="001A6F46">
      <w:pPr>
        <w:tabs>
          <w:tab w:val="left" w:pos="993"/>
        </w:tabs>
        <w:rPr>
          <w:rFonts w:ascii="Cambria" w:eastAsia="Times New Roman" w:hAnsi="Cambria" w:cs="Times New Roman"/>
          <w:b w:val="0"/>
          <w:kern w:val="0"/>
          <w:sz w:val="22"/>
          <w:lang w:val="en-US" w:eastAsia="fr-FR"/>
        </w:rPr>
      </w:pPr>
    </w:p>
    <w:p w14:paraId="0BB12979" w14:textId="77777777" w:rsidR="00C4725E" w:rsidRPr="007223DB" w:rsidRDefault="00C4725E" w:rsidP="001A6F46">
      <w:pPr>
        <w:tabs>
          <w:tab w:val="left" w:pos="993"/>
        </w:tabs>
        <w:rPr>
          <w:rFonts w:ascii="Cambria" w:eastAsia="Times New Roman" w:hAnsi="Cambria" w:cs="Times New Roman"/>
          <w:b w:val="0"/>
          <w:kern w:val="0"/>
          <w:sz w:val="22"/>
          <w:lang w:val="en-US" w:eastAsia="fr-FR"/>
        </w:rPr>
      </w:pPr>
    </w:p>
    <w:p w14:paraId="4EBA5CF4" w14:textId="77777777" w:rsidR="005C5BF0" w:rsidRPr="007223DB" w:rsidRDefault="005C5BF0" w:rsidP="001A6F46">
      <w:pPr>
        <w:tabs>
          <w:tab w:val="left" w:pos="993"/>
        </w:tabs>
        <w:rPr>
          <w:rFonts w:ascii="Cambria" w:eastAsia="Times New Roman" w:hAnsi="Cambria" w:cs="Times New Roman"/>
          <w:b w:val="0"/>
          <w:kern w:val="0"/>
          <w:sz w:val="22"/>
          <w:lang w:val="en-US" w:eastAsia="fr-FR"/>
        </w:rPr>
      </w:pPr>
    </w:p>
    <w:p w14:paraId="39C79903" w14:textId="77777777" w:rsidR="008E50DC" w:rsidRPr="007223DB" w:rsidRDefault="008E50DC" w:rsidP="0041702A">
      <w:pPr>
        <w:jc w:val="center"/>
        <w:rPr>
          <w:rFonts w:ascii="Cambria" w:hAnsi="Cambria"/>
          <w:i/>
          <w:color w:val="C00000"/>
          <w:sz w:val="28"/>
          <w:szCs w:val="28"/>
          <w:lang w:val="en-US"/>
        </w:rPr>
      </w:pPr>
    </w:p>
    <w:p w14:paraId="47AEA801" w14:textId="77777777" w:rsidR="008E50DC" w:rsidRPr="007223DB" w:rsidRDefault="008E50DC" w:rsidP="0041702A">
      <w:pPr>
        <w:jc w:val="center"/>
        <w:rPr>
          <w:rFonts w:ascii="Cambria" w:hAnsi="Cambria"/>
          <w:i/>
          <w:color w:val="C00000"/>
          <w:sz w:val="28"/>
          <w:szCs w:val="28"/>
          <w:lang w:val="en-US"/>
        </w:rPr>
      </w:pPr>
    </w:p>
    <w:p w14:paraId="70EE8DEE" w14:textId="77777777" w:rsidR="008E50DC" w:rsidRPr="007223DB" w:rsidRDefault="008E50DC" w:rsidP="0041702A">
      <w:pPr>
        <w:jc w:val="center"/>
        <w:rPr>
          <w:rFonts w:ascii="Cambria" w:hAnsi="Cambria"/>
          <w:i/>
          <w:color w:val="C00000"/>
          <w:sz w:val="28"/>
          <w:szCs w:val="28"/>
          <w:lang w:val="en-US"/>
        </w:rPr>
      </w:pPr>
    </w:p>
    <w:p w14:paraId="2CCCD81A" w14:textId="77777777" w:rsidR="008E50DC" w:rsidRPr="007223DB" w:rsidRDefault="008E50DC" w:rsidP="0041702A">
      <w:pPr>
        <w:jc w:val="center"/>
        <w:rPr>
          <w:rFonts w:ascii="Cambria" w:hAnsi="Cambria"/>
          <w:i/>
          <w:color w:val="C00000"/>
          <w:sz w:val="28"/>
          <w:szCs w:val="28"/>
          <w:lang w:val="en-US"/>
        </w:rPr>
      </w:pPr>
    </w:p>
    <w:p w14:paraId="7A5979C5" w14:textId="77777777" w:rsidR="008E50DC" w:rsidRPr="007223DB" w:rsidRDefault="008E50DC" w:rsidP="0041702A">
      <w:pPr>
        <w:jc w:val="center"/>
        <w:rPr>
          <w:rFonts w:ascii="Cambria" w:hAnsi="Cambria"/>
          <w:i/>
          <w:color w:val="C00000"/>
          <w:sz w:val="28"/>
          <w:szCs w:val="28"/>
          <w:lang w:val="en-US"/>
        </w:rPr>
      </w:pPr>
    </w:p>
    <w:p w14:paraId="2D601B37" w14:textId="77777777" w:rsidR="008E50DC" w:rsidRPr="007223DB" w:rsidRDefault="008E50DC" w:rsidP="0041702A">
      <w:pPr>
        <w:jc w:val="center"/>
        <w:rPr>
          <w:rFonts w:ascii="Cambria" w:hAnsi="Cambria"/>
          <w:i/>
          <w:color w:val="C00000"/>
          <w:sz w:val="28"/>
          <w:szCs w:val="28"/>
          <w:lang w:val="en-US"/>
        </w:rPr>
      </w:pPr>
    </w:p>
    <w:p w14:paraId="4C2DFD43" w14:textId="77777777" w:rsidR="008E50DC" w:rsidRPr="007223DB" w:rsidRDefault="008E50DC" w:rsidP="0041702A">
      <w:pPr>
        <w:jc w:val="center"/>
        <w:rPr>
          <w:rFonts w:ascii="Cambria" w:hAnsi="Cambria"/>
          <w:i/>
          <w:color w:val="C00000"/>
          <w:sz w:val="28"/>
          <w:szCs w:val="28"/>
          <w:lang w:val="en-US"/>
        </w:rPr>
      </w:pPr>
    </w:p>
    <w:p w14:paraId="6162F563" w14:textId="77777777" w:rsidR="008E50DC" w:rsidRPr="007223DB" w:rsidRDefault="008E50DC" w:rsidP="0041702A">
      <w:pPr>
        <w:jc w:val="center"/>
        <w:rPr>
          <w:rFonts w:ascii="Cambria" w:hAnsi="Cambria"/>
          <w:i/>
          <w:color w:val="C00000"/>
          <w:sz w:val="28"/>
          <w:szCs w:val="28"/>
          <w:lang w:val="en-US"/>
        </w:rPr>
      </w:pPr>
    </w:p>
    <w:p w14:paraId="630F2641" w14:textId="77777777" w:rsidR="008E50DC" w:rsidRPr="007223DB" w:rsidRDefault="008E50DC" w:rsidP="0041702A">
      <w:pPr>
        <w:jc w:val="center"/>
        <w:rPr>
          <w:rFonts w:ascii="Cambria" w:hAnsi="Cambria"/>
          <w:i/>
          <w:color w:val="C00000"/>
          <w:sz w:val="28"/>
          <w:szCs w:val="28"/>
          <w:lang w:val="en-US"/>
        </w:rPr>
      </w:pPr>
    </w:p>
    <w:p w14:paraId="1DBB38CA" w14:textId="77777777" w:rsidR="008E50DC" w:rsidRPr="007223DB" w:rsidRDefault="008E50DC" w:rsidP="0041702A">
      <w:pPr>
        <w:jc w:val="center"/>
        <w:rPr>
          <w:rFonts w:ascii="Cambria" w:hAnsi="Cambria"/>
          <w:i/>
          <w:color w:val="C00000"/>
          <w:sz w:val="28"/>
          <w:szCs w:val="28"/>
          <w:lang w:val="en-US"/>
        </w:rPr>
      </w:pPr>
    </w:p>
    <w:p w14:paraId="32EDF9B9" w14:textId="77777777" w:rsidR="008E50DC" w:rsidRPr="007223DB" w:rsidRDefault="008E50DC" w:rsidP="0041702A">
      <w:pPr>
        <w:jc w:val="center"/>
        <w:rPr>
          <w:rFonts w:ascii="Cambria" w:hAnsi="Cambria"/>
          <w:i/>
          <w:color w:val="C00000"/>
          <w:sz w:val="28"/>
          <w:szCs w:val="28"/>
          <w:lang w:val="en-US"/>
        </w:rPr>
      </w:pPr>
    </w:p>
    <w:p w14:paraId="73D85FB1" w14:textId="77777777" w:rsidR="008E50DC" w:rsidRPr="007223DB" w:rsidRDefault="008E50DC" w:rsidP="0041702A">
      <w:pPr>
        <w:jc w:val="center"/>
        <w:rPr>
          <w:rFonts w:ascii="Cambria" w:hAnsi="Cambria"/>
          <w:i/>
          <w:color w:val="C00000"/>
          <w:sz w:val="28"/>
          <w:szCs w:val="28"/>
          <w:lang w:val="en-US"/>
        </w:rPr>
      </w:pPr>
    </w:p>
    <w:p w14:paraId="68D2FDB7" w14:textId="77777777" w:rsidR="008E50DC" w:rsidRPr="007223DB" w:rsidRDefault="008E50DC" w:rsidP="0041702A">
      <w:pPr>
        <w:jc w:val="center"/>
        <w:rPr>
          <w:rFonts w:ascii="Cambria" w:hAnsi="Cambria"/>
          <w:i/>
          <w:color w:val="C00000"/>
          <w:sz w:val="28"/>
          <w:szCs w:val="28"/>
          <w:lang w:val="en-US"/>
        </w:rPr>
      </w:pPr>
    </w:p>
    <w:p w14:paraId="49C3C09F" w14:textId="77777777" w:rsidR="008E50DC" w:rsidRPr="007223DB" w:rsidRDefault="008E50DC" w:rsidP="0041702A">
      <w:pPr>
        <w:jc w:val="center"/>
        <w:rPr>
          <w:rFonts w:ascii="Cambria" w:hAnsi="Cambria"/>
          <w:i/>
          <w:color w:val="C00000"/>
          <w:sz w:val="28"/>
          <w:szCs w:val="28"/>
          <w:lang w:val="en-US"/>
        </w:rPr>
      </w:pPr>
    </w:p>
    <w:p w14:paraId="1B6DC95D" w14:textId="77777777" w:rsidR="008E50DC" w:rsidRPr="007223DB" w:rsidRDefault="008E50DC" w:rsidP="0041702A">
      <w:pPr>
        <w:jc w:val="center"/>
        <w:rPr>
          <w:rFonts w:ascii="Cambria" w:hAnsi="Cambria"/>
          <w:i/>
          <w:color w:val="C00000"/>
          <w:sz w:val="28"/>
          <w:szCs w:val="28"/>
          <w:lang w:val="en-US"/>
        </w:rPr>
      </w:pPr>
    </w:p>
    <w:p w14:paraId="79033C2D" w14:textId="77777777" w:rsidR="008E50DC" w:rsidRPr="007223DB" w:rsidRDefault="008E50DC" w:rsidP="0041702A">
      <w:pPr>
        <w:jc w:val="center"/>
        <w:rPr>
          <w:rFonts w:ascii="Cambria" w:hAnsi="Cambria"/>
          <w:i/>
          <w:color w:val="C00000"/>
          <w:sz w:val="28"/>
          <w:szCs w:val="28"/>
          <w:lang w:val="en-US"/>
        </w:rPr>
      </w:pPr>
    </w:p>
    <w:p w14:paraId="56CBD81B" w14:textId="77777777" w:rsidR="008E50DC" w:rsidRPr="007223DB" w:rsidRDefault="008E50DC" w:rsidP="00D4009A">
      <w:pPr>
        <w:rPr>
          <w:rFonts w:ascii="Cambria" w:hAnsi="Cambria"/>
          <w:i/>
          <w:color w:val="C00000"/>
          <w:sz w:val="28"/>
          <w:szCs w:val="28"/>
          <w:lang w:val="en-US"/>
        </w:rPr>
      </w:pPr>
    </w:p>
    <w:p w14:paraId="4CFB7831" w14:textId="77777777" w:rsidR="0006566E" w:rsidRPr="007223DB" w:rsidRDefault="0006566E" w:rsidP="00D4009A">
      <w:pPr>
        <w:rPr>
          <w:rFonts w:ascii="Cambria" w:hAnsi="Cambria"/>
          <w:i/>
          <w:color w:val="C00000"/>
          <w:sz w:val="28"/>
          <w:szCs w:val="28"/>
          <w:lang w:val="en-US"/>
        </w:rPr>
      </w:pPr>
    </w:p>
    <w:p w14:paraId="40218B96" w14:textId="77777777" w:rsidR="008E50DC" w:rsidRPr="007223DB" w:rsidRDefault="008E50DC" w:rsidP="0041702A">
      <w:pPr>
        <w:jc w:val="center"/>
        <w:rPr>
          <w:rFonts w:ascii="Cambria" w:hAnsi="Cambria"/>
          <w:i/>
          <w:color w:val="C00000"/>
          <w:sz w:val="28"/>
          <w:szCs w:val="28"/>
          <w:lang w:val="en-US"/>
        </w:rPr>
      </w:pPr>
    </w:p>
    <w:p w14:paraId="5E8CE22B" w14:textId="652E6690" w:rsidR="00286088" w:rsidRPr="007223DB" w:rsidRDefault="00095B67" w:rsidP="0041702A">
      <w:pPr>
        <w:jc w:val="center"/>
        <w:rPr>
          <w:rFonts w:ascii="Cambria" w:hAnsi="Cambria"/>
          <w:i/>
          <w:color w:val="C00000"/>
          <w:sz w:val="28"/>
          <w:szCs w:val="28"/>
        </w:rPr>
      </w:pPr>
      <w:r w:rsidRPr="007223DB">
        <w:rPr>
          <w:rFonts w:ascii="Cambria" w:hAnsi="Cambria"/>
          <w:i/>
          <w:color w:val="C00000"/>
          <w:sz w:val="28"/>
          <w:szCs w:val="28"/>
        </w:rPr>
        <w:t>J3042119/J3042219</w:t>
      </w:r>
      <w:r w:rsidR="00246E08" w:rsidRPr="007223DB">
        <w:rPr>
          <w:rFonts w:ascii="Cambria" w:hAnsi="Cambria"/>
          <w:i/>
          <w:color w:val="C00000"/>
          <w:sz w:val="28"/>
          <w:szCs w:val="28"/>
        </w:rPr>
        <w:t xml:space="preserve"> </w:t>
      </w:r>
      <w:r w:rsidR="004D4E2A" w:rsidRPr="007223DB">
        <w:rPr>
          <w:rFonts w:ascii="Cambria" w:hAnsi="Cambria"/>
          <w:i/>
          <w:color w:val="C00000"/>
          <w:sz w:val="28"/>
          <w:szCs w:val="28"/>
        </w:rPr>
        <w:t xml:space="preserve">: </w:t>
      </w:r>
      <w:r w:rsidR="00B31D7F" w:rsidRPr="007223DB">
        <w:rPr>
          <w:rFonts w:ascii="Cambria" w:hAnsi="Cambria"/>
          <w:i/>
          <w:color w:val="C00000"/>
          <w:sz w:val="28"/>
          <w:szCs w:val="28"/>
        </w:rPr>
        <w:t>Histoire</w:t>
      </w:r>
      <w:r w:rsidR="004D4E2A" w:rsidRPr="007223DB">
        <w:rPr>
          <w:rFonts w:ascii="Cambria" w:hAnsi="Cambria"/>
          <w:i/>
          <w:color w:val="C00000"/>
          <w:sz w:val="28"/>
          <w:szCs w:val="28"/>
        </w:rPr>
        <w:t xml:space="preserve"> économique et sociale contemporaine</w:t>
      </w:r>
    </w:p>
    <w:p w14:paraId="04E4986A" w14:textId="77777777" w:rsidR="00C80E24" w:rsidRPr="007223DB" w:rsidRDefault="004D4E2A" w:rsidP="006D4D7F">
      <w:pPr>
        <w:spacing w:after="200" w:line="240" w:lineRule="auto"/>
        <w:jc w:val="center"/>
        <w:rPr>
          <w:rFonts w:ascii="Cambria" w:eastAsia="Calibri" w:hAnsi="Cambria" w:cs="Times New Roman"/>
          <w:kern w:val="0"/>
          <w:sz w:val="22"/>
          <w:lang w:eastAsia="en-US"/>
        </w:rPr>
      </w:pPr>
      <w:r w:rsidRPr="007223DB">
        <w:rPr>
          <w:rFonts w:ascii="Cambria" w:eastAsia="Calibri" w:hAnsi="Cambria" w:cs="Times New Roman"/>
          <w:kern w:val="0"/>
          <w:sz w:val="22"/>
          <w:lang w:eastAsia="en-US"/>
        </w:rPr>
        <w:t>Frédéric Tristram</w:t>
      </w:r>
      <w:r w:rsidR="006D4D7F" w:rsidRPr="007223DB">
        <w:rPr>
          <w:rFonts w:ascii="Cambria" w:eastAsia="Calibri" w:hAnsi="Cambria" w:cs="Times New Roman"/>
          <w:kern w:val="0"/>
          <w:sz w:val="22"/>
          <w:lang w:eastAsia="en-US"/>
        </w:rPr>
        <w:t xml:space="preserve"> (CM), </w:t>
      </w:r>
    </w:p>
    <w:p w14:paraId="2C6F4965" w14:textId="50B7BAD7" w:rsidR="00286088" w:rsidRPr="007223DB" w:rsidRDefault="006D4D7F" w:rsidP="00C80E24">
      <w:pPr>
        <w:spacing w:after="200" w:line="240" w:lineRule="auto"/>
        <w:jc w:val="center"/>
        <w:rPr>
          <w:rFonts w:ascii="Cambria" w:eastAsia="Calibri" w:hAnsi="Cambria" w:cs="Times New Roman"/>
          <w:kern w:val="0"/>
          <w:sz w:val="22"/>
          <w:lang w:eastAsia="en-US"/>
        </w:rPr>
      </w:pPr>
      <w:r w:rsidRPr="007223DB">
        <w:rPr>
          <w:rFonts w:ascii="Cambria" w:eastAsia="Calibri" w:hAnsi="Cambria" w:cs="Times New Roman"/>
          <w:kern w:val="0"/>
          <w:sz w:val="22"/>
          <w:lang w:eastAsia="en-US"/>
        </w:rPr>
        <w:t>Landry Mayen (TD</w:t>
      </w:r>
      <w:r w:rsidR="00981965" w:rsidRPr="007223DB">
        <w:rPr>
          <w:rFonts w:ascii="Cambria" w:eastAsia="Calibri" w:hAnsi="Cambria" w:cs="Times New Roman"/>
          <w:kern w:val="0"/>
          <w:sz w:val="22"/>
          <w:lang w:eastAsia="en-US"/>
        </w:rPr>
        <w:t xml:space="preserve"> S1</w:t>
      </w:r>
      <w:r w:rsidRPr="007223DB">
        <w:rPr>
          <w:rFonts w:ascii="Cambria" w:eastAsia="Calibri" w:hAnsi="Cambria" w:cs="Times New Roman"/>
          <w:kern w:val="0"/>
          <w:sz w:val="22"/>
          <w:lang w:eastAsia="en-US"/>
        </w:rPr>
        <w:t>)</w:t>
      </w:r>
      <w:r w:rsidR="00981965" w:rsidRPr="007223DB">
        <w:rPr>
          <w:rFonts w:ascii="Cambria" w:eastAsia="Calibri" w:hAnsi="Cambria" w:cs="Times New Roman"/>
          <w:kern w:val="0"/>
          <w:sz w:val="22"/>
          <w:lang w:eastAsia="en-US"/>
        </w:rPr>
        <w:t>, Gaspard Lemarignier (TD S2)</w:t>
      </w:r>
      <w:r w:rsidR="00773487" w:rsidRPr="007223DB">
        <w:rPr>
          <w:rFonts w:ascii="Cambria" w:eastAsia="Calibri" w:hAnsi="Cambria" w:cs="Times New Roman"/>
          <w:kern w:val="0"/>
          <w:sz w:val="22"/>
          <w:lang w:eastAsia="en-US"/>
        </w:rPr>
        <w:t xml:space="preserve"> </w:t>
      </w:r>
    </w:p>
    <w:p w14:paraId="7D9C48DF" w14:textId="7B9DBCD8" w:rsidR="006D4D7F" w:rsidRPr="002C7092" w:rsidRDefault="004D4E2A" w:rsidP="006D4D7F">
      <w:pPr>
        <w:autoSpaceDE w:val="0"/>
        <w:autoSpaceDN w:val="0"/>
        <w:adjustRightInd w:val="0"/>
        <w:spacing w:after="0" w:line="240" w:lineRule="auto"/>
        <w:rPr>
          <w:rFonts w:ascii="Cambria" w:eastAsiaTheme="minorHAnsi" w:hAnsi="Cambria" w:cs="Times New Roman"/>
          <w:bCs/>
          <w:color w:val="C00000"/>
          <w:kern w:val="0"/>
          <w:sz w:val="22"/>
          <w:lang w:eastAsia="en-US"/>
        </w:rPr>
      </w:pPr>
      <w:r w:rsidRPr="002C7092">
        <w:rPr>
          <w:rFonts w:ascii="Cambria" w:eastAsia="Calibri" w:hAnsi="Cambria" w:cs="Times New Roman"/>
          <w:color w:val="C00000"/>
          <w:kern w:val="0"/>
          <w:sz w:val="22"/>
          <w:u w:val="single"/>
          <w:lang w:eastAsia="en-US"/>
        </w:rPr>
        <w:t>Sujet du cours</w:t>
      </w:r>
      <w:r w:rsidRPr="002C7092">
        <w:rPr>
          <w:rFonts w:ascii="Cambria" w:eastAsia="Calibri" w:hAnsi="Cambria" w:cs="Times New Roman"/>
          <w:color w:val="C00000"/>
          <w:kern w:val="0"/>
          <w:sz w:val="22"/>
          <w:lang w:eastAsia="en-US"/>
        </w:rPr>
        <w:t xml:space="preserve"> : </w:t>
      </w:r>
      <w:bookmarkStart w:id="33" w:name="_Hlk202782072"/>
      <w:r w:rsidR="006D4D7F" w:rsidRPr="002C7092">
        <w:rPr>
          <w:rFonts w:ascii="Cambria" w:eastAsiaTheme="minorHAnsi" w:hAnsi="Cambria" w:cs="Times New Roman"/>
          <w:bCs/>
          <w:color w:val="C00000"/>
          <w:kern w:val="0"/>
          <w:sz w:val="22"/>
          <w:lang w:eastAsia="en-US"/>
        </w:rPr>
        <w:t>Le commerce international de 1815 à 1940, entre libre-échange, protectionnisme et impérialismes</w:t>
      </w:r>
      <w:bookmarkEnd w:id="33"/>
    </w:p>
    <w:p w14:paraId="6A1D283E" w14:textId="77777777" w:rsidR="006D4D7F" w:rsidRPr="007223DB" w:rsidRDefault="006D4D7F" w:rsidP="006D4D7F">
      <w:pPr>
        <w:autoSpaceDE w:val="0"/>
        <w:autoSpaceDN w:val="0"/>
        <w:adjustRightInd w:val="0"/>
        <w:spacing w:after="0" w:line="240" w:lineRule="auto"/>
        <w:rPr>
          <w:rFonts w:ascii="Cambria" w:eastAsiaTheme="minorHAnsi" w:hAnsi="Cambria" w:cs="Times New Roman"/>
          <w:bCs/>
          <w:color w:val="000000"/>
          <w:kern w:val="0"/>
          <w:sz w:val="22"/>
          <w:lang w:eastAsia="en-US"/>
        </w:rPr>
      </w:pPr>
    </w:p>
    <w:p w14:paraId="6FA489EC" w14:textId="77777777" w:rsidR="006D4D7F" w:rsidRPr="007223DB" w:rsidRDefault="006D4D7F" w:rsidP="006D4D7F">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Ce cours se propose d’explorer l’essor des échanges commerciaux internationaux entre le XIXe siècle et la fin des années 1930. Cette expansion, reflet d’une mondialisation accélérée des économies, n’est cependant pas exempte d’infléchissements, de coups d’arrêts, voire de contractions. Elle s’inscrit en parallèle d’âpres et récurrents débats sur la nature des politiques douanières à promouvoir, animés soit par l’éloge du libre commerce délivré de toute entrave, soit par la défense du contrôle des interactions marchandes et financières avec les partenaires étrangers.</w:t>
      </w:r>
    </w:p>
    <w:p w14:paraId="164C06C4" w14:textId="77777777" w:rsidR="006D4D7F" w:rsidRPr="007223DB" w:rsidRDefault="006D4D7F" w:rsidP="006D4D7F">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Cet enseignement entend mettre au jour les évolutions des flux de biens, de services et de capitaux dans les grandes économies occidentales (Royaume-Uni, espace allemand, États-Unis, France), avec une extension au monde colonial et à d’autres puissances comme la Chine et le Japon, ainsi que les mutations qui en découlent pour les balances commerciales et de paiements des pays considérés. L’objectif est de souligner l’influence du commerce international sur la vie économique, les causes de son expansion et de ses fluctuations, ainsi que les éventuelles perturbations générées par son développement, notamment en matière d’exacerbation des concurrences. Il s’agira aussi de saisir les fondements théoriques et pratiques des querelles entre partisans du libre-échange et soutiens du protectionnisme. L’enjeu sera d’éclaircir les atermoiements, volte-faces et palinodies des décideurs publics en matière de politique commerciale, tout en soulignant dans quelle mesure ces inflexions résultent des tumultes du temps (guerres, tensions géopolitiques, rivalités coloniales, crises économiques, difficultés rencontrées par certains secteurs d’activités en marge de l’industrialisation). Ce cours entend donc montrer comment les changements qui affectent les relations commerciales internationales s’inscrivent dans une histoire tourmentée, dans laquelle les mutations économiques, politiques et sociales entrent en résonance et se répondent.</w:t>
      </w:r>
    </w:p>
    <w:p w14:paraId="7DAC538F"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Cs/>
          <w:color w:val="000000"/>
          <w:kern w:val="0"/>
          <w:sz w:val="22"/>
          <w:lang w:eastAsia="en-US"/>
        </w:rPr>
        <w:t>Bibliographie de travail</w:t>
      </w:r>
      <w:r w:rsidRPr="007223DB">
        <w:rPr>
          <w:rFonts w:ascii="Cambria" w:eastAsiaTheme="minorHAnsi" w:hAnsi="Cambria" w:cs="Times New Roman"/>
          <w:b w:val="0"/>
          <w:color w:val="000000"/>
          <w:kern w:val="0"/>
          <w:sz w:val="22"/>
          <w:lang w:eastAsia="en-US"/>
        </w:rPr>
        <w:t xml:space="preserve"> : BAIROCH Paul, « Commerce international et genèse de la révolution industrielle anglaise », </w:t>
      </w:r>
      <w:r w:rsidRPr="007223DB">
        <w:rPr>
          <w:rFonts w:ascii="Cambria" w:eastAsiaTheme="minorHAnsi" w:hAnsi="Cambria" w:cs="Times New Roman"/>
          <w:b w:val="0"/>
          <w:i/>
          <w:iCs/>
          <w:color w:val="000000"/>
          <w:kern w:val="0"/>
          <w:sz w:val="22"/>
          <w:lang w:eastAsia="en-US"/>
        </w:rPr>
        <w:t xml:space="preserve">Annales. </w:t>
      </w:r>
      <w:r w:rsidRPr="007223DB">
        <w:rPr>
          <w:rFonts w:ascii="Cambria" w:eastAsiaTheme="minorHAnsi" w:hAnsi="Cambria" w:cs="Times New Roman"/>
          <w:b w:val="0"/>
          <w:i/>
          <w:iCs/>
          <w:color w:val="000000"/>
          <w:kern w:val="0"/>
          <w:sz w:val="22"/>
          <w:lang w:val="en-US" w:eastAsia="en-US"/>
        </w:rPr>
        <w:t>Economies, sociétés, civilisations</w:t>
      </w:r>
      <w:r w:rsidRPr="007223DB">
        <w:rPr>
          <w:rFonts w:ascii="Cambria" w:eastAsiaTheme="minorHAnsi" w:hAnsi="Cambria" w:cs="Times New Roman"/>
          <w:b w:val="0"/>
          <w:color w:val="000000"/>
          <w:kern w:val="0"/>
          <w:sz w:val="22"/>
          <w:lang w:val="en-US" w:eastAsia="en-US"/>
        </w:rPr>
        <w:t xml:space="preserve">, 28e année, n°2, 1973, pp. 541-571. </w:t>
      </w:r>
    </w:p>
    <w:p w14:paraId="570E844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BAIROCH Paul, « Geographical structure and trade balance of european foreign trade from 1800 to 1970 », </w:t>
      </w:r>
      <w:r w:rsidRPr="007223DB">
        <w:rPr>
          <w:rFonts w:ascii="Cambria" w:eastAsiaTheme="minorHAnsi" w:hAnsi="Cambria" w:cs="Times New Roman"/>
          <w:b w:val="0"/>
          <w:i/>
          <w:iCs/>
          <w:color w:val="000000"/>
          <w:kern w:val="0"/>
          <w:sz w:val="22"/>
          <w:lang w:val="en-US" w:eastAsia="en-US"/>
        </w:rPr>
        <w:t>Journal of European Economic History</w:t>
      </w:r>
      <w:r w:rsidRPr="007223DB">
        <w:rPr>
          <w:rFonts w:ascii="Cambria" w:eastAsiaTheme="minorHAnsi" w:hAnsi="Cambria" w:cs="Times New Roman"/>
          <w:b w:val="0"/>
          <w:color w:val="000000"/>
          <w:kern w:val="0"/>
          <w:sz w:val="22"/>
          <w:lang w:val="en-US" w:eastAsia="en-US"/>
        </w:rPr>
        <w:t xml:space="preserve">, vol. 3, 3, 1974, pp. 576-668. </w:t>
      </w:r>
    </w:p>
    <w:p w14:paraId="62F6081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BAIROCH Paul, </w:t>
      </w:r>
      <w:r w:rsidRPr="007223DB">
        <w:rPr>
          <w:rFonts w:ascii="Cambria" w:eastAsiaTheme="minorHAnsi" w:hAnsi="Cambria" w:cs="Times New Roman"/>
          <w:b w:val="0"/>
          <w:i/>
          <w:iCs/>
          <w:color w:val="000000"/>
          <w:kern w:val="0"/>
          <w:sz w:val="22"/>
          <w:lang w:eastAsia="en-US"/>
        </w:rPr>
        <w:t>Victoires et déboires : histoire économique et sociale du monde du XVIe siècle à nos jours</w:t>
      </w:r>
      <w:r w:rsidRPr="007223DB">
        <w:rPr>
          <w:rFonts w:ascii="Cambria" w:eastAsiaTheme="minorHAnsi" w:hAnsi="Cambria" w:cs="Times New Roman"/>
          <w:b w:val="0"/>
          <w:color w:val="000000"/>
          <w:kern w:val="0"/>
          <w:sz w:val="22"/>
          <w:lang w:eastAsia="en-US"/>
        </w:rPr>
        <w:t xml:space="preserve">, Paris, Folio, 3 tomes, 1997. </w:t>
      </w:r>
    </w:p>
    <w:p w14:paraId="13A121D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BÉNICHI Régis, </w:t>
      </w:r>
      <w:r w:rsidRPr="007223DB">
        <w:rPr>
          <w:rFonts w:ascii="Cambria" w:eastAsiaTheme="minorHAnsi" w:hAnsi="Cambria" w:cs="Times New Roman"/>
          <w:b w:val="0"/>
          <w:i/>
          <w:iCs/>
          <w:color w:val="000000"/>
          <w:kern w:val="0"/>
          <w:sz w:val="22"/>
          <w:lang w:eastAsia="en-US"/>
        </w:rPr>
        <w:t>Histoire de la mondialisation</w:t>
      </w:r>
      <w:r w:rsidRPr="007223DB">
        <w:rPr>
          <w:rFonts w:ascii="Cambria" w:eastAsiaTheme="minorHAnsi" w:hAnsi="Cambria" w:cs="Times New Roman"/>
          <w:b w:val="0"/>
          <w:color w:val="000000"/>
          <w:kern w:val="0"/>
          <w:sz w:val="22"/>
          <w:lang w:eastAsia="en-US"/>
        </w:rPr>
        <w:t xml:space="preserve">, Paris, Vuiber, 2008. </w:t>
      </w:r>
    </w:p>
    <w:p w14:paraId="279BF38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BERGER Suzanne, </w:t>
      </w:r>
      <w:r w:rsidRPr="007223DB">
        <w:rPr>
          <w:rFonts w:ascii="Cambria" w:eastAsiaTheme="minorHAnsi" w:hAnsi="Cambria" w:cs="Times New Roman"/>
          <w:b w:val="0"/>
          <w:i/>
          <w:iCs/>
          <w:color w:val="000000"/>
          <w:kern w:val="0"/>
          <w:sz w:val="22"/>
          <w:lang w:eastAsia="en-US"/>
        </w:rPr>
        <w:t>Notre première mondialisation. Leçons d’un échec oublié</w:t>
      </w:r>
      <w:r w:rsidRPr="007223DB">
        <w:rPr>
          <w:rFonts w:ascii="Cambria" w:eastAsiaTheme="minorHAnsi" w:hAnsi="Cambria" w:cs="Times New Roman"/>
          <w:b w:val="0"/>
          <w:color w:val="000000"/>
          <w:kern w:val="0"/>
          <w:sz w:val="22"/>
          <w:lang w:eastAsia="en-US"/>
        </w:rPr>
        <w:t>, Paris, Le Seuil, coll. « La république des idées », 2003.</w:t>
      </w:r>
    </w:p>
    <w:p w14:paraId="24DA1AE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BOUVIER Jean, GIRAULT René, THOBIE Jacques, </w:t>
      </w:r>
      <w:r w:rsidRPr="007223DB">
        <w:rPr>
          <w:rFonts w:ascii="Cambria" w:eastAsiaTheme="minorHAnsi" w:hAnsi="Cambria" w:cs="Times New Roman"/>
          <w:b w:val="0"/>
          <w:i/>
          <w:iCs/>
          <w:color w:val="000000"/>
          <w:kern w:val="0"/>
          <w:sz w:val="22"/>
          <w:lang w:eastAsia="en-US"/>
        </w:rPr>
        <w:t>L’impérialisme à la française 1914-1960</w:t>
      </w:r>
      <w:r w:rsidRPr="007223DB">
        <w:rPr>
          <w:rFonts w:ascii="Cambria" w:eastAsiaTheme="minorHAnsi" w:hAnsi="Cambria" w:cs="Times New Roman"/>
          <w:b w:val="0"/>
          <w:color w:val="000000"/>
          <w:kern w:val="0"/>
          <w:sz w:val="22"/>
          <w:lang w:eastAsia="en-US"/>
        </w:rPr>
        <w:t>, Paris, La Découverte, 1986.</w:t>
      </w:r>
    </w:p>
    <w:p w14:paraId="5E478EE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CHARLE Christophe, </w:t>
      </w:r>
      <w:r w:rsidRPr="007223DB">
        <w:rPr>
          <w:rFonts w:ascii="Cambria" w:eastAsiaTheme="minorHAnsi" w:hAnsi="Cambria" w:cs="Times New Roman"/>
          <w:b w:val="0"/>
          <w:i/>
          <w:iCs/>
          <w:color w:val="000000"/>
          <w:kern w:val="0"/>
          <w:sz w:val="22"/>
          <w:lang w:eastAsia="en-US"/>
        </w:rPr>
        <w:t>La crise des sociétés impériales, Allemagne, France, Grande-Bretagne 1900-1940, essai d’histoire sociale comparée</w:t>
      </w:r>
      <w:r w:rsidRPr="007223DB">
        <w:rPr>
          <w:rFonts w:ascii="Cambria" w:eastAsiaTheme="minorHAnsi" w:hAnsi="Cambria" w:cs="Times New Roman"/>
          <w:b w:val="0"/>
          <w:color w:val="000000"/>
          <w:kern w:val="0"/>
          <w:sz w:val="22"/>
          <w:lang w:eastAsia="en-US"/>
        </w:rPr>
        <w:t xml:space="preserve">, Paris, Le Seuil, 2001. </w:t>
      </w:r>
    </w:p>
    <w:p w14:paraId="7A41EC1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CROUZET François, </w:t>
      </w:r>
      <w:r w:rsidRPr="007223DB">
        <w:rPr>
          <w:rFonts w:ascii="Cambria" w:eastAsiaTheme="minorHAnsi" w:hAnsi="Cambria" w:cs="Times New Roman"/>
          <w:b w:val="0"/>
          <w:i/>
          <w:iCs/>
          <w:color w:val="000000"/>
          <w:kern w:val="0"/>
          <w:sz w:val="22"/>
          <w:lang w:eastAsia="en-US"/>
        </w:rPr>
        <w:t>L’économie de la Grande-Bretagne victorienne</w:t>
      </w:r>
      <w:r w:rsidRPr="007223DB">
        <w:rPr>
          <w:rFonts w:ascii="Cambria" w:eastAsiaTheme="minorHAnsi" w:hAnsi="Cambria" w:cs="Times New Roman"/>
          <w:b w:val="0"/>
          <w:color w:val="000000"/>
          <w:kern w:val="0"/>
          <w:sz w:val="22"/>
          <w:lang w:eastAsia="en-US"/>
        </w:rPr>
        <w:t xml:space="preserve">, Belin, « Histoire », 2009. </w:t>
      </w:r>
    </w:p>
    <w:p w14:paraId="4E0BF73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ESTEVADEORDAL Antoni, FRANTZ Brian, TAYLOR Alan, « The Rise and Fall of World Trade : 1870-1939 », </w:t>
      </w:r>
      <w:r w:rsidRPr="007223DB">
        <w:rPr>
          <w:rFonts w:ascii="Cambria" w:eastAsiaTheme="minorHAnsi" w:hAnsi="Cambria" w:cs="Times New Roman"/>
          <w:b w:val="0"/>
          <w:i/>
          <w:iCs/>
          <w:color w:val="000000"/>
          <w:kern w:val="0"/>
          <w:sz w:val="22"/>
          <w:lang w:val="en-US" w:eastAsia="en-US"/>
        </w:rPr>
        <w:t>The Quaterly Journal of Economics</w:t>
      </w:r>
      <w:r w:rsidRPr="007223DB">
        <w:rPr>
          <w:rFonts w:ascii="Cambria" w:eastAsiaTheme="minorHAnsi" w:hAnsi="Cambria" w:cs="Times New Roman"/>
          <w:b w:val="0"/>
          <w:color w:val="000000"/>
          <w:kern w:val="0"/>
          <w:sz w:val="22"/>
          <w:lang w:val="en-US" w:eastAsia="en-US"/>
        </w:rPr>
        <w:t xml:space="preserve">, vol. 118, n°2, 2003. </w:t>
      </w:r>
    </w:p>
    <w:p w14:paraId="3C17DB5D"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FAULKNER Harold Underwood, </w:t>
      </w:r>
      <w:r w:rsidRPr="007223DB">
        <w:rPr>
          <w:rFonts w:ascii="Cambria" w:eastAsiaTheme="minorHAnsi" w:hAnsi="Cambria" w:cs="Times New Roman"/>
          <w:b w:val="0"/>
          <w:i/>
          <w:iCs/>
          <w:color w:val="000000"/>
          <w:kern w:val="0"/>
          <w:sz w:val="22"/>
          <w:lang w:eastAsia="en-US"/>
        </w:rPr>
        <w:t>Histoire économique des États-Unis des origines à nos jours</w:t>
      </w:r>
      <w:r w:rsidRPr="007223DB">
        <w:rPr>
          <w:rFonts w:ascii="Cambria" w:eastAsiaTheme="minorHAnsi" w:hAnsi="Cambria" w:cs="Times New Roman"/>
          <w:b w:val="0"/>
          <w:color w:val="000000"/>
          <w:kern w:val="0"/>
          <w:sz w:val="22"/>
          <w:lang w:eastAsia="en-US"/>
        </w:rPr>
        <w:t xml:space="preserve">, Paris, PUF, 1958. </w:t>
      </w:r>
    </w:p>
    <w:p w14:paraId="7A47453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FINDLAY Ronald et O’ROURKE Kevin H., </w:t>
      </w:r>
      <w:r w:rsidRPr="007223DB">
        <w:rPr>
          <w:rFonts w:ascii="Cambria" w:eastAsiaTheme="minorHAnsi" w:hAnsi="Cambria" w:cs="Times New Roman"/>
          <w:b w:val="0"/>
          <w:i/>
          <w:iCs/>
          <w:color w:val="000000"/>
          <w:kern w:val="0"/>
          <w:sz w:val="22"/>
          <w:lang w:val="en-US" w:eastAsia="en-US"/>
        </w:rPr>
        <w:t>Power and Plenty : Trade, War and the World Economy  in the Second Millenium</w:t>
      </w:r>
      <w:r w:rsidRPr="007223DB">
        <w:rPr>
          <w:rFonts w:ascii="Cambria" w:eastAsiaTheme="minorHAnsi" w:hAnsi="Cambria" w:cs="Times New Roman"/>
          <w:b w:val="0"/>
          <w:color w:val="000000"/>
          <w:kern w:val="0"/>
          <w:sz w:val="22"/>
          <w:lang w:val="en-US" w:eastAsia="en-US"/>
        </w:rPr>
        <w:t>, Pinceton, Princeton University Press, 2007.</w:t>
      </w:r>
    </w:p>
    <w:p w14:paraId="1B37454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HAU Michel,</w:t>
      </w:r>
      <w:r w:rsidRPr="007223DB">
        <w:rPr>
          <w:rFonts w:ascii="Cambria" w:eastAsiaTheme="minorHAnsi" w:hAnsi="Cambria" w:cs="Times New Roman"/>
          <w:b w:val="0"/>
          <w:i/>
          <w:iCs/>
          <w:color w:val="000000"/>
          <w:kern w:val="0"/>
          <w:sz w:val="22"/>
          <w:lang w:eastAsia="en-US"/>
        </w:rPr>
        <w:t xml:space="preserve"> Histoire économique de l’Allemagne, XIXe-XXe siècle</w:t>
      </w:r>
      <w:r w:rsidRPr="007223DB">
        <w:rPr>
          <w:rFonts w:ascii="Cambria" w:eastAsiaTheme="minorHAnsi" w:hAnsi="Cambria" w:cs="Times New Roman"/>
          <w:b w:val="0"/>
          <w:color w:val="000000"/>
          <w:kern w:val="0"/>
          <w:sz w:val="22"/>
          <w:lang w:eastAsia="en-US"/>
        </w:rPr>
        <w:t xml:space="preserve">, Paris, Economica, 1994. </w:t>
      </w:r>
    </w:p>
    <w:p w14:paraId="326A20E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HOBSBAWM Éric, </w:t>
      </w:r>
      <w:r w:rsidRPr="007223DB">
        <w:rPr>
          <w:rFonts w:ascii="Cambria" w:eastAsiaTheme="minorHAnsi" w:hAnsi="Cambria" w:cs="Times New Roman"/>
          <w:b w:val="0"/>
          <w:i/>
          <w:iCs/>
          <w:color w:val="000000"/>
          <w:kern w:val="0"/>
          <w:sz w:val="22"/>
          <w:lang w:eastAsia="en-US"/>
        </w:rPr>
        <w:t>L’ère des empires 1875-1914</w:t>
      </w:r>
      <w:r w:rsidRPr="007223DB">
        <w:rPr>
          <w:rFonts w:ascii="Cambria" w:eastAsiaTheme="minorHAnsi" w:hAnsi="Cambria" w:cs="Times New Roman"/>
          <w:b w:val="0"/>
          <w:color w:val="000000"/>
          <w:kern w:val="0"/>
          <w:sz w:val="22"/>
          <w:lang w:eastAsia="en-US"/>
        </w:rPr>
        <w:t>, Paris, Fayard, 1989.</w:t>
      </w:r>
    </w:p>
    <w:p w14:paraId="2C7CB21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IMLAH Albert H., </w:t>
      </w:r>
      <w:r w:rsidRPr="007223DB">
        <w:rPr>
          <w:rFonts w:ascii="Cambria" w:eastAsiaTheme="minorHAnsi" w:hAnsi="Cambria" w:cs="Times New Roman"/>
          <w:b w:val="0"/>
          <w:i/>
          <w:iCs/>
          <w:color w:val="000000"/>
          <w:kern w:val="0"/>
          <w:sz w:val="22"/>
          <w:lang w:val="en-US" w:eastAsia="en-US"/>
        </w:rPr>
        <w:t>Economic elements in the Pax Britannica : Studies in British foreign trade in the nineteeth century</w:t>
      </w:r>
      <w:r w:rsidRPr="007223DB">
        <w:rPr>
          <w:rFonts w:ascii="Cambria" w:eastAsiaTheme="minorHAnsi" w:hAnsi="Cambria" w:cs="Times New Roman"/>
          <w:b w:val="0"/>
          <w:color w:val="000000"/>
          <w:kern w:val="0"/>
          <w:sz w:val="22"/>
          <w:lang w:val="en-US" w:eastAsia="en-US"/>
        </w:rPr>
        <w:t>, New-York, Russel &amp; Russel, 1969.</w:t>
      </w:r>
    </w:p>
    <w:p w14:paraId="46C88EA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LÉVY-LEBOYER Maurice,</w:t>
      </w:r>
      <w:r w:rsidRPr="007223DB">
        <w:rPr>
          <w:rFonts w:ascii="Cambria" w:eastAsiaTheme="minorHAnsi" w:hAnsi="Cambria" w:cs="Times New Roman"/>
          <w:b w:val="0"/>
          <w:i/>
          <w:iCs/>
          <w:color w:val="000000"/>
          <w:kern w:val="0"/>
          <w:sz w:val="22"/>
          <w:lang w:eastAsia="en-US"/>
        </w:rPr>
        <w:t xml:space="preserve"> L’économie française dans la compétition internationale au XXe siècle</w:t>
      </w:r>
      <w:r w:rsidRPr="007223DB">
        <w:rPr>
          <w:rFonts w:ascii="Cambria" w:eastAsiaTheme="minorHAnsi" w:hAnsi="Cambria" w:cs="Times New Roman"/>
          <w:b w:val="0"/>
          <w:color w:val="000000"/>
          <w:kern w:val="0"/>
          <w:sz w:val="22"/>
          <w:lang w:eastAsia="en-US"/>
        </w:rPr>
        <w:t>, Vincennes, Comité pour l’histoire économique et financière de la France, 2007.</w:t>
      </w:r>
    </w:p>
    <w:p w14:paraId="17152091"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MADDISON Angus, </w:t>
      </w:r>
      <w:r w:rsidRPr="007223DB">
        <w:rPr>
          <w:rFonts w:ascii="Cambria" w:eastAsiaTheme="minorHAnsi" w:hAnsi="Cambria" w:cs="Times New Roman"/>
          <w:b w:val="0"/>
          <w:i/>
          <w:iCs/>
          <w:color w:val="000000"/>
          <w:kern w:val="0"/>
          <w:sz w:val="22"/>
          <w:lang w:val="en-US" w:eastAsia="en-US"/>
        </w:rPr>
        <w:t>Contours of the World Economy : Essays in Macro-Economic History</w:t>
      </w:r>
      <w:r w:rsidRPr="007223DB">
        <w:rPr>
          <w:rFonts w:ascii="Cambria" w:eastAsiaTheme="minorHAnsi" w:hAnsi="Cambria" w:cs="Times New Roman"/>
          <w:b w:val="0"/>
          <w:color w:val="000000"/>
          <w:kern w:val="0"/>
          <w:sz w:val="22"/>
          <w:lang w:val="en-US" w:eastAsia="en-US"/>
        </w:rPr>
        <w:t>, Oxford Press, 2007</w:t>
      </w:r>
    </w:p>
    <w:p w14:paraId="208F1F3D"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MARSEILLE Jacques, </w:t>
      </w:r>
      <w:r w:rsidRPr="007223DB">
        <w:rPr>
          <w:rFonts w:ascii="Cambria" w:eastAsiaTheme="minorHAnsi" w:hAnsi="Cambria" w:cs="Times New Roman"/>
          <w:b w:val="0"/>
          <w:i/>
          <w:iCs/>
          <w:color w:val="000000"/>
          <w:kern w:val="0"/>
          <w:sz w:val="22"/>
          <w:lang w:eastAsia="en-US"/>
        </w:rPr>
        <w:t>Empire colonial et capitalisme français. Histoire d’un divorce</w:t>
      </w:r>
      <w:r w:rsidRPr="007223DB">
        <w:rPr>
          <w:rFonts w:ascii="Cambria" w:eastAsiaTheme="minorHAnsi" w:hAnsi="Cambria" w:cs="Times New Roman"/>
          <w:b w:val="0"/>
          <w:color w:val="000000"/>
          <w:kern w:val="0"/>
          <w:sz w:val="22"/>
          <w:lang w:eastAsia="en-US"/>
        </w:rPr>
        <w:t>, Paris, Albin Michel, 2005.</w:t>
      </w:r>
    </w:p>
    <w:p w14:paraId="2DAE225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NOUAILHAT Yves-Henri, </w:t>
      </w:r>
      <w:r w:rsidRPr="007223DB">
        <w:rPr>
          <w:rFonts w:ascii="Cambria" w:eastAsiaTheme="minorHAnsi" w:hAnsi="Cambria" w:cs="Times New Roman"/>
          <w:b w:val="0"/>
          <w:i/>
          <w:iCs/>
          <w:color w:val="000000"/>
          <w:kern w:val="0"/>
          <w:sz w:val="22"/>
          <w:lang w:eastAsia="en-US"/>
        </w:rPr>
        <w:t>Évolution économique des États-Unis du milieu du XIXe siècle à 1914</w:t>
      </w:r>
      <w:r w:rsidRPr="007223DB">
        <w:rPr>
          <w:rFonts w:ascii="Cambria" w:eastAsiaTheme="minorHAnsi" w:hAnsi="Cambria" w:cs="Times New Roman"/>
          <w:b w:val="0"/>
          <w:color w:val="000000"/>
          <w:kern w:val="0"/>
          <w:sz w:val="22"/>
          <w:lang w:eastAsia="en-US"/>
        </w:rPr>
        <w:t xml:space="preserve">, Paris, SEDES, 1982. </w:t>
      </w:r>
    </w:p>
    <w:p w14:paraId="0C68C39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O’ROURKE Kevin H. et WILLIAMSON Jeffrey G., </w:t>
      </w:r>
      <w:r w:rsidRPr="007223DB">
        <w:rPr>
          <w:rFonts w:ascii="Cambria" w:eastAsiaTheme="minorHAnsi" w:hAnsi="Cambria" w:cs="Times New Roman"/>
          <w:b w:val="0"/>
          <w:i/>
          <w:iCs/>
          <w:color w:val="000000"/>
          <w:kern w:val="0"/>
          <w:sz w:val="22"/>
          <w:lang w:val="en-US" w:eastAsia="en-US"/>
        </w:rPr>
        <w:t>Globalization and History. The Evolution of a Nineteenth-Century Atlantic Economy</w:t>
      </w:r>
      <w:r w:rsidRPr="007223DB">
        <w:rPr>
          <w:rFonts w:ascii="Cambria" w:eastAsiaTheme="minorHAnsi" w:hAnsi="Cambria" w:cs="Times New Roman"/>
          <w:b w:val="0"/>
          <w:color w:val="000000"/>
          <w:kern w:val="0"/>
          <w:sz w:val="22"/>
          <w:lang w:val="en-US" w:eastAsia="en-US"/>
        </w:rPr>
        <w:t xml:space="preserve">, MIT Press, Cambridge, 1999. </w:t>
      </w:r>
    </w:p>
    <w:p w14:paraId="2A236898"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POMERANZ Kenneth, T</w:t>
      </w:r>
      <w:r w:rsidRPr="007223DB">
        <w:rPr>
          <w:rFonts w:ascii="Cambria" w:eastAsiaTheme="minorHAnsi" w:hAnsi="Cambria" w:cs="Times New Roman"/>
          <w:b w:val="0"/>
          <w:i/>
          <w:iCs/>
          <w:color w:val="000000"/>
          <w:kern w:val="0"/>
          <w:sz w:val="22"/>
          <w:lang w:val="en-US" w:eastAsia="en-US"/>
        </w:rPr>
        <w:t>he world that trade created : society, culture and the world economy, 1400 to the present</w:t>
      </w:r>
      <w:r w:rsidRPr="007223DB">
        <w:rPr>
          <w:rFonts w:ascii="Cambria" w:eastAsiaTheme="minorHAnsi" w:hAnsi="Cambria" w:cs="Times New Roman"/>
          <w:b w:val="0"/>
          <w:color w:val="000000"/>
          <w:kern w:val="0"/>
          <w:sz w:val="22"/>
          <w:lang w:val="en-US" w:eastAsia="en-US"/>
        </w:rPr>
        <w:t>, M.E. Sharpe, 1999.</w:t>
      </w:r>
    </w:p>
    <w:p w14:paraId="2B705DA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POMERANZ Kenneth, </w:t>
      </w:r>
      <w:r w:rsidRPr="007223DB">
        <w:rPr>
          <w:rFonts w:ascii="Cambria" w:eastAsiaTheme="minorHAnsi" w:hAnsi="Cambria" w:cs="Times New Roman"/>
          <w:b w:val="0"/>
          <w:i/>
          <w:iCs/>
          <w:color w:val="000000"/>
          <w:kern w:val="0"/>
          <w:sz w:val="22"/>
          <w:lang w:eastAsia="en-US"/>
        </w:rPr>
        <w:t>Une grande divergence. La Chine, l’Europe et la construction de l’économie mondiale</w:t>
      </w:r>
      <w:r w:rsidRPr="007223DB">
        <w:rPr>
          <w:rFonts w:ascii="Cambria" w:eastAsiaTheme="minorHAnsi" w:hAnsi="Cambria" w:cs="Times New Roman"/>
          <w:b w:val="0"/>
          <w:color w:val="000000"/>
          <w:kern w:val="0"/>
          <w:sz w:val="22"/>
          <w:lang w:eastAsia="en-US"/>
        </w:rPr>
        <w:t xml:space="preserve">, Albin Michel, Paris, 2010. </w:t>
      </w:r>
    </w:p>
    <w:p w14:paraId="10C649C8"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SINGARAVELOU Pierre et VENEYRE Sylvain (dir.), </w:t>
      </w:r>
      <w:r w:rsidRPr="007223DB">
        <w:rPr>
          <w:rFonts w:ascii="Cambria" w:eastAsiaTheme="minorHAnsi" w:hAnsi="Cambria" w:cs="Times New Roman"/>
          <w:b w:val="0"/>
          <w:i/>
          <w:iCs/>
          <w:color w:val="000000"/>
          <w:kern w:val="0"/>
          <w:sz w:val="22"/>
          <w:lang w:eastAsia="en-US"/>
        </w:rPr>
        <w:t>Histoire du monde au XIXe siècle</w:t>
      </w:r>
      <w:r w:rsidRPr="007223DB">
        <w:rPr>
          <w:rFonts w:ascii="Cambria" w:eastAsiaTheme="minorHAnsi" w:hAnsi="Cambria" w:cs="Times New Roman"/>
          <w:b w:val="0"/>
          <w:color w:val="000000"/>
          <w:kern w:val="0"/>
          <w:sz w:val="22"/>
          <w:lang w:eastAsia="en-US"/>
        </w:rPr>
        <w:t>, Paris, Fayard, 2017.</w:t>
      </w:r>
    </w:p>
    <w:p w14:paraId="22093D4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THOBIE Jacques, </w:t>
      </w:r>
      <w:r w:rsidRPr="007223DB">
        <w:rPr>
          <w:rFonts w:ascii="Cambria" w:eastAsiaTheme="minorHAnsi" w:hAnsi="Cambria" w:cs="Times New Roman"/>
          <w:b w:val="0"/>
          <w:i/>
          <w:iCs/>
          <w:color w:val="000000"/>
          <w:kern w:val="0"/>
          <w:sz w:val="22"/>
          <w:lang w:eastAsia="en-US"/>
        </w:rPr>
        <w:t>La France impériale 1880-1914</w:t>
      </w:r>
      <w:r w:rsidRPr="007223DB">
        <w:rPr>
          <w:rFonts w:ascii="Cambria" w:eastAsiaTheme="minorHAnsi" w:hAnsi="Cambria" w:cs="Times New Roman"/>
          <w:b w:val="0"/>
          <w:color w:val="000000"/>
          <w:kern w:val="0"/>
          <w:sz w:val="22"/>
          <w:lang w:eastAsia="en-US"/>
        </w:rPr>
        <w:t xml:space="preserve">, Paris, Mégrelis, coll. « Chemins d’aujourd’hui », 1982. </w:t>
      </w:r>
    </w:p>
    <w:p w14:paraId="5780621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TODD David, </w:t>
      </w:r>
      <w:r w:rsidRPr="007223DB">
        <w:rPr>
          <w:rFonts w:ascii="Cambria" w:eastAsiaTheme="minorHAnsi" w:hAnsi="Cambria" w:cs="Times New Roman"/>
          <w:b w:val="0"/>
          <w:i/>
          <w:iCs/>
          <w:color w:val="000000"/>
          <w:kern w:val="0"/>
          <w:sz w:val="22"/>
          <w:lang w:eastAsia="en-US"/>
        </w:rPr>
        <w:t>Un empire de velours. L’impérialisme informel français au XIXe siècle</w:t>
      </w:r>
      <w:r w:rsidRPr="007223DB">
        <w:rPr>
          <w:rFonts w:ascii="Cambria" w:eastAsiaTheme="minorHAnsi" w:hAnsi="Cambria" w:cs="Times New Roman"/>
          <w:b w:val="0"/>
          <w:color w:val="000000"/>
          <w:kern w:val="0"/>
          <w:sz w:val="22"/>
          <w:lang w:eastAsia="en-US"/>
        </w:rPr>
        <w:t xml:space="preserve">, Paris, La Découverte, « Histoire-monde », 2022. </w:t>
      </w:r>
    </w:p>
    <w:p w14:paraId="733F3CD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Cs/>
          <w:color w:val="000000"/>
          <w:kern w:val="0"/>
          <w:sz w:val="22"/>
          <w:lang w:eastAsia="en-US"/>
        </w:rPr>
        <w:t>Pour des études plus thématiques</w:t>
      </w:r>
      <w:r w:rsidRPr="007223DB">
        <w:rPr>
          <w:rFonts w:ascii="Cambria" w:eastAsiaTheme="minorHAnsi" w:hAnsi="Cambria" w:cs="Times New Roman"/>
          <w:b w:val="0"/>
          <w:color w:val="000000"/>
          <w:kern w:val="0"/>
          <w:sz w:val="22"/>
          <w:lang w:eastAsia="en-US"/>
        </w:rPr>
        <w:t xml:space="preserve"> :</w:t>
      </w:r>
    </w:p>
    <w:p w14:paraId="5C0E821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ARTAUD Denise, </w:t>
      </w:r>
      <w:r w:rsidRPr="007223DB">
        <w:rPr>
          <w:rFonts w:ascii="Cambria" w:eastAsiaTheme="minorHAnsi" w:hAnsi="Cambria" w:cs="Times New Roman"/>
          <w:b w:val="0"/>
          <w:i/>
          <w:iCs/>
          <w:color w:val="000000"/>
          <w:kern w:val="0"/>
          <w:sz w:val="22"/>
          <w:lang w:eastAsia="en-US"/>
        </w:rPr>
        <w:t>L’Amérique en crise, Roosevelt et le New Deal</w:t>
      </w:r>
      <w:r w:rsidRPr="007223DB">
        <w:rPr>
          <w:rFonts w:ascii="Cambria" w:eastAsiaTheme="minorHAnsi" w:hAnsi="Cambria" w:cs="Times New Roman"/>
          <w:b w:val="0"/>
          <w:color w:val="000000"/>
          <w:kern w:val="0"/>
          <w:sz w:val="22"/>
          <w:lang w:eastAsia="en-US"/>
        </w:rPr>
        <w:t xml:space="preserve">, Paris, Armand Colin, 1987. </w:t>
      </w:r>
    </w:p>
    <w:p w14:paraId="33A2636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BONIN Hubert, </w:t>
      </w:r>
      <w:r w:rsidRPr="007223DB">
        <w:rPr>
          <w:rFonts w:ascii="Cambria" w:eastAsiaTheme="minorHAnsi" w:hAnsi="Cambria" w:cs="Times New Roman"/>
          <w:b w:val="0"/>
          <w:i/>
          <w:iCs/>
          <w:color w:val="000000"/>
          <w:kern w:val="0"/>
          <w:sz w:val="22"/>
          <w:lang w:eastAsia="en-US"/>
        </w:rPr>
        <w:t>La France en guerre économique (1914-1919)</w:t>
      </w:r>
      <w:r w:rsidRPr="007223DB">
        <w:rPr>
          <w:rFonts w:ascii="Cambria" w:eastAsiaTheme="minorHAnsi" w:hAnsi="Cambria" w:cs="Times New Roman"/>
          <w:b w:val="0"/>
          <w:color w:val="000000"/>
          <w:kern w:val="0"/>
          <w:sz w:val="22"/>
          <w:lang w:eastAsia="en-US"/>
        </w:rPr>
        <w:t xml:space="preserve">, Genève Droz, « Publications d’histoire économique et sociale internationale », 2018. </w:t>
      </w:r>
    </w:p>
    <w:p w14:paraId="77CB8010"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CHAPOUTOT Johann, </w:t>
      </w:r>
      <w:r w:rsidRPr="007223DB">
        <w:rPr>
          <w:rFonts w:ascii="Cambria" w:eastAsiaTheme="minorHAnsi" w:hAnsi="Cambria" w:cs="Times New Roman"/>
          <w:b w:val="0"/>
          <w:i/>
          <w:iCs/>
          <w:color w:val="000000"/>
          <w:kern w:val="0"/>
          <w:sz w:val="22"/>
          <w:lang w:eastAsia="en-US"/>
        </w:rPr>
        <w:t>Histoire de l’Allemagne : 1806 à nos jours</w:t>
      </w:r>
      <w:r w:rsidRPr="007223DB">
        <w:rPr>
          <w:rFonts w:ascii="Cambria" w:eastAsiaTheme="minorHAnsi" w:hAnsi="Cambria" w:cs="Times New Roman"/>
          <w:b w:val="0"/>
          <w:color w:val="000000"/>
          <w:kern w:val="0"/>
          <w:sz w:val="22"/>
          <w:lang w:eastAsia="en-US"/>
        </w:rPr>
        <w:t>, Paris, PUF, 2014.</w:t>
      </w:r>
    </w:p>
    <w:p w14:paraId="54FCE15E"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CHASSAIGNE Philippe, </w:t>
      </w:r>
      <w:r w:rsidRPr="007223DB">
        <w:rPr>
          <w:rFonts w:ascii="Cambria" w:eastAsiaTheme="minorHAnsi" w:hAnsi="Cambria" w:cs="Times New Roman"/>
          <w:b w:val="0"/>
          <w:i/>
          <w:iCs/>
          <w:color w:val="000000"/>
          <w:kern w:val="0"/>
          <w:sz w:val="22"/>
          <w:lang w:eastAsia="en-US"/>
        </w:rPr>
        <w:t>La Grande-Bretagne et le monde de 1915 à nos jours</w:t>
      </w:r>
      <w:r w:rsidRPr="007223DB">
        <w:rPr>
          <w:rFonts w:ascii="Cambria" w:eastAsiaTheme="minorHAnsi" w:hAnsi="Cambria" w:cs="Times New Roman"/>
          <w:b w:val="0"/>
          <w:color w:val="000000"/>
          <w:kern w:val="0"/>
          <w:sz w:val="22"/>
          <w:lang w:eastAsia="en-US"/>
        </w:rPr>
        <w:t>, Paris, Armand Colin, 2009.</w:t>
      </w:r>
    </w:p>
    <w:p w14:paraId="045EC139"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LÉVY-LEBOYER Maurice et BOURGUIGNON François, </w:t>
      </w:r>
      <w:r w:rsidRPr="007223DB">
        <w:rPr>
          <w:rFonts w:ascii="Cambria" w:eastAsiaTheme="minorHAnsi" w:hAnsi="Cambria" w:cs="Times New Roman"/>
          <w:b w:val="0"/>
          <w:i/>
          <w:iCs/>
          <w:color w:val="000000"/>
          <w:kern w:val="0"/>
          <w:sz w:val="22"/>
          <w:lang w:eastAsia="en-US"/>
        </w:rPr>
        <w:t>L’économie française au XIXe siècle : Analyse macroéconomique</w:t>
      </w:r>
      <w:r w:rsidRPr="007223DB">
        <w:rPr>
          <w:rFonts w:ascii="Cambria" w:eastAsiaTheme="minorHAnsi" w:hAnsi="Cambria" w:cs="Times New Roman"/>
          <w:b w:val="0"/>
          <w:color w:val="000000"/>
          <w:kern w:val="0"/>
          <w:sz w:val="22"/>
          <w:lang w:eastAsia="en-US"/>
        </w:rPr>
        <w:t>, Economica, 1985.</w:t>
      </w:r>
    </w:p>
    <w:p w14:paraId="422754AA"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MOUGEL François-Charles, </w:t>
      </w:r>
      <w:r w:rsidRPr="007223DB">
        <w:rPr>
          <w:rFonts w:ascii="Cambria" w:eastAsiaTheme="minorHAnsi" w:hAnsi="Cambria" w:cs="Times New Roman"/>
          <w:b w:val="0"/>
          <w:i/>
          <w:iCs/>
          <w:color w:val="000000"/>
          <w:kern w:val="0"/>
          <w:sz w:val="22"/>
          <w:lang w:eastAsia="en-US"/>
        </w:rPr>
        <w:t>Histoire du Royaume-Uni de 1900 à nos jours</w:t>
      </w:r>
      <w:r w:rsidRPr="007223DB">
        <w:rPr>
          <w:rFonts w:ascii="Cambria" w:eastAsiaTheme="minorHAnsi" w:hAnsi="Cambria" w:cs="Times New Roman"/>
          <w:b w:val="0"/>
          <w:color w:val="000000"/>
          <w:kern w:val="0"/>
          <w:sz w:val="22"/>
          <w:lang w:eastAsia="en-US"/>
        </w:rPr>
        <w:t>, Paris, Perrin, 2014.</w:t>
      </w:r>
    </w:p>
    <w:p w14:paraId="20BBA5C9" w14:textId="79E7D6FF" w:rsidR="00885101" w:rsidRPr="007223DB" w:rsidRDefault="00885101" w:rsidP="00774B39">
      <w:pPr>
        <w:spacing w:after="200" w:line="240" w:lineRule="auto"/>
        <w:jc w:val="both"/>
        <w:rPr>
          <w:rFonts w:ascii="Cambria" w:hAnsi="Cambria" w:cs="Times New Roman"/>
          <w:b w:val="0"/>
          <w:sz w:val="22"/>
        </w:rPr>
      </w:pPr>
    </w:p>
    <w:p w14:paraId="2D728021" w14:textId="77777777" w:rsidR="00885101" w:rsidRPr="007223DB" w:rsidRDefault="00885101" w:rsidP="00774B39">
      <w:pPr>
        <w:spacing w:after="0" w:line="276" w:lineRule="auto"/>
        <w:contextualSpacing/>
        <w:jc w:val="both"/>
        <w:rPr>
          <w:rFonts w:ascii="Cambria" w:hAnsi="Cambria" w:cs="Times New Roman"/>
          <w:b w:val="0"/>
          <w:sz w:val="22"/>
        </w:rPr>
      </w:pPr>
    </w:p>
    <w:p w14:paraId="472CAF3D" w14:textId="77777777" w:rsidR="00885101" w:rsidRPr="007223DB" w:rsidRDefault="00885101" w:rsidP="00774B39">
      <w:pPr>
        <w:spacing w:after="0" w:line="276" w:lineRule="auto"/>
        <w:contextualSpacing/>
        <w:jc w:val="both"/>
        <w:rPr>
          <w:rFonts w:ascii="Cambria" w:hAnsi="Cambria" w:cs="Times New Roman"/>
          <w:b w:val="0"/>
          <w:sz w:val="22"/>
        </w:rPr>
      </w:pPr>
    </w:p>
    <w:p w14:paraId="24D2EC83" w14:textId="77777777" w:rsidR="00885101" w:rsidRPr="007223DB" w:rsidRDefault="00885101" w:rsidP="00774B39">
      <w:pPr>
        <w:spacing w:after="0" w:line="276" w:lineRule="auto"/>
        <w:contextualSpacing/>
        <w:jc w:val="both"/>
        <w:rPr>
          <w:rFonts w:ascii="Cambria" w:hAnsi="Cambria" w:cs="Times New Roman"/>
          <w:b w:val="0"/>
          <w:sz w:val="22"/>
        </w:rPr>
      </w:pPr>
    </w:p>
    <w:p w14:paraId="7B098AE7" w14:textId="77777777" w:rsidR="00885101" w:rsidRPr="007223DB" w:rsidRDefault="00885101" w:rsidP="00774B39">
      <w:pPr>
        <w:spacing w:after="0" w:line="276" w:lineRule="auto"/>
        <w:contextualSpacing/>
        <w:jc w:val="both"/>
        <w:rPr>
          <w:rFonts w:ascii="Cambria" w:hAnsi="Cambria" w:cs="Times New Roman"/>
          <w:b w:val="0"/>
          <w:sz w:val="22"/>
        </w:rPr>
      </w:pPr>
    </w:p>
    <w:p w14:paraId="250F3B04" w14:textId="77777777" w:rsidR="00885101" w:rsidRPr="007223DB" w:rsidRDefault="00885101" w:rsidP="00774B39">
      <w:pPr>
        <w:spacing w:after="0" w:line="276" w:lineRule="auto"/>
        <w:contextualSpacing/>
        <w:jc w:val="both"/>
        <w:rPr>
          <w:rFonts w:ascii="Cambria" w:hAnsi="Cambria" w:cs="Times New Roman"/>
          <w:b w:val="0"/>
          <w:sz w:val="22"/>
        </w:rPr>
      </w:pPr>
    </w:p>
    <w:p w14:paraId="4A54CBA2" w14:textId="77777777" w:rsidR="00885101" w:rsidRPr="007223DB" w:rsidRDefault="00885101" w:rsidP="00774B39">
      <w:pPr>
        <w:spacing w:after="0" w:line="276" w:lineRule="auto"/>
        <w:contextualSpacing/>
        <w:jc w:val="both"/>
        <w:rPr>
          <w:rFonts w:ascii="Cambria" w:hAnsi="Cambria" w:cs="Times New Roman"/>
          <w:b w:val="0"/>
          <w:sz w:val="22"/>
        </w:rPr>
      </w:pPr>
    </w:p>
    <w:p w14:paraId="673DAACE" w14:textId="77777777" w:rsidR="00885101" w:rsidRPr="007223DB" w:rsidRDefault="00885101" w:rsidP="00774B39">
      <w:pPr>
        <w:spacing w:after="0" w:line="276" w:lineRule="auto"/>
        <w:contextualSpacing/>
        <w:jc w:val="both"/>
        <w:rPr>
          <w:rFonts w:ascii="Cambria" w:hAnsi="Cambria" w:cs="Times New Roman"/>
          <w:b w:val="0"/>
          <w:sz w:val="22"/>
        </w:rPr>
      </w:pPr>
    </w:p>
    <w:p w14:paraId="667E0B67" w14:textId="77777777" w:rsidR="00885101" w:rsidRPr="007223DB" w:rsidRDefault="00885101" w:rsidP="00774B39">
      <w:pPr>
        <w:spacing w:after="0" w:line="276" w:lineRule="auto"/>
        <w:contextualSpacing/>
        <w:jc w:val="both"/>
        <w:rPr>
          <w:rFonts w:ascii="Cambria" w:hAnsi="Cambria" w:cs="Times New Roman"/>
          <w:b w:val="0"/>
          <w:sz w:val="22"/>
        </w:rPr>
      </w:pPr>
    </w:p>
    <w:p w14:paraId="6431B32C" w14:textId="77777777" w:rsidR="00885101" w:rsidRPr="007223DB" w:rsidRDefault="00885101" w:rsidP="00774B39">
      <w:pPr>
        <w:spacing w:after="0" w:line="276" w:lineRule="auto"/>
        <w:contextualSpacing/>
        <w:jc w:val="both"/>
        <w:rPr>
          <w:rFonts w:ascii="Cambria" w:hAnsi="Cambria" w:cs="Times New Roman"/>
          <w:b w:val="0"/>
          <w:sz w:val="22"/>
        </w:rPr>
      </w:pPr>
    </w:p>
    <w:p w14:paraId="3ED59550" w14:textId="77777777" w:rsidR="00885101" w:rsidRPr="007223DB" w:rsidRDefault="00885101" w:rsidP="00774B39">
      <w:pPr>
        <w:spacing w:after="0" w:line="276" w:lineRule="auto"/>
        <w:contextualSpacing/>
        <w:jc w:val="both"/>
        <w:rPr>
          <w:rFonts w:ascii="Cambria" w:hAnsi="Cambria" w:cs="Times New Roman"/>
          <w:b w:val="0"/>
          <w:sz w:val="22"/>
        </w:rPr>
      </w:pPr>
    </w:p>
    <w:p w14:paraId="53CE7D87" w14:textId="77777777" w:rsidR="00885101" w:rsidRPr="007223DB" w:rsidRDefault="00885101" w:rsidP="00774B39">
      <w:pPr>
        <w:spacing w:after="0" w:line="276" w:lineRule="auto"/>
        <w:contextualSpacing/>
        <w:jc w:val="both"/>
        <w:rPr>
          <w:rFonts w:ascii="Cambria" w:hAnsi="Cambria" w:cs="Times New Roman"/>
          <w:b w:val="0"/>
          <w:sz w:val="22"/>
        </w:rPr>
      </w:pPr>
    </w:p>
    <w:p w14:paraId="62602F97" w14:textId="77777777" w:rsidR="00885101" w:rsidRPr="007223DB" w:rsidRDefault="00885101" w:rsidP="00774B39">
      <w:pPr>
        <w:spacing w:after="0" w:line="276" w:lineRule="auto"/>
        <w:contextualSpacing/>
        <w:jc w:val="both"/>
        <w:rPr>
          <w:rFonts w:ascii="Cambria" w:hAnsi="Cambria" w:cs="Times New Roman"/>
          <w:b w:val="0"/>
          <w:sz w:val="22"/>
        </w:rPr>
      </w:pPr>
    </w:p>
    <w:p w14:paraId="0E727F6A" w14:textId="77777777" w:rsidR="00885101" w:rsidRPr="007223DB" w:rsidRDefault="00885101" w:rsidP="00774B39">
      <w:pPr>
        <w:spacing w:after="0" w:line="276" w:lineRule="auto"/>
        <w:contextualSpacing/>
        <w:jc w:val="both"/>
        <w:rPr>
          <w:rFonts w:ascii="Cambria" w:hAnsi="Cambria" w:cs="Times New Roman"/>
          <w:b w:val="0"/>
          <w:sz w:val="22"/>
        </w:rPr>
      </w:pPr>
    </w:p>
    <w:p w14:paraId="54050596" w14:textId="77777777" w:rsidR="00885101" w:rsidRPr="007223DB" w:rsidRDefault="00885101" w:rsidP="00774B39">
      <w:pPr>
        <w:spacing w:after="0" w:line="276" w:lineRule="auto"/>
        <w:contextualSpacing/>
        <w:jc w:val="both"/>
        <w:rPr>
          <w:rFonts w:ascii="Cambria" w:hAnsi="Cambria" w:cs="Times New Roman"/>
          <w:b w:val="0"/>
          <w:sz w:val="22"/>
        </w:rPr>
      </w:pPr>
    </w:p>
    <w:p w14:paraId="20C6347D" w14:textId="77777777" w:rsidR="00885101" w:rsidRPr="007223DB" w:rsidRDefault="00885101" w:rsidP="00774B39">
      <w:pPr>
        <w:spacing w:after="0" w:line="276" w:lineRule="auto"/>
        <w:contextualSpacing/>
        <w:jc w:val="both"/>
        <w:rPr>
          <w:rFonts w:ascii="Cambria" w:hAnsi="Cambria" w:cs="Times New Roman"/>
          <w:b w:val="0"/>
          <w:sz w:val="22"/>
        </w:rPr>
      </w:pPr>
    </w:p>
    <w:p w14:paraId="7D2FB1C7" w14:textId="77777777" w:rsidR="00885101" w:rsidRPr="007223DB" w:rsidRDefault="00885101" w:rsidP="00774B39">
      <w:pPr>
        <w:spacing w:after="0" w:line="276" w:lineRule="auto"/>
        <w:contextualSpacing/>
        <w:jc w:val="both"/>
        <w:rPr>
          <w:rFonts w:ascii="Cambria" w:hAnsi="Cambria" w:cs="Times New Roman"/>
          <w:b w:val="0"/>
          <w:sz w:val="22"/>
        </w:rPr>
      </w:pPr>
    </w:p>
    <w:p w14:paraId="645AD87C" w14:textId="77777777" w:rsidR="00885101" w:rsidRPr="007223DB" w:rsidRDefault="00885101" w:rsidP="00774B39">
      <w:pPr>
        <w:spacing w:after="0" w:line="276" w:lineRule="auto"/>
        <w:contextualSpacing/>
        <w:jc w:val="both"/>
        <w:rPr>
          <w:rFonts w:ascii="Cambria" w:hAnsi="Cambria" w:cs="Times New Roman"/>
          <w:b w:val="0"/>
          <w:sz w:val="22"/>
        </w:rPr>
      </w:pPr>
    </w:p>
    <w:p w14:paraId="27B321DE" w14:textId="77777777" w:rsidR="00885101" w:rsidRPr="007223DB" w:rsidRDefault="00885101" w:rsidP="00774B39">
      <w:pPr>
        <w:spacing w:after="0" w:line="276" w:lineRule="auto"/>
        <w:contextualSpacing/>
        <w:jc w:val="both"/>
        <w:rPr>
          <w:rFonts w:ascii="Cambria" w:hAnsi="Cambria" w:cs="Times New Roman"/>
          <w:b w:val="0"/>
          <w:sz w:val="22"/>
        </w:rPr>
      </w:pPr>
    </w:p>
    <w:p w14:paraId="5A961BC4" w14:textId="77777777" w:rsidR="00885101" w:rsidRPr="007223DB" w:rsidRDefault="00885101" w:rsidP="00774B39">
      <w:pPr>
        <w:spacing w:after="0" w:line="276" w:lineRule="auto"/>
        <w:contextualSpacing/>
        <w:jc w:val="both"/>
        <w:rPr>
          <w:rFonts w:ascii="Cambria" w:hAnsi="Cambria" w:cs="Times New Roman"/>
          <w:b w:val="0"/>
          <w:sz w:val="22"/>
        </w:rPr>
      </w:pPr>
    </w:p>
    <w:p w14:paraId="5668AB5D" w14:textId="77777777" w:rsidR="00885101" w:rsidRPr="007223DB" w:rsidRDefault="00885101" w:rsidP="00774B39">
      <w:pPr>
        <w:spacing w:after="0" w:line="276" w:lineRule="auto"/>
        <w:contextualSpacing/>
        <w:jc w:val="both"/>
        <w:rPr>
          <w:rFonts w:ascii="Cambria" w:hAnsi="Cambria" w:cs="Times New Roman"/>
          <w:b w:val="0"/>
          <w:sz w:val="22"/>
        </w:rPr>
      </w:pPr>
    </w:p>
    <w:p w14:paraId="21D82BA7" w14:textId="77777777" w:rsidR="00885101" w:rsidRPr="007223DB" w:rsidRDefault="00885101" w:rsidP="00774B39">
      <w:pPr>
        <w:spacing w:after="0" w:line="276" w:lineRule="auto"/>
        <w:contextualSpacing/>
        <w:jc w:val="both"/>
        <w:rPr>
          <w:rFonts w:ascii="Cambria" w:hAnsi="Cambria" w:cs="Times New Roman"/>
          <w:b w:val="0"/>
          <w:sz w:val="22"/>
        </w:rPr>
      </w:pPr>
    </w:p>
    <w:p w14:paraId="52208380" w14:textId="77777777" w:rsidR="00885101" w:rsidRPr="007223DB" w:rsidRDefault="00885101" w:rsidP="00774B39">
      <w:pPr>
        <w:spacing w:after="0" w:line="276" w:lineRule="auto"/>
        <w:contextualSpacing/>
        <w:jc w:val="both"/>
        <w:rPr>
          <w:rFonts w:ascii="Cambria" w:hAnsi="Cambria" w:cs="Times New Roman"/>
          <w:b w:val="0"/>
          <w:sz w:val="22"/>
        </w:rPr>
      </w:pPr>
    </w:p>
    <w:p w14:paraId="6F50281A" w14:textId="77777777" w:rsidR="00885101" w:rsidRPr="007223DB" w:rsidRDefault="00885101" w:rsidP="00774B39">
      <w:pPr>
        <w:spacing w:after="0" w:line="276" w:lineRule="auto"/>
        <w:contextualSpacing/>
        <w:jc w:val="both"/>
        <w:rPr>
          <w:rFonts w:ascii="Cambria" w:hAnsi="Cambria" w:cs="Times New Roman"/>
          <w:b w:val="0"/>
          <w:sz w:val="22"/>
        </w:rPr>
      </w:pPr>
    </w:p>
    <w:p w14:paraId="5E9E80F6" w14:textId="77777777" w:rsidR="00885101" w:rsidRPr="007223DB" w:rsidRDefault="00885101" w:rsidP="00774B39">
      <w:pPr>
        <w:spacing w:after="0" w:line="276" w:lineRule="auto"/>
        <w:contextualSpacing/>
        <w:jc w:val="both"/>
        <w:rPr>
          <w:rFonts w:ascii="Cambria" w:hAnsi="Cambria" w:cs="Times New Roman"/>
          <w:b w:val="0"/>
          <w:sz w:val="22"/>
        </w:rPr>
      </w:pPr>
    </w:p>
    <w:p w14:paraId="30CFC96C" w14:textId="77777777" w:rsidR="00885101" w:rsidRPr="007223DB" w:rsidRDefault="00885101" w:rsidP="00774B39">
      <w:pPr>
        <w:spacing w:after="0" w:line="276" w:lineRule="auto"/>
        <w:contextualSpacing/>
        <w:jc w:val="both"/>
        <w:rPr>
          <w:rFonts w:ascii="Cambria" w:hAnsi="Cambria" w:cs="Times New Roman"/>
          <w:b w:val="0"/>
          <w:sz w:val="22"/>
        </w:rPr>
      </w:pPr>
    </w:p>
    <w:p w14:paraId="71E400F5" w14:textId="77777777" w:rsidR="00885101" w:rsidRPr="007223DB" w:rsidRDefault="00885101" w:rsidP="00774B39">
      <w:pPr>
        <w:spacing w:after="0" w:line="276" w:lineRule="auto"/>
        <w:contextualSpacing/>
        <w:jc w:val="both"/>
        <w:rPr>
          <w:rFonts w:ascii="Cambria" w:hAnsi="Cambria" w:cs="Times New Roman"/>
          <w:b w:val="0"/>
          <w:sz w:val="22"/>
        </w:rPr>
      </w:pPr>
    </w:p>
    <w:p w14:paraId="1E0D1586" w14:textId="77777777" w:rsidR="00885101" w:rsidRPr="007223DB" w:rsidRDefault="00885101" w:rsidP="00774B39">
      <w:pPr>
        <w:spacing w:after="0" w:line="276" w:lineRule="auto"/>
        <w:contextualSpacing/>
        <w:jc w:val="both"/>
        <w:rPr>
          <w:rFonts w:ascii="Cambria" w:hAnsi="Cambria" w:cs="Times New Roman"/>
          <w:b w:val="0"/>
          <w:sz w:val="22"/>
        </w:rPr>
      </w:pPr>
    </w:p>
    <w:p w14:paraId="3F7A94D1" w14:textId="77777777" w:rsidR="00885101" w:rsidRPr="007223DB" w:rsidRDefault="00885101" w:rsidP="00774B39">
      <w:pPr>
        <w:spacing w:after="0" w:line="276" w:lineRule="auto"/>
        <w:contextualSpacing/>
        <w:jc w:val="both"/>
        <w:rPr>
          <w:rFonts w:ascii="Cambria" w:hAnsi="Cambria" w:cs="Times New Roman"/>
          <w:b w:val="0"/>
          <w:sz w:val="22"/>
        </w:rPr>
      </w:pPr>
    </w:p>
    <w:p w14:paraId="493159DC" w14:textId="77777777" w:rsidR="00885101" w:rsidRPr="007223DB" w:rsidRDefault="00885101" w:rsidP="00774B39">
      <w:pPr>
        <w:spacing w:after="0" w:line="276" w:lineRule="auto"/>
        <w:contextualSpacing/>
        <w:jc w:val="both"/>
        <w:rPr>
          <w:rFonts w:ascii="Cambria" w:hAnsi="Cambria" w:cs="Times New Roman"/>
          <w:b w:val="0"/>
          <w:sz w:val="22"/>
        </w:rPr>
      </w:pPr>
    </w:p>
    <w:p w14:paraId="16B8C7F6" w14:textId="77777777" w:rsidR="00885101" w:rsidRPr="007223DB" w:rsidRDefault="00885101" w:rsidP="00774B39">
      <w:pPr>
        <w:spacing w:after="0" w:line="276" w:lineRule="auto"/>
        <w:contextualSpacing/>
        <w:jc w:val="both"/>
        <w:rPr>
          <w:rFonts w:ascii="Cambria" w:hAnsi="Cambria" w:cs="Times New Roman"/>
          <w:b w:val="0"/>
          <w:sz w:val="22"/>
        </w:rPr>
      </w:pPr>
    </w:p>
    <w:p w14:paraId="13EC6F5E" w14:textId="77777777" w:rsidR="00885101" w:rsidRPr="007223DB" w:rsidRDefault="00885101" w:rsidP="00774B39">
      <w:pPr>
        <w:spacing w:after="0" w:line="276" w:lineRule="auto"/>
        <w:contextualSpacing/>
        <w:jc w:val="both"/>
        <w:rPr>
          <w:rFonts w:ascii="Cambria" w:hAnsi="Cambria" w:cs="Times New Roman"/>
          <w:b w:val="0"/>
          <w:sz w:val="22"/>
        </w:rPr>
      </w:pPr>
    </w:p>
    <w:p w14:paraId="709F7F8E" w14:textId="77777777" w:rsidR="00885101" w:rsidRPr="007223DB" w:rsidRDefault="00885101" w:rsidP="00774B39">
      <w:pPr>
        <w:spacing w:after="0" w:line="276" w:lineRule="auto"/>
        <w:contextualSpacing/>
        <w:jc w:val="both"/>
        <w:rPr>
          <w:rFonts w:ascii="Cambria" w:hAnsi="Cambria" w:cs="Times New Roman"/>
          <w:b w:val="0"/>
          <w:sz w:val="22"/>
        </w:rPr>
      </w:pPr>
    </w:p>
    <w:p w14:paraId="78EABE5F" w14:textId="77777777" w:rsidR="00885101" w:rsidRPr="007223DB" w:rsidRDefault="00885101" w:rsidP="00774B39">
      <w:pPr>
        <w:spacing w:after="0" w:line="276" w:lineRule="auto"/>
        <w:contextualSpacing/>
        <w:jc w:val="both"/>
        <w:rPr>
          <w:rFonts w:ascii="Cambria" w:hAnsi="Cambria" w:cs="Times New Roman"/>
          <w:b w:val="0"/>
          <w:sz w:val="22"/>
        </w:rPr>
      </w:pPr>
    </w:p>
    <w:p w14:paraId="00285132" w14:textId="77777777" w:rsidR="00885101" w:rsidRPr="007223DB" w:rsidRDefault="00885101" w:rsidP="00774B39">
      <w:pPr>
        <w:spacing w:after="0" w:line="276" w:lineRule="auto"/>
        <w:contextualSpacing/>
        <w:jc w:val="both"/>
        <w:rPr>
          <w:rFonts w:ascii="Cambria" w:hAnsi="Cambria" w:cs="Times New Roman"/>
          <w:b w:val="0"/>
          <w:sz w:val="22"/>
        </w:rPr>
      </w:pPr>
    </w:p>
    <w:p w14:paraId="4002901C" w14:textId="77777777" w:rsidR="00885101" w:rsidRPr="007223DB" w:rsidRDefault="00885101" w:rsidP="00774B39">
      <w:pPr>
        <w:spacing w:after="0" w:line="276" w:lineRule="auto"/>
        <w:contextualSpacing/>
        <w:jc w:val="both"/>
        <w:rPr>
          <w:rFonts w:ascii="Cambria" w:hAnsi="Cambria" w:cs="Times New Roman"/>
          <w:b w:val="0"/>
          <w:sz w:val="22"/>
        </w:rPr>
      </w:pPr>
    </w:p>
    <w:p w14:paraId="0E3A1230" w14:textId="77777777" w:rsidR="00885101" w:rsidRPr="007223DB" w:rsidRDefault="00885101" w:rsidP="00605C4A">
      <w:pPr>
        <w:spacing w:after="0" w:line="276" w:lineRule="auto"/>
        <w:contextualSpacing/>
        <w:rPr>
          <w:rFonts w:ascii="Cambria" w:hAnsi="Cambria" w:cs="Times New Roman"/>
          <w:b w:val="0"/>
          <w:sz w:val="22"/>
        </w:rPr>
      </w:pPr>
    </w:p>
    <w:p w14:paraId="5F1DED6D" w14:textId="77777777" w:rsidR="00885101" w:rsidRPr="007223DB" w:rsidRDefault="00885101" w:rsidP="00605C4A">
      <w:pPr>
        <w:spacing w:after="0" w:line="276" w:lineRule="auto"/>
        <w:contextualSpacing/>
        <w:rPr>
          <w:rFonts w:ascii="Cambria" w:hAnsi="Cambria" w:cs="Times New Roman"/>
          <w:b w:val="0"/>
          <w:sz w:val="22"/>
        </w:rPr>
      </w:pPr>
    </w:p>
    <w:p w14:paraId="66DB77CF" w14:textId="77777777" w:rsidR="00885101" w:rsidRPr="007223DB" w:rsidRDefault="00885101" w:rsidP="00605C4A">
      <w:pPr>
        <w:spacing w:after="0" w:line="276" w:lineRule="auto"/>
        <w:contextualSpacing/>
        <w:rPr>
          <w:rFonts w:ascii="Cambria" w:hAnsi="Cambria" w:cs="Times New Roman"/>
          <w:b w:val="0"/>
          <w:sz w:val="22"/>
        </w:rPr>
      </w:pPr>
    </w:p>
    <w:p w14:paraId="12FB3880" w14:textId="77777777" w:rsidR="00885101" w:rsidRPr="007223DB" w:rsidRDefault="00885101" w:rsidP="00605C4A">
      <w:pPr>
        <w:spacing w:after="0" w:line="276" w:lineRule="auto"/>
        <w:contextualSpacing/>
        <w:rPr>
          <w:rFonts w:ascii="Cambria" w:hAnsi="Cambria" w:cs="Times New Roman"/>
          <w:b w:val="0"/>
          <w:sz w:val="22"/>
        </w:rPr>
      </w:pPr>
    </w:p>
    <w:p w14:paraId="5DA504FB" w14:textId="77777777" w:rsidR="00CB729D" w:rsidRPr="007223DB" w:rsidRDefault="00CB729D" w:rsidP="00245DAC">
      <w:pPr>
        <w:spacing w:after="0" w:line="276" w:lineRule="auto"/>
        <w:contextualSpacing/>
        <w:rPr>
          <w:rFonts w:ascii="Cambria" w:hAnsi="Cambria"/>
          <w:b w:val="0"/>
          <w:sz w:val="22"/>
        </w:rPr>
      </w:pPr>
    </w:p>
    <w:p w14:paraId="1EBCF3B7" w14:textId="77777777" w:rsidR="00D3701C" w:rsidRPr="007223DB" w:rsidRDefault="00D3701C" w:rsidP="00AE3BC7">
      <w:pPr>
        <w:spacing w:after="0" w:line="276" w:lineRule="auto"/>
        <w:contextualSpacing/>
        <w:jc w:val="both"/>
        <w:rPr>
          <w:rFonts w:ascii="Cambria" w:hAnsi="Cambria"/>
          <w:b w:val="0"/>
          <w:sz w:val="22"/>
        </w:rPr>
      </w:pPr>
    </w:p>
    <w:p w14:paraId="51DE87D9" w14:textId="77777777" w:rsidR="006B242D" w:rsidRPr="007223DB" w:rsidRDefault="00CF77D6" w:rsidP="006B24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J304231</w:t>
      </w:r>
      <w:r w:rsidR="00CD2379" w:rsidRPr="007223DB">
        <w:rPr>
          <w:rFonts w:ascii="Cambria" w:hAnsi="Cambria"/>
          <w:i/>
          <w:color w:val="C00000"/>
          <w:sz w:val="28"/>
          <w:szCs w:val="28"/>
          <w:lang w:eastAsia="fr-FR"/>
        </w:rPr>
        <w:t>9</w:t>
      </w:r>
      <w:r w:rsidRPr="007223DB">
        <w:rPr>
          <w:rFonts w:ascii="Cambria" w:hAnsi="Cambria"/>
          <w:i/>
          <w:color w:val="C00000"/>
          <w:sz w:val="28"/>
          <w:szCs w:val="28"/>
          <w:lang w:eastAsia="fr-FR"/>
        </w:rPr>
        <w:t>/J304241</w:t>
      </w:r>
      <w:r w:rsidR="00CD2379" w:rsidRPr="007223DB">
        <w:rPr>
          <w:rFonts w:ascii="Cambria" w:hAnsi="Cambria"/>
          <w:i/>
          <w:color w:val="C00000"/>
          <w:sz w:val="28"/>
          <w:szCs w:val="28"/>
          <w:lang w:eastAsia="fr-FR"/>
        </w:rPr>
        <w:t xml:space="preserve">9 </w:t>
      </w:r>
      <w:r w:rsidRPr="007223DB">
        <w:rPr>
          <w:rFonts w:ascii="Cambria" w:hAnsi="Cambria"/>
          <w:i/>
          <w:color w:val="C00000"/>
          <w:sz w:val="28"/>
          <w:szCs w:val="28"/>
          <w:lang w:eastAsia="fr-FR"/>
        </w:rPr>
        <w:t xml:space="preserve">: </w:t>
      </w:r>
      <w:r w:rsidR="006B242D" w:rsidRPr="007223DB">
        <w:rPr>
          <w:rFonts w:ascii="Cambria" w:hAnsi="Cambria"/>
          <w:i/>
          <w:color w:val="C00000"/>
          <w:sz w:val="28"/>
          <w:szCs w:val="28"/>
          <w:lang w:eastAsia="fr-FR"/>
        </w:rPr>
        <w:t>Histoire de la Russie contemporaine</w:t>
      </w:r>
    </w:p>
    <w:p w14:paraId="610E7DE6" w14:textId="77777777" w:rsidR="006B242D" w:rsidRPr="007223DB" w:rsidRDefault="006B242D" w:rsidP="006B24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Times New Roman" w:hAnsi="Cambria"/>
          <w:b w:val="0"/>
          <w:kern w:val="0"/>
          <w:szCs w:val="20"/>
          <w:lang w:eastAsia="fr-FR"/>
        </w:rPr>
      </w:pPr>
    </w:p>
    <w:p w14:paraId="6C8D8DF3" w14:textId="77777777" w:rsidR="00CB26CC" w:rsidRDefault="00FC0880" w:rsidP="00BC1543">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val="de-DE" w:eastAsia="fr-FR"/>
          <w14:textOutline w14:w="0" w14:cap="flat" w14:cmpd="sng" w14:algn="ctr">
            <w14:noFill/>
            <w14:prstDash w14:val="solid"/>
            <w14:bevel/>
          </w14:textOutline>
        </w:rPr>
        <w:t>Fran</w:t>
      </w: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çois-Xavier Nérard</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(CM)</w:t>
      </w:r>
      <w:r w:rsidR="00BC1543"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w:t>
      </w:r>
      <w:r w:rsidR="00CB26CC">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Maria Markina (TD S1), </w:t>
      </w:r>
    </w:p>
    <w:p w14:paraId="559A07CE" w14:textId="05D64CE1" w:rsidR="00FC0880" w:rsidRPr="007223DB" w:rsidRDefault="00BC1543" w:rsidP="00BC1543">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w:t>
      </w:r>
      <w:r w:rsidR="00FC0880"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François-Pierre </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Melon (TD</w:t>
      </w:r>
      <w:r w:rsidR="00CB26CC">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S2</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w:t>
      </w:r>
    </w:p>
    <w:p w14:paraId="112A4C38"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Narrow" w:hAnsi="Cambria" w:cs="Arial Narrow"/>
          <w:bCs/>
          <w:color w:val="000000"/>
          <w:kern w:val="0"/>
          <w:sz w:val="22"/>
          <w:bdr w:val="nil"/>
          <w:lang w:eastAsia="fr-FR"/>
          <w14:textOutline w14:w="0" w14:cap="flat" w14:cmpd="sng" w14:algn="ctr">
            <w14:noFill/>
            <w14:prstDash w14:val="solid"/>
            <w14:bevel/>
          </w14:textOutline>
        </w:rPr>
      </w:pPr>
    </w:p>
    <w:p w14:paraId="1EBAC6C7" w14:textId="77777777" w:rsidR="00FC0880" w:rsidRPr="002C7092"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center"/>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Sujet du cours</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4" w:name="_Hlk202191260"/>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La terre et la liberté, histoire politique, culturelle et sociale des espaces ruraux russes et soviétiques   </w:t>
      </w:r>
      <w:bookmarkEnd w:id="34"/>
    </w:p>
    <w:p w14:paraId="7E68903D" w14:textId="77777777" w:rsidR="00FC0880" w:rsidRPr="002C7092"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center"/>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p>
    <w:p w14:paraId="0C726D19" w14:textId="77777777" w:rsidR="00FC0880" w:rsidRPr="002C7092" w:rsidRDefault="00FC0880" w:rsidP="0062496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val="pt-PT" w:eastAsia="fr-FR"/>
          <w14:textOutline w14:w="0" w14:cap="flat" w14:cmpd="sng" w14:algn="ctr">
            <w14:noFill/>
            <w14:prstDash w14:val="solid"/>
            <w14:bevel/>
          </w14:textOutline>
        </w:rPr>
        <w:t>Semestre</w:t>
      </w: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 1</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5" w:name="_Hlk202191298"/>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De la révolte de Pougatchev à la Première Guerre mondiale </w:t>
      </w:r>
      <w:bookmarkEnd w:id="35"/>
    </w:p>
    <w:p w14:paraId="1CD01227"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3C96AB"/>
          <w:kern w:val="0"/>
          <w:sz w:val="22"/>
          <w:bdr w:val="nil"/>
          <w:lang w:eastAsia="fr-FR"/>
          <w14:textOutline w14:w="0" w14:cap="flat" w14:cmpd="sng" w14:algn="ctr">
            <w14:noFill/>
            <w14:prstDash w14:val="solid"/>
            <w14:bevel/>
          </w14:textOutline>
        </w:rPr>
      </w:pPr>
    </w:p>
    <w:p w14:paraId="7555333D"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L’Empire des Romanov est, jusqu’à sa chute, un espace profondément rural. Ce sont près de neuf sujets de Nicolas II sur dix qui, en 1897, à l’occasion du premier recensement de la population, habitent dans les campagnes. C’est ce continent que nous allons explorer pendant ce semestre en étudiant les réalités d’une vie dominée, avant 1861, par le servage. Dans ce système qui s’est progressivement structuré depuis la fin du XVIe siècle, les nobles russes possèdent près de 10 millions d’hommes, au début de notre période. Si tous les paysans russes ne sont pas des serfs, le servage marque profondément la culture de l’Empire. Les révoltes ne sont pas rares et la revendication politique de la « terre et de la liberté » devient centrale, jusqu’à donner son nom au groupe de populistes qui assassinent Alexandre II en 1881. L’abolition du servage en 1861 marque une rupture dans l’histoire du pays, sans résoudre fondamentalement la question rurale. Nous suivrons donc les paysans de l’Empire dans leurs espoirs d’émancipation. Sur les traces des propriétaires terriens décrits par Gogol dans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les âmes mortes</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 ou de Firs de la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 xml:space="preserve">Cerisaie </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de Tchekhov, nous étudierons ce monde rural en transformations, des campagnes de la Russie centrale aux terres de Sibérie.</w:t>
      </w:r>
    </w:p>
    <w:p w14:paraId="609B9987"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p>
    <w:p w14:paraId="4C5DBF50"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Éléments de bibliographie</w:t>
      </w:r>
    </w:p>
    <w:p w14:paraId="43812FC9"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4E13160C"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François-Xavier Nérard, Marie-Pierre Rey,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Atlas historique de la Russie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3e édition, Autrement, 2024</w:t>
      </w:r>
    </w:p>
    <w:p w14:paraId="4D41B701" w14:textId="77777777" w:rsidR="00FC0880" w:rsidRPr="007223DB" w:rsidRDefault="00FC0880" w:rsidP="001A073D">
      <w:pPr>
        <w:numPr>
          <w:ilvl w:val="0"/>
          <w:numId w:val="15"/>
        </w:numPr>
        <w:pBdr>
          <w:top w:val="nil"/>
          <w:left w:val="nil"/>
          <w:bottom w:val="nil"/>
          <w:right w:val="nil"/>
          <w:between w:val="nil"/>
          <w:bar w:val="nil"/>
        </w:pBd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88" w:lineRule="auto"/>
        <w:ind w:right="232"/>
        <w:jc w:val="both"/>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Korine Amarcher, </w:t>
      </w:r>
      <w:r w:rsidRPr="007223DB">
        <w:rPr>
          <w:rFonts w:ascii="Cambria" w:eastAsia="Arial Unicode MS" w:hAnsi="Cambria" w:cs="Times New Roman"/>
          <w:b w:val="0"/>
          <w:i/>
          <w:iCs/>
          <w:color w:val="000000"/>
          <w:kern w:val="0"/>
          <w:sz w:val="22"/>
          <w:szCs w:val="24"/>
          <w:bdr w:val="nil"/>
          <w:lang w:eastAsia="fr-FR"/>
          <w14:textOutline w14:w="0" w14:cap="flat" w14:cmpd="sng" w14:algn="ctr">
            <w14:noFill/>
            <w14:prstDash w14:val="solid"/>
            <w14:bevel/>
          </w14:textOutline>
        </w:rPr>
        <w:t>La Russie 1589-1917 : révoltes et mouvements révolutionnaires</w:t>
      </w: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 Genève, coll. « Illico », 2011. </w:t>
      </w:r>
    </w:p>
    <w:p w14:paraId="6D1689BC" w14:textId="77777777" w:rsidR="00FC0880" w:rsidRPr="007223DB" w:rsidRDefault="00FC0880" w:rsidP="001A073D">
      <w:pPr>
        <w:numPr>
          <w:ilvl w:val="0"/>
          <w:numId w:val="15"/>
        </w:numPr>
        <w:pBdr>
          <w:top w:val="nil"/>
          <w:left w:val="nil"/>
          <w:bottom w:val="nil"/>
          <w:right w:val="nil"/>
          <w:between w:val="nil"/>
          <w:bar w:val="nil"/>
        </w:pBd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88" w:lineRule="auto"/>
        <w:ind w:right="232"/>
        <w:jc w:val="both"/>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Pierre Gonneau (et al.), </w:t>
      </w:r>
      <w:r w:rsidRPr="007223DB">
        <w:rPr>
          <w:rFonts w:ascii="Cambria" w:eastAsia="Arial Unicode MS" w:hAnsi="Cambria" w:cs="Times New Roman"/>
          <w:b w:val="0"/>
          <w:i/>
          <w:iCs/>
          <w:color w:val="000000"/>
          <w:kern w:val="0"/>
          <w:sz w:val="22"/>
          <w:szCs w:val="24"/>
          <w:bdr w:val="nil"/>
          <w:lang w:eastAsia="fr-FR"/>
          <w14:textOutline w14:w="0" w14:cap="flat" w14:cmpd="sng" w14:algn="ctr">
            <w14:noFill/>
            <w14:prstDash w14:val="solid"/>
            <w14:bevel/>
          </w14:textOutline>
        </w:rPr>
        <w:t>La Russie impériale. L’Empire des Tsars, des Russes et des Non-Russes (1689-1917)</w:t>
      </w: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 Paris, PUF, coll. « Nouvelle Clio », 2019 (particulièrement chap. 15).</w:t>
      </w:r>
    </w:p>
    <w:p w14:paraId="038F0AF5"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21A405BD" w14:textId="04FF7A9B" w:rsidR="00FC0880" w:rsidRPr="002C7092" w:rsidRDefault="00FC0880" w:rsidP="00A6511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Times New Roman" w:hAnsi="Cambria" w:cs="Times New Roman"/>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Semestre</w:t>
      </w:r>
      <w:r w:rsidR="00A6511B"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 xml:space="preserve"> </w:t>
      </w: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2</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6" w:name="_Hlk202191567"/>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Des révolutions de 1917 à la chute de l’URSS (1917-1991)</w:t>
      </w:r>
    </w:p>
    <w:bookmarkEnd w:id="36"/>
    <w:p w14:paraId="2C7CE7FF"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7030A0"/>
          <w:kern w:val="0"/>
          <w:sz w:val="22"/>
          <w:bdr w:val="nil"/>
          <w:lang w:eastAsia="fr-FR"/>
          <w14:textOutline w14:w="0" w14:cap="flat" w14:cmpd="sng" w14:algn="ctr">
            <w14:noFill/>
            <w14:prstDash w14:val="solid"/>
            <w14:bevel/>
          </w14:textOutline>
        </w:rPr>
      </w:pPr>
    </w:p>
    <w:p w14:paraId="4EDCEE4A"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Les révolutions de 1917 ont d’abord lieu à Petrograd, mais la dimension rurale n’est jamais loin, des émeutes de l’été 1917 au décret sur la terre que proclame Lénine quand il prend le pouvoir. La confrontation entre les Bolcheviks, essentiellement urbains, et le monde paysan, bien souvent hostile, débute dès la guerre civile. Les bataillons de ravitaillement font preuve d’une brutalité qui laisse des traces durables… Après l’apaisement, bref, de la nouvelle politique économique (NEP), la tragédie de la collectivisation, un déchainement de violence, de déportations et de famines, bouleverse le pays. Nous étudierons ces paysans en lutte, puis brisés, pendant le XXe siècle soviétique, dans toute la diversité des espaces de l’URSS. Nous explorerons les campagnes soviétiques de la Grande Guerre patriotique décrites par F. Abramov dans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Frères et sœurs</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 où les femmes jouent un rôle majeur, puis celles d’un exode rural de plus en plus marqué, puisque c’est au début des années 1960 que les ruraux deviennent minoritaires en URSS. Nous aborderons enfin les ambitions de Khrouchtchev, souvent moqué en homme du maïs, qui cherche à développer l’agriculture soviétique et les difficultés des campagnes à la fin de l’expérience soviétique.</w:t>
      </w:r>
    </w:p>
    <w:p w14:paraId="0CAE5FC2"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189C44E9"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Les passerelles entre les deux semestres seront nombreuses, mais rien n</w:t>
      </w:r>
      <w:r w:rsidRPr="007223DB">
        <w:rPr>
          <w:rFonts w:ascii="Cambria" w:eastAsia="Arial Unicode MS" w:hAnsi="Cambria" w:cs="Arial Unicode MS"/>
          <w:b w:val="0"/>
          <w:color w:val="000000"/>
          <w:kern w:val="0"/>
          <w:sz w:val="22"/>
          <w:bdr w:val="nil"/>
          <w:rtl/>
          <w:lang w:eastAsia="fr-FR"/>
          <w14:textOutline w14:w="0" w14:cap="flat" w14:cmpd="sng" w14:algn="ctr">
            <w14:noFill/>
            <w14:prstDash w14:val="solid"/>
            <w14:bevel/>
          </w14:textOutline>
        </w:rPr>
        <w:t>’</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empêche de suivre séparément chaque cours, conçu comme un ensemble autonome.</w:t>
      </w:r>
    </w:p>
    <w:p w14:paraId="7997A25A"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493C5D6B"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Éléments de bibliographie</w:t>
      </w:r>
    </w:p>
    <w:p w14:paraId="2BD89C20"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p>
    <w:p w14:paraId="2FEA51B1"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François-Xavier Nérard, Marie-Pierre Rey,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Atlas historique de la Russie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3e édition, Autrement, 2024</w:t>
      </w:r>
    </w:p>
    <w:p w14:paraId="4B4CB384"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Moshe Lewin,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Le siècle soviétique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Paris, Fayard : Monde diplomatique, 2003</w:t>
      </w:r>
    </w:p>
    <w:p w14:paraId="31F0EA14" w14:textId="177282D7" w:rsidR="002033C5" w:rsidRPr="007223DB" w:rsidRDefault="00FC0880" w:rsidP="00502E81">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Gilles Favarel-Garrigues &amp; Kathy Rousselet,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La Russie contemporaine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Paris, Fayard, 2010</w:t>
      </w:r>
    </w:p>
    <w:p w14:paraId="6EBC7CFA" w14:textId="77777777" w:rsidR="002033C5" w:rsidRPr="007223DB" w:rsidRDefault="002033C5" w:rsidP="00AE3BC7">
      <w:pPr>
        <w:spacing w:after="0" w:line="276" w:lineRule="auto"/>
        <w:contextualSpacing/>
        <w:jc w:val="both"/>
        <w:rPr>
          <w:rFonts w:ascii="Cambria" w:hAnsi="Cambria"/>
          <w:b w:val="0"/>
          <w:sz w:val="22"/>
        </w:rPr>
      </w:pPr>
    </w:p>
    <w:p w14:paraId="5C5EC734" w14:textId="77777777" w:rsidR="00484697" w:rsidRPr="007223DB" w:rsidRDefault="00484697" w:rsidP="00484697">
      <w:pPr>
        <w:spacing w:after="0" w:line="240" w:lineRule="auto"/>
        <w:jc w:val="center"/>
        <w:rPr>
          <w:rFonts w:ascii="Cambria" w:eastAsiaTheme="minorHAnsi" w:hAnsi="Cambria"/>
          <w:i/>
          <w:color w:val="C00000"/>
          <w:kern w:val="0"/>
          <w:sz w:val="28"/>
          <w:szCs w:val="28"/>
          <w:lang w:eastAsia="en-US"/>
        </w:rPr>
      </w:pPr>
      <w:r w:rsidRPr="007223DB">
        <w:rPr>
          <w:rFonts w:ascii="Cambria" w:hAnsi="Cambria"/>
          <w:i/>
          <w:color w:val="C00000"/>
          <w:sz w:val="28"/>
          <w:szCs w:val="28"/>
          <w:lang w:eastAsia="en-US"/>
        </w:rPr>
        <w:t>J304251</w:t>
      </w:r>
      <w:r w:rsidR="00DB209F" w:rsidRPr="007223DB">
        <w:rPr>
          <w:rFonts w:ascii="Cambria" w:hAnsi="Cambria"/>
          <w:i/>
          <w:color w:val="C00000"/>
          <w:sz w:val="28"/>
          <w:szCs w:val="28"/>
          <w:lang w:eastAsia="en-US"/>
        </w:rPr>
        <w:t>9</w:t>
      </w:r>
      <w:r w:rsidRPr="007223DB">
        <w:rPr>
          <w:rFonts w:ascii="Cambria" w:hAnsi="Cambria"/>
          <w:i/>
          <w:color w:val="C00000"/>
          <w:sz w:val="28"/>
          <w:szCs w:val="28"/>
          <w:lang w:eastAsia="en-US"/>
        </w:rPr>
        <w:t>/J304261</w:t>
      </w:r>
      <w:r w:rsidR="00A77DAD" w:rsidRPr="007223DB">
        <w:rPr>
          <w:rFonts w:ascii="Cambria" w:hAnsi="Cambria"/>
          <w:i/>
          <w:color w:val="C00000"/>
          <w:sz w:val="28"/>
          <w:szCs w:val="28"/>
          <w:lang w:eastAsia="en-US"/>
        </w:rPr>
        <w:t>9</w:t>
      </w:r>
      <w:r w:rsidRPr="007223DB">
        <w:rPr>
          <w:rFonts w:ascii="Cambria" w:hAnsi="Cambria"/>
          <w:i/>
          <w:color w:val="C00000"/>
          <w:sz w:val="28"/>
          <w:szCs w:val="28"/>
          <w:lang w:eastAsia="en-US"/>
        </w:rPr>
        <w:t xml:space="preserve"> : </w:t>
      </w:r>
      <w:r w:rsidRPr="007223DB">
        <w:rPr>
          <w:rFonts w:ascii="Cambria" w:eastAsiaTheme="minorHAnsi" w:hAnsi="Cambria"/>
          <w:i/>
          <w:color w:val="C00000"/>
          <w:kern w:val="0"/>
          <w:sz w:val="28"/>
          <w:szCs w:val="28"/>
          <w:lang w:eastAsia="en-US"/>
        </w:rPr>
        <w:t xml:space="preserve">Culture et imaginaires sociaux </w:t>
      </w:r>
    </w:p>
    <w:p w14:paraId="3B0CEC0F" w14:textId="77777777" w:rsidR="006D3E0A" w:rsidRPr="007223DB" w:rsidRDefault="006D3E0A" w:rsidP="00370DB5">
      <w:pPr>
        <w:spacing w:after="0" w:line="240" w:lineRule="auto"/>
        <w:jc w:val="center"/>
        <w:rPr>
          <w:rFonts w:ascii="Cambria" w:eastAsiaTheme="minorHAnsi" w:hAnsi="Cambria"/>
          <w:i/>
          <w:color w:val="C00000"/>
          <w:kern w:val="0"/>
          <w:sz w:val="28"/>
          <w:szCs w:val="28"/>
          <w:lang w:eastAsia="en-US"/>
        </w:rPr>
      </w:pPr>
      <w:r w:rsidRPr="007223DB">
        <w:rPr>
          <w:rFonts w:ascii="Cambria" w:eastAsiaTheme="minorHAnsi" w:hAnsi="Cambria"/>
          <w:i/>
          <w:color w:val="C00000"/>
          <w:kern w:val="0"/>
          <w:sz w:val="28"/>
          <w:szCs w:val="28"/>
          <w:lang w:eastAsia="en-US"/>
        </w:rPr>
        <w:t>XIX</w:t>
      </w:r>
      <w:r w:rsidRPr="007223DB">
        <w:rPr>
          <w:rFonts w:ascii="Cambria" w:eastAsiaTheme="minorHAnsi" w:hAnsi="Cambria"/>
          <w:i/>
          <w:color w:val="C00000"/>
          <w:kern w:val="0"/>
          <w:sz w:val="28"/>
          <w:szCs w:val="28"/>
          <w:vertAlign w:val="superscript"/>
          <w:lang w:eastAsia="en-US"/>
        </w:rPr>
        <w:t>e</w:t>
      </w:r>
      <w:r w:rsidRPr="007223DB">
        <w:rPr>
          <w:rFonts w:ascii="Cambria" w:eastAsiaTheme="minorHAnsi" w:hAnsi="Cambria"/>
          <w:i/>
          <w:color w:val="C00000"/>
          <w:kern w:val="0"/>
          <w:sz w:val="28"/>
          <w:szCs w:val="28"/>
          <w:lang w:eastAsia="en-US"/>
        </w:rPr>
        <w:t>-XX</w:t>
      </w:r>
      <w:r w:rsidRPr="007223DB">
        <w:rPr>
          <w:rFonts w:ascii="Cambria" w:eastAsiaTheme="minorHAnsi" w:hAnsi="Cambria"/>
          <w:i/>
          <w:color w:val="C00000"/>
          <w:kern w:val="0"/>
          <w:sz w:val="28"/>
          <w:szCs w:val="28"/>
          <w:vertAlign w:val="superscript"/>
          <w:lang w:eastAsia="en-US"/>
        </w:rPr>
        <w:t>e</w:t>
      </w:r>
      <w:r w:rsidRPr="007223DB">
        <w:rPr>
          <w:rFonts w:ascii="Cambria" w:eastAsiaTheme="minorHAnsi" w:hAnsi="Cambria"/>
          <w:i/>
          <w:color w:val="C00000"/>
          <w:kern w:val="0"/>
          <w:sz w:val="28"/>
          <w:szCs w:val="28"/>
          <w:lang w:eastAsia="en-US"/>
        </w:rPr>
        <w:t xml:space="preserve"> siècle</w:t>
      </w:r>
    </w:p>
    <w:p w14:paraId="79C8D0F0" w14:textId="77777777" w:rsidR="006D3E0A" w:rsidRPr="007223DB" w:rsidRDefault="006D3E0A" w:rsidP="006D3E0A">
      <w:pPr>
        <w:spacing w:after="0" w:line="240" w:lineRule="auto"/>
        <w:jc w:val="both"/>
        <w:rPr>
          <w:rFonts w:ascii="Cambria" w:eastAsiaTheme="minorHAnsi" w:hAnsi="Cambria" w:cs="Times New Roman"/>
          <w:kern w:val="0"/>
          <w:szCs w:val="24"/>
          <w:lang w:eastAsia="en-US"/>
        </w:rPr>
      </w:pPr>
    </w:p>
    <w:p w14:paraId="70F1C47E" w14:textId="5EDED3C0" w:rsidR="006D5037" w:rsidRPr="007223DB" w:rsidRDefault="006D5037" w:rsidP="006D5037">
      <w:pPr>
        <w:jc w:val="center"/>
        <w:rPr>
          <w:rFonts w:ascii="Cambria" w:eastAsia="Times New Roman" w:hAnsi="Cambria" w:cs="Times New Roman"/>
          <w:bCs/>
          <w:sz w:val="22"/>
          <w:lang w:eastAsia="fr-FR"/>
        </w:rPr>
      </w:pPr>
      <w:r w:rsidRPr="007223DB">
        <w:rPr>
          <w:rFonts w:ascii="Cambria" w:eastAsia="Times New Roman" w:hAnsi="Cambria" w:cs="Times New Roman"/>
          <w:bCs/>
          <w:sz w:val="22"/>
          <w:lang w:eastAsia="fr-FR"/>
        </w:rPr>
        <w:t>Anne-Emmanuelle Demartini (CM)</w:t>
      </w:r>
    </w:p>
    <w:p w14:paraId="060BFADB" w14:textId="77777777" w:rsidR="006D5037" w:rsidRPr="007223DB" w:rsidRDefault="006D5037" w:rsidP="006D5037">
      <w:pPr>
        <w:jc w:val="center"/>
        <w:rPr>
          <w:rFonts w:ascii="Cambria" w:eastAsia="Times New Roman" w:hAnsi="Cambria" w:cs="Times New Roman"/>
          <w:bCs/>
          <w:sz w:val="22"/>
          <w:lang w:eastAsia="fr-FR"/>
        </w:rPr>
      </w:pPr>
      <w:r w:rsidRPr="007223DB">
        <w:rPr>
          <w:rFonts w:ascii="Cambria" w:eastAsia="Times New Roman" w:hAnsi="Cambria" w:cs="Times New Roman"/>
          <w:bCs/>
          <w:sz w:val="22"/>
          <w:lang w:eastAsia="fr-FR"/>
        </w:rPr>
        <w:t>Alexandre Frondizi (TD S1), Romain Poncet (TD S2)</w:t>
      </w:r>
    </w:p>
    <w:p w14:paraId="14A35863" w14:textId="77777777" w:rsidR="006D5037" w:rsidRPr="002C7092" w:rsidRDefault="006D5037" w:rsidP="006D5037">
      <w:pPr>
        <w:spacing w:before="100" w:beforeAutospacing="1" w:after="100" w:afterAutospacing="1"/>
        <w:rPr>
          <w:rFonts w:ascii="Cambria" w:hAnsi="Cambria" w:cs="Times New Roman"/>
          <w:color w:val="B71E42" w:themeColor="accent1"/>
          <w:sz w:val="22"/>
        </w:rPr>
      </w:pPr>
      <w:r w:rsidRPr="002C7092">
        <w:rPr>
          <w:rFonts w:ascii="Cambria" w:eastAsia="Times New Roman" w:hAnsi="Cambria" w:cs="Times New Roman"/>
          <w:bCs/>
          <w:color w:val="B71E42" w:themeColor="accent1"/>
          <w:sz w:val="22"/>
          <w:u w:val="single"/>
          <w:lang w:eastAsia="fr-FR"/>
        </w:rPr>
        <w:t>Sujet du cours</w:t>
      </w:r>
      <w:r w:rsidRPr="002C7092">
        <w:rPr>
          <w:rFonts w:ascii="Cambria" w:eastAsia="Times New Roman" w:hAnsi="Cambria" w:cs="Times New Roman"/>
          <w:bCs/>
          <w:color w:val="B71E42" w:themeColor="accent1"/>
          <w:sz w:val="22"/>
          <w:lang w:eastAsia="fr-FR"/>
        </w:rPr>
        <w:t xml:space="preserve"> : </w:t>
      </w:r>
      <w:r w:rsidRPr="002C7092">
        <w:rPr>
          <w:rFonts w:ascii="Cambria" w:hAnsi="Cambria" w:cs="Times New Roman"/>
          <w:color w:val="B71E42" w:themeColor="accent1"/>
          <w:sz w:val="22"/>
        </w:rPr>
        <w:t>Histoire culturelle et sociale du crime et de la justice (France, XIX</w:t>
      </w:r>
      <w:r w:rsidRPr="002C7092">
        <w:rPr>
          <w:rFonts w:ascii="Cambria" w:hAnsi="Cambria" w:cs="Times New Roman"/>
          <w:color w:val="B71E42" w:themeColor="accent1"/>
          <w:sz w:val="22"/>
          <w:vertAlign w:val="superscript"/>
        </w:rPr>
        <w:t>e</w:t>
      </w:r>
      <w:r w:rsidRPr="002C7092">
        <w:rPr>
          <w:rFonts w:ascii="Cambria" w:hAnsi="Cambria" w:cs="Times New Roman"/>
          <w:color w:val="B71E42" w:themeColor="accent1"/>
          <w:sz w:val="22"/>
        </w:rPr>
        <w:t xml:space="preserve"> siècle)</w:t>
      </w:r>
    </w:p>
    <w:p w14:paraId="1AE7B1E6"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Le crime sature aujourd’hui notre imaginaire. Mais les mises en scène, l’attention publique et les peurs qu’il suscite, par-delà l’anecdote et le sensationnel, ont une histoire que ce cours retracera. Il propose une introduction à l’histoire du crime et de la justice pénale à l’époque contemporaine, ouverte dans la périodisation et dans la démarche : centré sur le XIX</w:t>
      </w:r>
      <w:r w:rsidRPr="002C7092">
        <w:rPr>
          <w:rFonts w:ascii="Cambria" w:hAnsi="Cambria" w:cs="Times New Roman"/>
          <w:b w:val="0"/>
          <w:bCs/>
          <w:sz w:val="22"/>
          <w:vertAlign w:val="superscript"/>
        </w:rPr>
        <w:t>e</w:t>
      </w:r>
      <w:r w:rsidRPr="002C7092">
        <w:rPr>
          <w:rFonts w:ascii="Cambria" w:hAnsi="Cambria" w:cs="Times New Roman"/>
          <w:b w:val="0"/>
          <w:bCs/>
          <w:sz w:val="22"/>
        </w:rPr>
        <w:t xml:space="preserve"> siècle, il intègre de nombreux développements comparatifs sur l’époque moderne et les XX</w:t>
      </w:r>
      <w:r w:rsidRPr="002C7092">
        <w:rPr>
          <w:rFonts w:ascii="Cambria" w:hAnsi="Cambria" w:cs="Times New Roman"/>
          <w:b w:val="0"/>
          <w:bCs/>
          <w:sz w:val="22"/>
          <w:vertAlign w:val="superscript"/>
        </w:rPr>
        <w:t>e</w:t>
      </w:r>
      <w:r w:rsidRPr="002C7092">
        <w:rPr>
          <w:rFonts w:ascii="Cambria" w:hAnsi="Cambria" w:cs="Times New Roman"/>
          <w:b w:val="0"/>
          <w:bCs/>
          <w:sz w:val="22"/>
        </w:rPr>
        <w:t>-XXI</w:t>
      </w:r>
      <w:r w:rsidRPr="002C7092">
        <w:rPr>
          <w:rFonts w:ascii="Cambria" w:hAnsi="Cambria" w:cs="Times New Roman"/>
          <w:b w:val="0"/>
          <w:bCs/>
          <w:sz w:val="22"/>
          <w:vertAlign w:val="superscript"/>
        </w:rPr>
        <w:t>e</w:t>
      </w:r>
      <w:r w:rsidRPr="002C7092">
        <w:rPr>
          <w:rFonts w:ascii="Cambria" w:hAnsi="Cambria" w:cs="Times New Roman"/>
          <w:b w:val="0"/>
          <w:bCs/>
          <w:sz w:val="22"/>
        </w:rPr>
        <w:t xml:space="preserve"> siècles ; tout en recourant aux approches de l’histoire sociale, il privilégie l’optique de l’histoire des représentations et des sensibilités. </w:t>
      </w:r>
    </w:p>
    <w:p w14:paraId="45A07D20"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Normes et pratiques pénales, fonctionnement de la justice, rapport des populations à l’institution judiciaire, priorités répressives, comportements violents et figures de la menace seront mis en relation avec les mutations de la société française et l’évolution des sensibilités. Une attention particulière sera portée aux regards croisés (judiciaires, savants, médiatiques, littéraires, politiques, etc.) qui se posent sur le crime et sur les criminels, aux anxiétés et aux fantasmes qu’ils traduisent. Les catégories de la classe, du genre et de l’âge seront mobilisées pour étudier infracteurs et victimes. A partir d’un certain nombre d’affaires judiciaires (Lacenaire, Marie Lafarge, Troppmann, Vidal, Violette Nozière, etc.), on analysera quelques aspects de la délinquance, l’évolution des peurs sociales et le processus de construction des figures criminelles et des « monstres » sociaux, en suivant le trajet qui mène du crime à l’imaginaire social.</w:t>
      </w:r>
    </w:p>
    <w:p w14:paraId="38ED13C9"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Le premier semestre mettra davantage l’accent sur l’histoire de la justice pénale, le second sur l’histoire du crime et de ses représentations.</w:t>
      </w:r>
    </w:p>
    <w:p w14:paraId="7A1CD3B8" w14:textId="77777777" w:rsidR="000C624D" w:rsidRPr="002C7092" w:rsidRDefault="000C624D" w:rsidP="000C624D">
      <w:pPr>
        <w:ind w:firstLine="567"/>
        <w:contextualSpacing/>
        <w:jc w:val="both"/>
        <w:rPr>
          <w:rFonts w:ascii="Cambria" w:hAnsi="Cambria" w:cs="Times New Roman"/>
          <w:b w:val="0"/>
          <w:bCs/>
          <w:sz w:val="22"/>
        </w:rPr>
      </w:pPr>
    </w:p>
    <w:p w14:paraId="3EF3218B" w14:textId="77777777" w:rsidR="000C624D" w:rsidRPr="002C7092" w:rsidRDefault="000C624D" w:rsidP="000C624D">
      <w:pPr>
        <w:ind w:firstLine="567"/>
        <w:contextualSpacing/>
        <w:jc w:val="both"/>
        <w:rPr>
          <w:rFonts w:ascii="Cambria" w:hAnsi="Cambria" w:cs="Times New Roman"/>
          <w:b w:val="0"/>
          <w:bCs/>
          <w:sz w:val="22"/>
        </w:rPr>
      </w:pPr>
    </w:p>
    <w:p w14:paraId="105ABA53" w14:textId="77777777" w:rsidR="000C624D" w:rsidRPr="002C7092" w:rsidRDefault="000C624D" w:rsidP="000C624D">
      <w:pPr>
        <w:ind w:firstLine="567"/>
        <w:contextualSpacing/>
        <w:jc w:val="both"/>
        <w:rPr>
          <w:rFonts w:ascii="Cambria" w:hAnsi="Cambria" w:cs="Times New Roman"/>
          <w:b w:val="0"/>
          <w:bCs/>
          <w:sz w:val="22"/>
        </w:rPr>
      </w:pPr>
    </w:p>
    <w:p w14:paraId="03AABA0E" w14:textId="77777777" w:rsidR="000C624D" w:rsidRPr="002C7092" w:rsidRDefault="000C624D" w:rsidP="000C624D">
      <w:pPr>
        <w:ind w:firstLine="567"/>
        <w:contextualSpacing/>
        <w:jc w:val="both"/>
        <w:rPr>
          <w:rFonts w:ascii="Cambria" w:hAnsi="Cambria" w:cs="Times New Roman"/>
          <w:b w:val="0"/>
          <w:bCs/>
          <w:sz w:val="22"/>
        </w:rPr>
      </w:pPr>
    </w:p>
    <w:p w14:paraId="47B04B88" w14:textId="77777777" w:rsidR="000C624D" w:rsidRPr="002C7092" w:rsidRDefault="000C624D" w:rsidP="000C624D">
      <w:pPr>
        <w:ind w:firstLine="567"/>
        <w:contextualSpacing/>
        <w:jc w:val="both"/>
        <w:rPr>
          <w:rFonts w:ascii="Cambria" w:hAnsi="Cambria" w:cs="Times New Roman"/>
          <w:b w:val="0"/>
          <w:bCs/>
          <w:sz w:val="22"/>
        </w:rPr>
      </w:pPr>
    </w:p>
    <w:p w14:paraId="514E6CD5" w14:textId="77777777" w:rsidR="000C624D" w:rsidRPr="002C7092" w:rsidRDefault="000C624D" w:rsidP="000C624D">
      <w:pPr>
        <w:ind w:firstLine="567"/>
        <w:contextualSpacing/>
        <w:jc w:val="both"/>
        <w:rPr>
          <w:rFonts w:ascii="Cambria" w:hAnsi="Cambria" w:cs="Times New Roman"/>
          <w:b w:val="0"/>
          <w:bCs/>
          <w:sz w:val="22"/>
        </w:rPr>
      </w:pPr>
    </w:p>
    <w:p w14:paraId="48B20BB5" w14:textId="77777777" w:rsidR="000C624D" w:rsidRPr="002C7092" w:rsidRDefault="000C624D" w:rsidP="000C624D">
      <w:pPr>
        <w:ind w:firstLine="567"/>
        <w:contextualSpacing/>
        <w:jc w:val="both"/>
        <w:rPr>
          <w:rFonts w:ascii="Cambria" w:hAnsi="Cambria" w:cs="Times New Roman"/>
          <w:b w:val="0"/>
          <w:bCs/>
          <w:sz w:val="22"/>
        </w:rPr>
      </w:pPr>
    </w:p>
    <w:p w14:paraId="717800E8" w14:textId="77777777" w:rsidR="000C624D" w:rsidRPr="002C7092" w:rsidRDefault="000C624D" w:rsidP="000C624D">
      <w:pPr>
        <w:ind w:firstLine="567"/>
        <w:contextualSpacing/>
        <w:jc w:val="both"/>
        <w:rPr>
          <w:rFonts w:ascii="Cambria" w:hAnsi="Cambria" w:cs="Times New Roman"/>
          <w:b w:val="0"/>
          <w:bCs/>
          <w:sz w:val="22"/>
        </w:rPr>
      </w:pPr>
    </w:p>
    <w:p w14:paraId="3154F6DB" w14:textId="77777777" w:rsidR="000C624D" w:rsidRPr="002C7092" w:rsidRDefault="000C624D" w:rsidP="000C624D">
      <w:pPr>
        <w:ind w:firstLine="567"/>
        <w:contextualSpacing/>
        <w:jc w:val="both"/>
        <w:rPr>
          <w:rFonts w:ascii="Cambria" w:hAnsi="Cambria" w:cs="Times New Roman"/>
          <w:b w:val="0"/>
          <w:bCs/>
          <w:sz w:val="22"/>
        </w:rPr>
      </w:pPr>
    </w:p>
    <w:p w14:paraId="23C7C28A" w14:textId="72EE0C26"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sz w:val="22"/>
        </w:rPr>
        <w:t>Bibliographie indicative</w:t>
      </w:r>
      <w:r w:rsidRPr="002C7092">
        <w:rPr>
          <w:rFonts w:ascii="Cambria" w:hAnsi="Cambria" w:cs="Times New Roman"/>
          <w:b w:val="0"/>
          <w:bCs/>
          <w:sz w:val="22"/>
        </w:rPr>
        <w:t> :</w:t>
      </w:r>
    </w:p>
    <w:p w14:paraId="417EDE28" w14:textId="77777777" w:rsidR="000C624D" w:rsidRPr="002C7092" w:rsidRDefault="000C624D" w:rsidP="000C624D">
      <w:pPr>
        <w:keepLines/>
        <w:ind w:right="-142"/>
        <w:contextualSpacing/>
        <w:rPr>
          <w:rFonts w:ascii="Cambria" w:hAnsi="Cambria" w:cs="Times New Roman"/>
          <w:b w:val="0"/>
          <w:bCs/>
          <w:sz w:val="22"/>
        </w:rPr>
      </w:pPr>
    </w:p>
    <w:p w14:paraId="3B1D7CF2" w14:textId="77777777" w:rsidR="000C624D" w:rsidRPr="002C7092" w:rsidRDefault="000C624D" w:rsidP="000C624D">
      <w:pPr>
        <w:contextualSpacing/>
        <w:jc w:val="both"/>
        <w:rPr>
          <w:rFonts w:ascii="Cambria" w:eastAsia="Times New Roman" w:hAnsi="Cambria" w:cs="Times New Roman"/>
          <w:b w:val="0"/>
          <w:bCs/>
          <w:sz w:val="22"/>
        </w:rPr>
      </w:pPr>
      <w:r w:rsidRPr="002C7092">
        <w:rPr>
          <w:rFonts w:ascii="Cambria" w:hAnsi="Cambria" w:cs="Times New Roman"/>
          <w:b w:val="0"/>
          <w:bCs/>
          <w:sz w:val="22"/>
        </w:rPr>
        <w:t>Chauvaud Frédéric</w:t>
      </w:r>
      <w:r w:rsidRPr="002C7092">
        <w:rPr>
          <w:rFonts w:ascii="Cambria" w:eastAsia="Times New Roman" w:hAnsi="Cambria" w:cs="Times New Roman"/>
          <w:b w:val="0"/>
          <w:bCs/>
          <w:sz w:val="22"/>
        </w:rPr>
        <w:t xml:space="preserve">, Petit Jacques-Guy, Yvorel Jean-Jacques, </w:t>
      </w:r>
      <w:r w:rsidRPr="002C7092">
        <w:rPr>
          <w:rFonts w:ascii="Cambria" w:eastAsia="Times New Roman" w:hAnsi="Cambria" w:cs="Times New Roman"/>
          <w:b w:val="0"/>
          <w:bCs/>
          <w:i/>
          <w:sz w:val="22"/>
        </w:rPr>
        <w:t>Histoire de la Justice de la Révolution à nos jours</w:t>
      </w:r>
      <w:r w:rsidRPr="002C7092">
        <w:rPr>
          <w:rFonts w:ascii="Cambria" w:eastAsia="Times New Roman" w:hAnsi="Cambria" w:cs="Times New Roman"/>
          <w:b w:val="0"/>
          <w:bCs/>
          <w:sz w:val="22"/>
        </w:rPr>
        <w:t xml:space="preserve">, Rennes, PUR, 2007. </w:t>
      </w:r>
    </w:p>
    <w:p w14:paraId="754F36A3" w14:textId="77777777" w:rsidR="000C624D" w:rsidRPr="002C7092" w:rsidRDefault="000C624D" w:rsidP="000C624D">
      <w:pPr>
        <w:ind w:right="-7"/>
        <w:contextualSpacing/>
        <w:rPr>
          <w:rFonts w:ascii="Cambria" w:hAnsi="Cambria" w:cs="Times New Roman"/>
          <w:b w:val="0"/>
          <w:bCs/>
          <w:sz w:val="22"/>
        </w:rPr>
      </w:pPr>
      <w:r w:rsidRPr="002C7092">
        <w:rPr>
          <w:rFonts w:ascii="Cambria" w:hAnsi="Cambria" w:cs="Times New Roman"/>
          <w:b w:val="0"/>
          <w:bCs/>
          <w:sz w:val="22"/>
        </w:rPr>
        <w:t>Demartini Anne-Emmanuelle,</w:t>
      </w:r>
      <w:r w:rsidRPr="002C7092">
        <w:rPr>
          <w:rFonts w:ascii="Cambria" w:hAnsi="Cambria" w:cs="Times New Roman"/>
          <w:b w:val="0"/>
          <w:bCs/>
          <w:i/>
          <w:sz w:val="22"/>
        </w:rPr>
        <w:t xml:space="preserve"> L'Affaire Lacenaire</w:t>
      </w:r>
      <w:r w:rsidRPr="002C7092">
        <w:rPr>
          <w:rFonts w:ascii="Cambria" w:hAnsi="Cambria" w:cs="Times New Roman"/>
          <w:b w:val="0"/>
          <w:bCs/>
          <w:sz w:val="22"/>
        </w:rPr>
        <w:t>, Paris, CNRS éditions, 2025 (Aubier, 2001).</w:t>
      </w:r>
    </w:p>
    <w:p w14:paraId="7AF00C8A"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color w:val="353535"/>
          <w:sz w:val="22"/>
          <w:szCs w:val="22"/>
        </w:rPr>
        <w:t xml:space="preserve">Demartini Anne-Emmanuelle, </w:t>
      </w:r>
      <w:r w:rsidRPr="002C7092">
        <w:rPr>
          <w:rFonts w:ascii="Cambria" w:hAnsi="Cambria"/>
          <w:bCs/>
          <w:i/>
          <w:color w:val="353535"/>
          <w:sz w:val="22"/>
          <w:szCs w:val="22"/>
        </w:rPr>
        <w:t>Violette Nozière, la fleur du mal. Une histoire des années</w:t>
      </w:r>
      <w:r w:rsidRPr="002C7092">
        <w:rPr>
          <w:rFonts w:ascii="Cambria" w:hAnsi="Cambria"/>
          <w:bCs/>
          <w:i/>
          <w:sz w:val="22"/>
          <w:szCs w:val="22"/>
        </w:rPr>
        <w:t xml:space="preserve"> trente</w:t>
      </w:r>
      <w:r w:rsidRPr="002C7092">
        <w:rPr>
          <w:rFonts w:ascii="Cambria" w:hAnsi="Cambria"/>
          <w:bCs/>
          <w:sz w:val="22"/>
          <w:szCs w:val="22"/>
        </w:rPr>
        <w:t>, Ceyzérieu, Champ Vallon, 2017.</w:t>
      </w:r>
    </w:p>
    <w:p w14:paraId="661DF7C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Farcy Jean-Claude, </w:t>
      </w:r>
      <w:r w:rsidRPr="002C7092">
        <w:rPr>
          <w:rFonts w:ascii="Cambria" w:hAnsi="Cambria"/>
          <w:bCs/>
          <w:i/>
          <w:iCs/>
          <w:sz w:val="22"/>
          <w:szCs w:val="22"/>
        </w:rPr>
        <w:t>L'Histoire de la justice française de la Révolution à nos jours. Trois décennies de recherches</w:t>
      </w:r>
      <w:r w:rsidRPr="002C7092">
        <w:rPr>
          <w:rFonts w:ascii="Cambria" w:hAnsi="Cambria"/>
          <w:bCs/>
          <w:sz w:val="22"/>
          <w:szCs w:val="22"/>
        </w:rPr>
        <w:t xml:space="preserve">, Paris, PUF, 2001. </w:t>
      </w:r>
    </w:p>
    <w:p w14:paraId="26B67710"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Foucault Michel, </w:t>
      </w:r>
      <w:r w:rsidRPr="002C7092">
        <w:rPr>
          <w:rFonts w:ascii="Cambria" w:hAnsi="Cambria"/>
          <w:bCs/>
          <w:i/>
          <w:color w:val="353535"/>
          <w:sz w:val="22"/>
          <w:szCs w:val="22"/>
        </w:rPr>
        <w:t>Surveiller et punir. Naissance de la pris</w:t>
      </w:r>
      <w:r w:rsidRPr="002C7092">
        <w:rPr>
          <w:rFonts w:ascii="Cambria" w:hAnsi="Cambria"/>
          <w:bCs/>
          <w:color w:val="353535"/>
          <w:sz w:val="22"/>
          <w:szCs w:val="22"/>
        </w:rPr>
        <w:t>on, Paris, Gallimard, 1975.</w:t>
      </w:r>
    </w:p>
    <w:p w14:paraId="41027362"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Garnot Benoît, </w:t>
      </w:r>
      <w:r w:rsidRPr="002C7092">
        <w:rPr>
          <w:rFonts w:ascii="Cambria" w:hAnsi="Cambria"/>
          <w:bCs/>
          <w:i/>
          <w:color w:val="353535"/>
          <w:sz w:val="22"/>
          <w:szCs w:val="22"/>
        </w:rPr>
        <w:t>Histoire de la justice France, XVI-XXIe siècle</w:t>
      </w:r>
      <w:r w:rsidRPr="002C7092">
        <w:rPr>
          <w:rFonts w:ascii="Cambria" w:hAnsi="Cambria"/>
          <w:bCs/>
          <w:color w:val="353535"/>
          <w:sz w:val="22"/>
          <w:szCs w:val="22"/>
        </w:rPr>
        <w:t>, Paris, Gallimard, Folio histoire, 2009.</w:t>
      </w:r>
    </w:p>
    <w:p w14:paraId="161156E3"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Houte Arnaud-Dominique, </w:t>
      </w:r>
      <w:r w:rsidRPr="002C7092">
        <w:rPr>
          <w:rFonts w:ascii="Cambria" w:hAnsi="Cambria"/>
          <w:bCs/>
          <w:i/>
          <w:color w:val="353535"/>
          <w:sz w:val="22"/>
          <w:szCs w:val="22"/>
        </w:rPr>
        <w:t>Propriété défendue. La société française à l’épreuve du vol XIXe-XXe siècle</w:t>
      </w:r>
      <w:r w:rsidRPr="002C7092">
        <w:rPr>
          <w:rFonts w:ascii="Cambria" w:hAnsi="Cambria"/>
          <w:bCs/>
          <w:color w:val="353535"/>
          <w:sz w:val="22"/>
          <w:szCs w:val="22"/>
        </w:rPr>
        <w:t>, Paris, Gallimard, 2021.</w:t>
      </w:r>
    </w:p>
    <w:p w14:paraId="323F059A"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color w:val="353535"/>
          <w:sz w:val="22"/>
          <w:szCs w:val="22"/>
        </w:rPr>
        <w:t xml:space="preserve">Kalifa Dominique, </w:t>
      </w:r>
      <w:r w:rsidRPr="002C7092">
        <w:rPr>
          <w:rFonts w:ascii="Cambria" w:hAnsi="Cambria"/>
          <w:bCs/>
          <w:i/>
          <w:color w:val="353535"/>
          <w:sz w:val="22"/>
          <w:szCs w:val="22"/>
        </w:rPr>
        <w:t>L'encre et le sang, Récits de crimes et société à la Belle Époque</w:t>
      </w:r>
      <w:r w:rsidRPr="002C7092">
        <w:rPr>
          <w:rFonts w:ascii="Cambria" w:hAnsi="Cambria"/>
          <w:bCs/>
          <w:color w:val="353535"/>
          <w:sz w:val="22"/>
          <w:szCs w:val="22"/>
        </w:rPr>
        <w:t>, Paris, Fayard, 1995.</w:t>
      </w:r>
    </w:p>
    <w:p w14:paraId="36C6B532"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Perrot Michelle, </w:t>
      </w:r>
      <w:r w:rsidRPr="002C7092">
        <w:rPr>
          <w:rFonts w:ascii="Cambria" w:hAnsi="Cambria"/>
          <w:bCs/>
          <w:i/>
          <w:sz w:val="22"/>
          <w:szCs w:val="22"/>
        </w:rPr>
        <w:t>Punir et comprendre. Entretiens avec Frédéric Chauvaud</w:t>
      </w:r>
      <w:r w:rsidRPr="002C7092">
        <w:rPr>
          <w:rFonts w:ascii="Cambria" w:hAnsi="Cambria"/>
          <w:bCs/>
          <w:sz w:val="22"/>
          <w:szCs w:val="22"/>
        </w:rPr>
        <w:t>, Rennes, PUR, 2023.</w:t>
      </w:r>
    </w:p>
    <w:p w14:paraId="0022074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Petit Jacques-Guy, </w:t>
      </w:r>
      <w:r w:rsidRPr="002C7092">
        <w:rPr>
          <w:rFonts w:ascii="Cambria" w:hAnsi="Cambria"/>
          <w:bCs/>
          <w:i/>
          <w:sz w:val="22"/>
          <w:szCs w:val="22"/>
        </w:rPr>
        <w:t>Ces peines obscures. La prison pénale en France (1780-1875),</w:t>
      </w:r>
      <w:r w:rsidRPr="002C7092">
        <w:rPr>
          <w:rFonts w:ascii="Cambria" w:hAnsi="Cambria"/>
          <w:bCs/>
          <w:sz w:val="22"/>
          <w:szCs w:val="22"/>
        </w:rPr>
        <w:t xml:space="preserve"> Paris, Fayard, 1990.</w:t>
      </w:r>
    </w:p>
    <w:p w14:paraId="347CCBB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Royer Jean-Pierre </w:t>
      </w:r>
      <w:r w:rsidRPr="002C7092">
        <w:rPr>
          <w:rFonts w:ascii="Cambria" w:hAnsi="Cambria"/>
          <w:bCs/>
          <w:i/>
          <w:sz w:val="22"/>
          <w:szCs w:val="22"/>
        </w:rPr>
        <w:t>et al.</w:t>
      </w:r>
      <w:r w:rsidRPr="002C7092">
        <w:rPr>
          <w:rFonts w:ascii="Cambria" w:hAnsi="Cambria"/>
          <w:bCs/>
          <w:sz w:val="22"/>
          <w:szCs w:val="22"/>
        </w:rPr>
        <w:t xml:space="preserve">, </w:t>
      </w:r>
      <w:r w:rsidRPr="002C7092">
        <w:rPr>
          <w:rFonts w:ascii="Cambria" w:hAnsi="Cambria"/>
          <w:bCs/>
          <w:i/>
          <w:sz w:val="22"/>
          <w:szCs w:val="22"/>
        </w:rPr>
        <w:t>Histoire de la justice en France du XVIIIe siècle à nos jours</w:t>
      </w:r>
      <w:r w:rsidRPr="002C7092">
        <w:rPr>
          <w:rFonts w:ascii="Cambria" w:hAnsi="Cambria"/>
          <w:bCs/>
          <w:sz w:val="22"/>
          <w:szCs w:val="22"/>
        </w:rPr>
        <w:t>, Paris, PUF, 2010 (1995).</w:t>
      </w:r>
    </w:p>
    <w:p w14:paraId="329EE393" w14:textId="77777777" w:rsidR="000C624D" w:rsidRPr="002C7092" w:rsidRDefault="000C624D" w:rsidP="000C624D">
      <w:pPr>
        <w:pStyle w:val="NormalWeb"/>
        <w:spacing w:before="0" w:beforeAutospacing="0"/>
        <w:contextualSpacing/>
        <w:jc w:val="both"/>
        <w:rPr>
          <w:rFonts w:ascii="Cambria" w:hAnsi="Cambria"/>
          <w:bCs/>
          <w:sz w:val="22"/>
          <w:szCs w:val="22"/>
        </w:rPr>
      </w:pPr>
    </w:p>
    <w:p w14:paraId="5000F245" w14:textId="77777777" w:rsidR="000C624D" w:rsidRPr="002C7092" w:rsidRDefault="000C624D" w:rsidP="000C624D">
      <w:pPr>
        <w:pStyle w:val="NormalWeb"/>
        <w:spacing w:before="0" w:beforeAutospacing="0"/>
        <w:contextualSpacing/>
        <w:jc w:val="both"/>
        <w:rPr>
          <w:rFonts w:ascii="Cambria" w:hAnsi="Cambria"/>
          <w:sz w:val="22"/>
          <w:szCs w:val="22"/>
        </w:rPr>
      </w:pPr>
    </w:p>
    <w:p w14:paraId="777FACCB" w14:textId="77777777" w:rsidR="000C624D" w:rsidRPr="007223DB" w:rsidRDefault="000C624D" w:rsidP="000C624D">
      <w:pPr>
        <w:pStyle w:val="NormalWeb"/>
        <w:spacing w:before="0" w:beforeAutospacing="0"/>
        <w:contextualSpacing/>
        <w:jc w:val="both"/>
        <w:rPr>
          <w:sz w:val="22"/>
          <w:szCs w:val="22"/>
        </w:rPr>
      </w:pPr>
    </w:p>
    <w:p w14:paraId="405269E6" w14:textId="77777777" w:rsidR="000C624D" w:rsidRPr="007223DB" w:rsidRDefault="000C624D" w:rsidP="000C624D">
      <w:pPr>
        <w:pStyle w:val="NormalWeb"/>
        <w:spacing w:before="0" w:beforeAutospacing="0"/>
        <w:contextualSpacing/>
        <w:jc w:val="both"/>
        <w:rPr>
          <w:color w:val="353535"/>
          <w:sz w:val="22"/>
          <w:szCs w:val="22"/>
        </w:rPr>
      </w:pPr>
    </w:p>
    <w:p w14:paraId="327FFBDD" w14:textId="77777777" w:rsidR="000C624D" w:rsidRPr="007223DB" w:rsidRDefault="000C624D" w:rsidP="000C624D">
      <w:pPr>
        <w:pStyle w:val="NormalWeb"/>
        <w:spacing w:before="0" w:beforeAutospacing="0"/>
        <w:contextualSpacing/>
        <w:jc w:val="both"/>
        <w:rPr>
          <w:color w:val="353535"/>
          <w:sz w:val="22"/>
          <w:szCs w:val="22"/>
        </w:rPr>
      </w:pPr>
    </w:p>
    <w:p w14:paraId="653AF832" w14:textId="69BBC65C" w:rsidR="00433E2A" w:rsidRPr="007223DB" w:rsidRDefault="004B454D" w:rsidP="00433E2A">
      <w:pPr>
        <w:spacing w:after="0" w:line="240" w:lineRule="auto"/>
        <w:jc w:val="center"/>
        <w:rPr>
          <w:rFonts w:ascii="Cambria" w:eastAsia="Times New Roman" w:hAnsi="Cambria" w:cs="Times New Roman"/>
          <w:i/>
          <w:color w:val="C00000"/>
          <w:kern w:val="0"/>
          <w:sz w:val="28"/>
          <w:szCs w:val="28"/>
          <w:lang w:eastAsia="fr-FR"/>
        </w:rPr>
      </w:pPr>
      <w:r w:rsidRPr="007223DB">
        <w:rPr>
          <w:rFonts w:ascii="Cambria" w:eastAsia="Times New Roman" w:hAnsi="Cambria" w:cs="Times New Roman"/>
          <w:i/>
          <w:color w:val="C00000"/>
          <w:kern w:val="0"/>
          <w:sz w:val="28"/>
          <w:szCs w:val="28"/>
          <w:lang w:eastAsia="fr-FR"/>
        </w:rPr>
        <w:t>J304271</w:t>
      </w:r>
      <w:r w:rsidR="00AF7E5C" w:rsidRPr="007223DB">
        <w:rPr>
          <w:rFonts w:ascii="Cambria" w:eastAsia="Times New Roman" w:hAnsi="Cambria" w:cs="Times New Roman"/>
          <w:i/>
          <w:color w:val="C00000"/>
          <w:kern w:val="0"/>
          <w:sz w:val="28"/>
          <w:szCs w:val="28"/>
          <w:lang w:eastAsia="fr-FR"/>
        </w:rPr>
        <w:t>9</w:t>
      </w:r>
      <w:r w:rsidRPr="007223DB">
        <w:rPr>
          <w:rFonts w:ascii="Cambria" w:eastAsia="Times New Roman" w:hAnsi="Cambria" w:cs="Times New Roman"/>
          <w:i/>
          <w:color w:val="C00000"/>
          <w:kern w:val="0"/>
          <w:sz w:val="28"/>
          <w:szCs w:val="28"/>
          <w:lang w:eastAsia="fr-FR"/>
        </w:rPr>
        <w:t>/J304281</w:t>
      </w:r>
      <w:r w:rsidR="00AF7E5C" w:rsidRPr="007223DB">
        <w:rPr>
          <w:rFonts w:ascii="Cambria" w:eastAsia="Times New Roman" w:hAnsi="Cambria" w:cs="Times New Roman"/>
          <w:i/>
          <w:color w:val="C00000"/>
          <w:kern w:val="0"/>
          <w:sz w:val="28"/>
          <w:szCs w:val="28"/>
          <w:lang w:eastAsia="fr-FR"/>
        </w:rPr>
        <w:t>9</w:t>
      </w:r>
      <w:r w:rsidRPr="007223DB">
        <w:rPr>
          <w:rFonts w:ascii="Cambria" w:eastAsia="Times New Roman" w:hAnsi="Cambria" w:cs="Times New Roman"/>
          <w:i/>
          <w:color w:val="C00000"/>
          <w:kern w:val="0"/>
          <w:sz w:val="28"/>
          <w:szCs w:val="28"/>
          <w:lang w:eastAsia="fr-FR"/>
        </w:rPr>
        <w:t xml:space="preserve"> : </w:t>
      </w:r>
      <w:r w:rsidR="00433E2A" w:rsidRPr="007223DB">
        <w:rPr>
          <w:rFonts w:ascii="Cambria" w:eastAsia="Times New Roman" w:hAnsi="Cambria" w:cs="Times New Roman"/>
          <w:i/>
          <w:color w:val="C00000"/>
          <w:kern w:val="0"/>
          <w:sz w:val="28"/>
          <w:szCs w:val="28"/>
          <w:lang w:eastAsia="fr-FR"/>
        </w:rPr>
        <w:t>Histoire contemporaine des mondes juifs</w:t>
      </w:r>
    </w:p>
    <w:p w14:paraId="22508A01" w14:textId="77777777" w:rsidR="00433E2A" w:rsidRPr="007223DB" w:rsidRDefault="00433E2A" w:rsidP="00433E2A">
      <w:pPr>
        <w:spacing w:after="0" w:line="240" w:lineRule="auto"/>
        <w:rPr>
          <w:rFonts w:ascii="Cambria" w:eastAsia="Times New Roman" w:hAnsi="Cambria" w:cs="Times New Roman"/>
          <w:b w:val="0"/>
          <w:kern w:val="0"/>
          <w:sz w:val="22"/>
          <w:lang w:eastAsia="fr-FR"/>
        </w:rPr>
      </w:pPr>
    </w:p>
    <w:p w14:paraId="639EE29B" w14:textId="761829F4" w:rsidR="002D3787" w:rsidRDefault="00532CAB" w:rsidP="00433E2A">
      <w:pPr>
        <w:spacing w:after="0" w:line="240" w:lineRule="auto"/>
        <w:jc w:val="center"/>
        <w:rPr>
          <w:rFonts w:ascii="Cambria" w:eastAsia="Times New Roman" w:hAnsi="Cambria" w:cs="Times New Roman"/>
          <w:kern w:val="0"/>
          <w:sz w:val="22"/>
          <w:lang w:eastAsia="fr-FR"/>
        </w:rPr>
      </w:pPr>
      <w:r w:rsidRPr="007223DB">
        <w:rPr>
          <w:rFonts w:ascii="Cambria" w:eastAsia="Times New Roman" w:hAnsi="Cambria" w:cs="Times New Roman"/>
          <w:kern w:val="0"/>
          <w:sz w:val="22"/>
          <w:lang w:eastAsia="fr-FR"/>
        </w:rPr>
        <w:t>Laura Hobson Faure</w:t>
      </w:r>
      <w:r w:rsidR="003E755A" w:rsidRPr="007223DB">
        <w:rPr>
          <w:rFonts w:ascii="Cambria" w:eastAsia="Times New Roman" w:hAnsi="Cambria" w:cs="Times New Roman"/>
          <w:kern w:val="0"/>
          <w:sz w:val="22"/>
          <w:lang w:eastAsia="fr-FR"/>
        </w:rPr>
        <w:t xml:space="preserve"> (</w:t>
      </w:r>
      <w:r w:rsidR="00DE4FB0" w:rsidRPr="007223DB">
        <w:rPr>
          <w:rFonts w:ascii="Cambria" w:eastAsia="Times New Roman" w:hAnsi="Cambria" w:cs="Times New Roman"/>
          <w:kern w:val="0"/>
          <w:sz w:val="22"/>
          <w:lang w:eastAsia="fr-FR"/>
        </w:rPr>
        <w:t>CM</w:t>
      </w:r>
      <w:r w:rsidR="002D3787" w:rsidRPr="007223DB">
        <w:rPr>
          <w:rFonts w:ascii="Cambria" w:eastAsia="Times New Roman" w:hAnsi="Cambria" w:cs="Times New Roman"/>
          <w:kern w:val="0"/>
          <w:sz w:val="22"/>
          <w:lang w:eastAsia="fr-FR"/>
        </w:rPr>
        <w:t xml:space="preserve"> S1), Justine Isenbrandt (</w:t>
      </w:r>
      <w:r w:rsidR="00DE4FB0" w:rsidRPr="007223DB">
        <w:rPr>
          <w:rFonts w:ascii="Cambria" w:eastAsia="Times New Roman" w:hAnsi="Cambria" w:cs="Times New Roman"/>
          <w:kern w:val="0"/>
          <w:sz w:val="22"/>
          <w:lang w:eastAsia="fr-FR"/>
        </w:rPr>
        <w:t>TD</w:t>
      </w:r>
      <w:r w:rsidR="00D11EA2" w:rsidRPr="007223DB">
        <w:rPr>
          <w:rFonts w:ascii="Cambria" w:eastAsia="Times New Roman" w:hAnsi="Cambria" w:cs="Times New Roman"/>
          <w:kern w:val="0"/>
          <w:sz w:val="22"/>
          <w:lang w:eastAsia="fr-FR"/>
        </w:rPr>
        <w:t xml:space="preserve"> S1</w:t>
      </w:r>
      <w:r w:rsidR="00DE4FB0" w:rsidRPr="007223DB">
        <w:rPr>
          <w:rFonts w:ascii="Cambria" w:eastAsia="Times New Roman" w:hAnsi="Cambria" w:cs="Times New Roman"/>
          <w:kern w:val="0"/>
          <w:sz w:val="22"/>
          <w:lang w:eastAsia="fr-FR"/>
        </w:rPr>
        <w:t>)</w:t>
      </w:r>
    </w:p>
    <w:p w14:paraId="221F2537" w14:textId="77777777" w:rsidR="002C7092" w:rsidRPr="007223DB" w:rsidRDefault="002C7092" w:rsidP="00433E2A">
      <w:pPr>
        <w:spacing w:after="0" w:line="240" w:lineRule="auto"/>
        <w:jc w:val="center"/>
        <w:rPr>
          <w:rFonts w:ascii="Cambria" w:eastAsia="Times New Roman" w:hAnsi="Cambria" w:cs="Times New Roman"/>
          <w:kern w:val="0"/>
          <w:sz w:val="22"/>
          <w:lang w:eastAsia="fr-FR"/>
        </w:rPr>
      </w:pPr>
    </w:p>
    <w:p w14:paraId="06CB1B2A" w14:textId="73C83B7B" w:rsidR="00433E2A" w:rsidRPr="007223DB" w:rsidRDefault="00D11EA2" w:rsidP="00433E2A">
      <w:pPr>
        <w:spacing w:after="0" w:line="240" w:lineRule="auto"/>
        <w:jc w:val="center"/>
        <w:rPr>
          <w:rFonts w:ascii="Cambria" w:eastAsia="Times New Roman" w:hAnsi="Cambria" w:cs="Times New Roman"/>
          <w:kern w:val="0"/>
          <w:sz w:val="22"/>
          <w:lang w:eastAsia="fr-FR"/>
        </w:rPr>
      </w:pPr>
      <w:r w:rsidRPr="007223DB">
        <w:rPr>
          <w:rFonts w:ascii="Cambria" w:eastAsia="Times New Roman" w:hAnsi="Cambria" w:cs="Times New Roman"/>
          <w:kern w:val="0"/>
          <w:sz w:val="22"/>
          <w:lang w:eastAsia="fr-FR"/>
        </w:rPr>
        <w:t>Valérie Assan (CM/TD S2)</w:t>
      </w:r>
    </w:p>
    <w:p w14:paraId="38DDC2B8" w14:textId="77777777" w:rsidR="008F5DDD" w:rsidRPr="007223DB" w:rsidRDefault="008F5DDD" w:rsidP="008F5DDD">
      <w:pPr>
        <w:rPr>
          <w:rFonts w:ascii="Cambria" w:hAnsi="Cambria" w:cs="Times New Roman"/>
          <w:sz w:val="22"/>
        </w:rPr>
      </w:pPr>
    </w:p>
    <w:p w14:paraId="4815D708" w14:textId="6AD3BC13" w:rsidR="00DE4FB0" w:rsidRPr="00D40AE4" w:rsidRDefault="00DE4FB0" w:rsidP="00DE4FB0">
      <w:pPr>
        <w:rPr>
          <w:rFonts w:ascii="Cambria" w:hAnsi="Cambria" w:cs="Times New Roman"/>
          <w:color w:val="C00000"/>
          <w:sz w:val="22"/>
        </w:rPr>
      </w:pPr>
      <w:r w:rsidRPr="00D40AE4">
        <w:rPr>
          <w:rFonts w:ascii="Cambria" w:eastAsia="Arial Unicode MS" w:hAnsi="Cambria" w:cs="Times New Roman"/>
          <w:bCs/>
          <w:color w:val="C00000"/>
          <w:sz w:val="22"/>
          <w:u w:val="single"/>
          <w:bdr w:val="nil"/>
        </w:rPr>
        <w:t>Sujet du cours S1</w:t>
      </w:r>
      <w:r w:rsidRPr="00D40AE4">
        <w:rPr>
          <w:rFonts w:ascii="Cambria" w:eastAsia="Arial Unicode MS" w:hAnsi="Cambria" w:cs="Times New Roman"/>
          <w:bCs/>
          <w:color w:val="C00000"/>
          <w:sz w:val="22"/>
          <w:bdr w:val="nil"/>
        </w:rPr>
        <w:t xml:space="preserve"> :</w:t>
      </w:r>
      <w:r w:rsidRPr="00D40AE4">
        <w:rPr>
          <w:rFonts w:ascii="Cambria" w:hAnsi="Cambria" w:cs="Times New Roman"/>
          <w:color w:val="C00000"/>
          <w:sz w:val="22"/>
        </w:rPr>
        <w:t xml:space="preserve"> Histoire des Juifs en France de la Révolution aux années 1950 </w:t>
      </w:r>
    </w:p>
    <w:p w14:paraId="07BDF59E" w14:textId="53F706DC" w:rsidR="002D3787" w:rsidRPr="002C7092" w:rsidRDefault="002D3787" w:rsidP="002C7092">
      <w:pPr>
        <w:jc w:val="both"/>
        <w:rPr>
          <w:rFonts w:ascii="Cambria" w:hAnsi="Cambria"/>
          <w:b w:val="0"/>
          <w:bCs/>
          <w:sz w:val="22"/>
        </w:rPr>
      </w:pPr>
      <w:r w:rsidRPr="002C7092">
        <w:rPr>
          <w:rFonts w:ascii="Cambria" w:hAnsi="Cambria"/>
          <w:b w:val="0"/>
          <w:bCs/>
          <w:sz w:val="22"/>
        </w:rPr>
        <w:t>Présentation : Le premier semestre de ce cours aborde l’histoire contemporaine des Juifs en France et dans l’empire colonial, de la Révolution française aux années 1950 à la croisée des approches, des méthodes et des sources. La question de l’émancipation politique des Juifs est au centre de nos interrogations, afin de comprendre l’intégration des Juifs en France aux 19</w:t>
      </w:r>
      <w:r w:rsidRPr="002C7092">
        <w:rPr>
          <w:rFonts w:ascii="Cambria" w:hAnsi="Cambria"/>
          <w:b w:val="0"/>
          <w:bCs/>
          <w:sz w:val="22"/>
          <w:vertAlign w:val="superscript"/>
        </w:rPr>
        <w:t>ème</w:t>
      </w:r>
      <w:r w:rsidRPr="002C7092">
        <w:rPr>
          <w:rFonts w:ascii="Cambria" w:hAnsi="Cambria"/>
          <w:b w:val="0"/>
          <w:bCs/>
          <w:sz w:val="22"/>
        </w:rPr>
        <w:t>-20</w:t>
      </w:r>
      <w:r w:rsidRPr="002C7092">
        <w:rPr>
          <w:rFonts w:ascii="Cambria" w:hAnsi="Cambria"/>
          <w:b w:val="0"/>
          <w:bCs/>
          <w:sz w:val="22"/>
          <w:vertAlign w:val="superscript"/>
        </w:rPr>
        <w:t>ème</w:t>
      </w:r>
      <w:r w:rsidRPr="002C7092">
        <w:rPr>
          <w:rFonts w:ascii="Cambria" w:hAnsi="Cambria"/>
          <w:b w:val="0"/>
          <w:bCs/>
          <w:sz w:val="22"/>
        </w:rPr>
        <w:t xml:space="preserve"> siècles. Une approche en histoire sociale et politique guide notre réflexion, afin de comprendre la population juive française dans sa diversité idéologique et géographique. Les transformations religieuses, les migrations de la fin du 19</w:t>
      </w:r>
      <w:r w:rsidRPr="002C7092">
        <w:rPr>
          <w:rFonts w:ascii="Cambria" w:hAnsi="Cambria"/>
          <w:b w:val="0"/>
          <w:bCs/>
          <w:sz w:val="22"/>
          <w:vertAlign w:val="superscript"/>
        </w:rPr>
        <w:t>ème</w:t>
      </w:r>
      <w:r w:rsidRPr="002C7092">
        <w:rPr>
          <w:rFonts w:ascii="Cambria" w:hAnsi="Cambria"/>
          <w:b w:val="0"/>
          <w:bCs/>
          <w:sz w:val="22"/>
        </w:rPr>
        <w:t xml:space="preserve"> siècle d’Europe orientale, de l’entre-deux-guerres sont étudiées, tout comme les événements politiques majeurs, notamment l’Affaire Dreyfus, la Première Guerre mondiale, et la Shoah.   Notre objectif est de comprendre les expériences juives françaises dans leur pluralité, à travers l’analyse des rapports qu’entretiennent les Juifs les uns avec les autres et les Juifs avec la société française dans une période de forte évolution.</w:t>
      </w:r>
    </w:p>
    <w:p w14:paraId="1D8466D2" w14:textId="77777777" w:rsidR="002D3787" w:rsidRPr="002C7092" w:rsidRDefault="002D3787" w:rsidP="002D3787">
      <w:pPr>
        <w:rPr>
          <w:rFonts w:ascii="Cambria" w:hAnsi="Cambria"/>
          <w:sz w:val="22"/>
        </w:rPr>
      </w:pPr>
      <w:r w:rsidRPr="002C7092">
        <w:rPr>
          <w:rFonts w:ascii="Cambria" w:hAnsi="Cambria"/>
          <w:sz w:val="22"/>
          <w:shd w:val="clear" w:color="auto" w:fill="FFFFFF"/>
        </w:rPr>
        <w:t>Bibliographie indicative S1</w:t>
      </w:r>
    </w:p>
    <w:p w14:paraId="7B695782" w14:textId="77777777" w:rsidR="002D3787" w:rsidRPr="002C7092" w:rsidRDefault="002D3787" w:rsidP="002D3787">
      <w:pPr>
        <w:rPr>
          <w:rFonts w:ascii="Cambria" w:hAnsi="Cambria"/>
          <w:b w:val="0"/>
          <w:sz w:val="22"/>
        </w:rPr>
      </w:pPr>
      <w:r w:rsidRPr="002C7092">
        <w:rPr>
          <w:rFonts w:ascii="Cambria" w:hAnsi="Cambria"/>
          <w:sz w:val="22"/>
        </w:rPr>
        <w:t>France :</w:t>
      </w:r>
    </w:p>
    <w:p w14:paraId="134F1289" w14:textId="77777777" w:rsidR="002D3787" w:rsidRPr="002C7092" w:rsidRDefault="002D3787" w:rsidP="002D3787">
      <w:pPr>
        <w:pStyle w:val="Sansinterligne"/>
        <w:rPr>
          <w:rFonts w:ascii="Cambria" w:hAnsi="Cambria"/>
        </w:rPr>
      </w:pPr>
      <w:r w:rsidRPr="002C7092">
        <w:rPr>
          <w:rFonts w:ascii="Cambria" w:hAnsi="Cambria"/>
        </w:rPr>
        <w:t xml:space="preserve">Becker, Jean-Jacques et Wieviorka, Annette (dir.), </w:t>
      </w:r>
      <w:r w:rsidRPr="002C7092">
        <w:rPr>
          <w:rFonts w:ascii="Cambria" w:hAnsi="Cambria"/>
          <w:i/>
        </w:rPr>
        <w:t>Les Juifs de France de la Révolution française à nos jours</w:t>
      </w:r>
      <w:r w:rsidRPr="002C7092">
        <w:rPr>
          <w:rFonts w:ascii="Cambria" w:hAnsi="Cambria"/>
        </w:rPr>
        <w:t xml:space="preserve">, Paris, Liana Levi, 1998. </w:t>
      </w:r>
    </w:p>
    <w:p w14:paraId="5B86D26E" w14:textId="77777777" w:rsidR="002D3787" w:rsidRPr="002C7092" w:rsidRDefault="002D3787" w:rsidP="002D3787">
      <w:pPr>
        <w:pStyle w:val="Sansinterligne"/>
        <w:rPr>
          <w:rFonts w:ascii="Cambria" w:hAnsi="Cambria"/>
        </w:rPr>
      </w:pPr>
      <w:r w:rsidRPr="002C7092">
        <w:rPr>
          <w:rFonts w:ascii="Cambria" w:hAnsi="Cambria"/>
        </w:rPr>
        <w:t xml:space="preserve">Benbassa, Esther, </w:t>
      </w:r>
      <w:r w:rsidRPr="002C7092">
        <w:rPr>
          <w:rFonts w:ascii="Cambria" w:hAnsi="Cambria"/>
          <w:i/>
        </w:rPr>
        <w:t>Histoire des Juifs de France</w:t>
      </w:r>
      <w:r w:rsidRPr="002C7092">
        <w:rPr>
          <w:rFonts w:ascii="Cambria" w:hAnsi="Cambria"/>
        </w:rPr>
        <w:t>, Paris, Seuil, 2000 [1997].</w:t>
      </w:r>
    </w:p>
    <w:p w14:paraId="5E43BCCC" w14:textId="77777777" w:rsidR="002D3787" w:rsidRPr="002C7092" w:rsidRDefault="002D3787" w:rsidP="002D3787">
      <w:pPr>
        <w:pStyle w:val="Sansinterligne"/>
        <w:rPr>
          <w:rFonts w:ascii="Cambria" w:hAnsi="Cambria"/>
          <w:lang w:val="en-US"/>
        </w:rPr>
      </w:pPr>
      <w:r w:rsidRPr="002C7092">
        <w:rPr>
          <w:rFonts w:ascii="Cambria" w:hAnsi="Cambria"/>
          <w:lang w:val="en-US"/>
        </w:rPr>
        <w:t xml:space="preserve">Berkovitz, Jay, </w:t>
      </w:r>
      <w:r w:rsidRPr="002C7092">
        <w:rPr>
          <w:rFonts w:ascii="Cambria" w:hAnsi="Cambria"/>
          <w:i/>
          <w:lang w:val="en-US"/>
        </w:rPr>
        <w:t>Rites and passages. The beginnings of Modern Jewish Culture in France, 1690-1860</w:t>
      </w:r>
      <w:r w:rsidRPr="002C7092">
        <w:rPr>
          <w:rFonts w:ascii="Cambria" w:hAnsi="Cambria"/>
          <w:lang w:val="en-US"/>
        </w:rPr>
        <w:t xml:space="preserve">, University of Pennsylvania Press, 2004; </w:t>
      </w:r>
      <w:r w:rsidRPr="002C7092">
        <w:rPr>
          <w:rFonts w:ascii="Cambria" w:hAnsi="Cambria"/>
          <w:i/>
          <w:lang w:val="en-US"/>
        </w:rPr>
        <w:t xml:space="preserve">The Shaping of Jewish Identity in 19th Century France, </w:t>
      </w:r>
      <w:r w:rsidRPr="002C7092">
        <w:rPr>
          <w:rFonts w:ascii="Cambria" w:hAnsi="Cambria"/>
          <w:lang w:val="en-US"/>
        </w:rPr>
        <w:t>1989</w:t>
      </w:r>
    </w:p>
    <w:p w14:paraId="67AEBB18" w14:textId="77777777" w:rsidR="002D3787" w:rsidRPr="002C7092" w:rsidRDefault="002D3787" w:rsidP="002D3787">
      <w:pPr>
        <w:pStyle w:val="Sansinterligne"/>
        <w:rPr>
          <w:rFonts w:ascii="Cambria" w:hAnsi="Cambria"/>
        </w:rPr>
      </w:pPr>
      <w:r w:rsidRPr="002C7092">
        <w:rPr>
          <w:rFonts w:ascii="Cambria" w:hAnsi="Cambria"/>
        </w:rPr>
        <w:t xml:space="preserve">Birnbaum, Pierre, </w:t>
      </w:r>
      <w:r w:rsidRPr="002C7092">
        <w:rPr>
          <w:rFonts w:ascii="Cambria" w:hAnsi="Cambria"/>
          <w:i/>
        </w:rPr>
        <w:t xml:space="preserve">Les fous de la république : histoire politique des Juifs d’Etat, de Gambetta à Vichy, </w:t>
      </w:r>
      <w:r w:rsidRPr="002C7092">
        <w:rPr>
          <w:rFonts w:ascii="Cambria" w:hAnsi="Cambria"/>
        </w:rPr>
        <w:t>1992.</w:t>
      </w:r>
    </w:p>
    <w:p w14:paraId="354C7185" w14:textId="77777777" w:rsidR="002D3787" w:rsidRPr="002C7092" w:rsidRDefault="002D3787" w:rsidP="002D3787">
      <w:pPr>
        <w:pStyle w:val="Sansinterligne"/>
        <w:rPr>
          <w:rFonts w:ascii="Cambria" w:hAnsi="Cambria"/>
        </w:rPr>
      </w:pPr>
      <w:r w:rsidRPr="002C7092">
        <w:rPr>
          <w:rFonts w:ascii="Cambria" w:hAnsi="Cambria"/>
        </w:rPr>
        <w:t xml:space="preserve">Green, Nancy, </w:t>
      </w:r>
      <w:r w:rsidRPr="002C7092">
        <w:rPr>
          <w:rFonts w:ascii="Cambria" w:hAnsi="Cambria"/>
          <w:i/>
        </w:rPr>
        <w:t>Les Travailleurs immigrés juifs à la Belle époque. Le « Pletzl » de Paris</w:t>
      </w:r>
      <w:r w:rsidRPr="002C7092">
        <w:rPr>
          <w:rFonts w:ascii="Cambria" w:hAnsi="Cambria"/>
        </w:rPr>
        <w:t>, Paris, Fayard, 1985.</w:t>
      </w:r>
    </w:p>
    <w:p w14:paraId="50ABC113" w14:textId="77777777" w:rsidR="002D3787" w:rsidRPr="002C7092" w:rsidRDefault="002D3787" w:rsidP="002D3787">
      <w:pPr>
        <w:pStyle w:val="Sansinterligne"/>
        <w:rPr>
          <w:rFonts w:ascii="Cambria" w:hAnsi="Cambria"/>
        </w:rPr>
      </w:pPr>
      <w:r w:rsidRPr="002C7092">
        <w:rPr>
          <w:rFonts w:ascii="Cambria" w:hAnsi="Cambria"/>
        </w:rPr>
        <w:t xml:space="preserve">Guedj, Jérémy, </w:t>
      </w:r>
      <w:r w:rsidRPr="002C7092">
        <w:rPr>
          <w:rFonts w:ascii="Cambria" w:hAnsi="Cambria"/>
          <w:i/>
        </w:rPr>
        <w:t>Les Juifs français et le nazisme. L’histoire renversée</w:t>
      </w:r>
      <w:r w:rsidRPr="002C7092">
        <w:rPr>
          <w:rFonts w:ascii="Cambria" w:hAnsi="Cambria"/>
        </w:rPr>
        <w:t>. Paris, PUF, 2024</w:t>
      </w:r>
    </w:p>
    <w:p w14:paraId="681AD3DC" w14:textId="77777777" w:rsidR="002D3787" w:rsidRPr="002C7092" w:rsidRDefault="002D3787" w:rsidP="002D3787">
      <w:pPr>
        <w:pStyle w:val="Sansinterligne"/>
        <w:rPr>
          <w:rFonts w:ascii="Cambria" w:hAnsi="Cambria"/>
          <w:lang w:val="en-US"/>
        </w:rPr>
      </w:pPr>
      <w:r w:rsidRPr="002C7092">
        <w:rPr>
          <w:rFonts w:ascii="Cambria" w:hAnsi="Cambria"/>
        </w:rPr>
        <w:t>Hobson Faure, Laura, Un « Plan Marshall juif ».</w:t>
      </w:r>
      <w:r w:rsidRPr="002C7092">
        <w:rPr>
          <w:rFonts w:ascii="Cambria" w:hAnsi="Cambria"/>
          <w:i/>
        </w:rPr>
        <w:t xml:space="preserve"> La présence juive américaine en France après la Shoah, 1944-1954</w:t>
      </w:r>
      <w:r w:rsidRPr="002C7092">
        <w:rPr>
          <w:rFonts w:ascii="Cambria" w:hAnsi="Cambria"/>
        </w:rPr>
        <w:t xml:space="preserve">, Paris, Ed. </w:t>
      </w:r>
      <w:r w:rsidRPr="002C7092">
        <w:rPr>
          <w:rFonts w:ascii="Cambria" w:hAnsi="Cambria"/>
          <w:lang w:val="en-US"/>
        </w:rPr>
        <w:t xml:space="preserve">Le Manuscrit, [2013] 2018 ; </w:t>
      </w:r>
      <w:r w:rsidRPr="002C7092">
        <w:rPr>
          <w:rFonts w:ascii="Cambria" w:hAnsi="Cambria"/>
          <w:i/>
          <w:lang w:val="en-US"/>
        </w:rPr>
        <w:t>Who Will Rescue Us? The Story of the Jewish Children who fled to France and America during the Holocaust, Yale University Press</w:t>
      </w:r>
      <w:r w:rsidRPr="002C7092">
        <w:rPr>
          <w:rFonts w:ascii="Cambria" w:hAnsi="Cambria"/>
          <w:lang w:val="en-US"/>
        </w:rPr>
        <w:t>, 2025 (à paraître aux Ed. du Seuil, 2027)</w:t>
      </w:r>
    </w:p>
    <w:p w14:paraId="683E9695" w14:textId="77777777" w:rsidR="002D3787" w:rsidRPr="002C7092" w:rsidRDefault="002D3787" w:rsidP="002D3787">
      <w:pPr>
        <w:pStyle w:val="Sansinterligne"/>
        <w:rPr>
          <w:rFonts w:ascii="Cambria" w:hAnsi="Cambria"/>
        </w:rPr>
      </w:pPr>
      <w:r w:rsidRPr="002C7092">
        <w:rPr>
          <w:rFonts w:ascii="Cambria" w:hAnsi="Cambria"/>
        </w:rPr>
        <w:t xml:space="preserve">Hyman, Paula E., </w:t>
      </w:r>
      <w:r w:rsidRPr="002C7092">
        <w:rPr>
          <w:rFonts w:ascii="Cambria" w:hAnsi="Cambria"/>
          <w:i/>
        </w:rPr>
        <w:t>De Dreyfus à Vichy. L’évolution de la communauté juive en France</w:t>
      </w:r>
      <w:r w:rsidRPr="002C7092">
        <w:rPr>
          <w:rFonts w:ascii="Cambria" w:hAnsi="Cambria"/>
        </w:rPr>
        <w:t xml:space="preserve">, 1906-1939, Fayard, 1985 ; </w:t>
      </w:r>
      <w:r w:rsidRPr="002C7092">
        <w:rPr>
          <w:rFonts w:ascii="Cambria" w:hAnsi="Cambria"/>
          <w:i/>
        </w:rPr>
        <w:t>The Jews of Modern France</w:t>
      </w:r>
      <w:r w:rsidRPr="002C7092">
        <w:rPr>
          <w:rFonts w:ascii="Cambria" w:hAnsi="Cambria"/>
        </w:rPr>
        <w:t>, Berkeley, University of California Press, 1998.</w:t>
      </w:r>
    </w:p>
    <w:p w14:paraId="4423AF0A" w14:textId="77777777" w:rsidR="002D3787" w:rsidRPr="002C7092" w:rsidRDefault="002D3787" w:rsidP="002D3787">
      <w:pPr>
        <w:pStyle w:val="Sansinterligne"/>
        <w:rPr>
          <w:rFonts w:ascii="Cambria" w:hAnsi="Cambria"/>
        </w:rPr>
      </w:pPr>
      <w:r w:rsidRPr="002C7092">
        <w:rPr>
          <w:rFonts w:ascii="Cambria" w:hAnsi="Cambria"/>
        </w:rPr>
        <w:t xml:space="preserve">Poznanski, Renée, </w:t>
      </w:r>
      <w:r w:rsidRPr="002C7092">
        <w:rPr>
          <w:rFonts w:ascii="Cambria" w:hAnsi="Cambria"/>
          <w:i/>
        </w:rPr>
        <w:t>Les Juifs en France pendant la Seconde Guerre mondiale</w:t>
      </w:r>
      <w:r w:rsidRPr="002C7092">
        <w:rPr>
          <w:rFonts w:ascii="Cambria" w:hAnsi="Cambria"/>
        </w:rPr>
        <w:t xml:space="preserve">, Paris, Pluriel, 1994. </w:t>
      </w:r>
    </w:p>
    <w:p w14:paraId="27FEF577" w14:textId="77777777" w:rsidR="002D3787" w:rsidRPr="002C7092" w:rsidRDefault="002D3787" w:rsidP="002D3787">
      <w:pPr>
        <w:pStyle w:val="Sansinterligne"/>
        <w:rPr>
          <w:rFonts w:ascii="Cambria" w:hAnsi="Cambria"/>
        </w:rPr>
      </w:pPr>
      <w:r w:rsidRPr="002C7092">
        <w:rPr>
          <w:rFonts w:ascii="Cambria" w:hAnsi="Cambria"/>
        </w:rPr>
        <w:t xml:space="preserve">Winock, Michel, </w:t>
      </w:r>
      <w:r w:rsidRPr="002C7092">
        <w:rPr>
          <w:rFonts w:ascii="Cambria" w:hAnsi="Cambria"/>
          <w:i/>
        </w:rPr>
        <w:t>La France et les Juifs de 1789 à nos jours</w:t>
      </w:r>
      <w:r w:rsidRPr="002C7092">
        <w:rPr>
          <w:rFonts w:ascii="Cambria" w:hAnsi="Cambria"/>
        </w:rPr>
        <w:t>, Paris, Seuil, 2004.</w:t>
      </w:r>
    </w:p>
    <w:p w14:paraId="7B1BA01B" w14:textId="77777777" w:rsidR="002D3787" w:rsidRPr="002C7092" w:rsidRDefault="002D3787" w:rsidP="002D3787">
      <w:pPr>
        <w:pStyle w:val="Sansinterligne"/>
        <w:rPr>
          <w:rFonts w:ascii="Cambria" w:hAnsi="Cambria"/>
        </w:rPr>
      </w:pPr>
      <w:r w:rsidRPr="002C7092">
        <w:rPr>
          <w:rFonts w:ascii="Cambria" w:hAnsi="Cambria"/>
        </w:rPr>
        <w:t xml:space="preserve">Zytnicki, Colette (dir.), </w:t>
      </w:r>
      <w:r w:rsidRPr="002C7092">
        <w:rPr>
          <w:rFonts w:ascii="Cambria" w:hAnsi="Cambria"/>
          <w:i/>
        </w:rPr>
        <w:t>Terre d’exil, terre d’asile. Migrations juives en France aux XIXe et XXe siècles</w:t>
      </w:r>
      <w:r w:rsidRPr="002C7092">
        <w:rPr>
          <w:rFonts w:ascii="Cambria" w:hAnsi="Cambria"/>
        </w:rPr>
        <w:t>, Paris, Éditions de l’Éclat, 2010.</w:t>
      </w:r>
    </w:p>
    <w:p w14:paraId="293701AE" w14:textId="77777777" w:rsidR="00DE4FB0" w:rsidRPr="002C7092" w:rsidRDefault="00DE4FB0" w:rsidP="00DE4FB0">
      <w:pPr>
        <w:rPr>
          <w:rFonts w:ascii="Cambria" w:eastAsia="Arial Unicode MS" w:hAnsi="Cambria" w:cs="Times New Roman"/>
          <w:bCs/>
          <w:color w:val="7030A0"/>
          <w:sz w:val="22"/>
          <w:bdr w:val="nil"/>
        </w:rPr>
      </w:pPr>
    </w:p>
    <w:p w14:paraId="3E482689" w14:textId="290C7B3D" w:rsidR="00DE4FB0" w:rsidRPr="00D40AE4" w:rsidRDefault="00DE4FB0" w:rsidP="00DE4FB0">
      <w:pPr>
        <w:rPr>
          <w:rFonts w:ascii="Cambria" w:eastAsia="Arial Unicode MS" w:hAnsi="Cambria" w:cs="Times New Roman"/>
          <w:bCs/>
          <w:color w:val="C00000"/>
          <w:sz w:val="22"/>
          <w:bdr w:val="nil"/>
        </w:rPr>
      </w:pPr>
      <w:r w:rsidRPr="00D40AE4">
        <w:rPr>
          <w:rFonts w:ascii="Cambria" w:eastAsia="Arial Unicode MS" w:hAnsi="Cambria" w:cs="Times New Roman"/>
          <w:bCs/>
          <w:color w:val="C00000"/>
          <w:sz w:val="22"/>
          <w:u w:val="single"/>
          <w:bdr w:val="nil"/>
        </w:rPr>
        <w:t>Sujet du cours S2</w:t>
      </w:r>
      <w:r w:rsidRPr="00D40AE4">
        <w:rPr>
          <w:rFonts w:ascii="Cambria" w:eastAsia="Arial Unicode MS" w:hAnsi="Cambria" w:cs="Times New Roman"/>
          <w:bCs/>
          <w:color w:val="C00000"/>
          <w:sz w:val="22"/>
          <w:bdr w:val="nil"/>
        </w:rPr>
        <w:t xml:space="preserve"> : </w:t>
      </w:r>
      <w:bookmarkStart w:id="37" w:name="_Hlk201654352"/>
      <w:r w:rsidRPr="00D40AE4">
        <w:rPr>
          <w:rFonts w:ascii="Cambria" w:eastAsia="Arial Unicode MS" w:hAnsi="Cambria" w:cs="Times New Roman"/>
          <w:bCs/>
          <w:color w:val="C00000"/>
          <w:sz w:val="22"/>
          <w:bdr w:val="nil"/>
        </w:rPr>
        <w:t xml:space="preserve">Histoire des juifs </w:t>
      </w:r>
      <w:r w:rsidR="00D11EA2" w:rsidRPr="00D40AE4">
        <w:rPr>
          <w:rFonts w:ascii="Cambria" w:eastAsia="Arial Unicode MS" w:hAnsi="Cambria" w:cs="Times New Roman"/>
          <w:bCs/>
          <w:color w:val="C00000"/>
          <w:sz w:val="22"/>
          <w:bdr w:val="nil"/>
        </w:rPr>
        <w:t xml:space="preserve">du Maghreb à l’époque contemporaine </w:t>
      </w:r>
    </w:p>
    <w:bookmarkEnd w:id="37"/>
    <w:p w14:paraId="3C4A4E0D" w14:textId="77777777" w:rsidR="00D11EA2" w:rsidRPr="002C7092" w:rsidRDefault="00D11EA2" w:rsidP="00D11EA2">
      <w:pPr>
        <w:pStyle w:val="ox-294474f2d8-msonormal"/>
        <w:spacing w:before="12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Ce cours, conçu comme une introduction à l’étude des mondes juifs au Maghreb à l’époque contemporaine, permettra de découvrir les principaux apports d’une historiographie en plein renouvellement depuis les années 1990. Considérés comme des « indigènes » par le colonisateur français, les juifs constituent un exemple du « monde du contact » et un groupe particulièrement pertinent pour étudier par les marges un pan de l’histoire coloniale et postcoloniale. On présentera d’abord la minorité juive avant la présence française : une population essentiellement séfarade, issue de migrations successives, connectée à l’espace méditerranéen et européen à travers ses élites, mais également reliée étroitement au monde musulman avec lequel elle entretenait des relations constantes et partageait certains modes de vie. La minorité juive vivant en terre d’Islam était en outre soumise à un statut particulier, celui de </w:t>
      </w:r>
      <w:r w:rsidRPr="002C7092">
        <w:rPr>
          <w:rFonts w:ascii="Cambria" w:hAnsi="Cambria"/>
          <w:b w:val="0"/>
          <w:bCs/>
          <w:i/>
          <w:iCs/>
          <w:sz w:val="22"/>
          <w:szCs w:val="22"/>
          <w:lang w:val="fr-FR"/>
        </w:rPr>
        <w:t xml:space="preserve">dhimmi. </w:t>
      </w:r>
      <w:r w:rsidRPr="002C7092">
        <w:rPr>
          <w:rFonts w:ascii="Cambria" w:hAnsi="Cambria"/>
          <w:b w:val="0"/>
          <w:bCs/>
          <w:sz w:val="22"/>
          <w:szCs w:val="22"/>
          <w:lang w:val="fr-FR"/>
        </w:rPr>
        <w:t>La conquête française de l’Algérie (à partir de 1830), puis de la Tunisie (1881) et du Maroc (1912) entraîne des bouleversements importants pour les juifs, que l’on étudiera en comparaison : évolutions socio-économiques et culturelles, occidentalisation sous l’effet, notamment, des écoles de l’Alliance israélite universelle (Maroc et Tunisie) et de l’organisation consistoriale (Algérie), enjeux et tensions autour de la nationalité et de la citoyenneté. On accordera une attention particulière à la période de la Seconde Guerre mondiale, à la politique antijuive de Vichy en Afrique du Nord, puis aux nouvelles dynamiques d’engagements politiques des juifs après 1945 à l’heure des nationalismes et des luttes pour l’indépendance. Sur chacune de ces périodes, les relations entre juifs et musulmans seront interrogées à travers le regard de travaux historiographiques récents. On s’intéressera enfin aux migrations des juifs du Maghreb (France, Israël, Canada) dans les années 1950-1960, aux recompositions de la judaïcité française et aux questions de la mémoire, de la transmission, de la patrimonialisation et de l’effacement du passé juif au Maghreb.</w:t>
      </w:r>
    </w:p>
    <w:p w14:paraId="09A1112F" w14:textId="77777777" w:rsidR="00D11EA2" w:rsidRPr="002C7092" w:rsidRDefault="00D11EA2" w:rsidP="00D11EA2">
      <w:pPr>
        <w:spacing w:line="240" w:lineRule="auto"/>
        <w:jc w:val="both"/>
        <w:rPr>
          <w:rFonts w:ascii="Cambria" w:hAnsi="Cambria" w:cs="Times New Roman"/>
          <w:b w:val="0"/>
          <w:bCs/>
          <w:sz w:val="22"/>
        </w:rPr>
      </w:pPr>
    </w:p>
    <w:p w14:paraId="031CDDFE" w14:textId="77777777" w:rsidR="00D11EA2" w:rsidRPr="004C5090" w:rsidRDefault="00D11EA2" w:rsidP="00D11EA2">
      <w:pPr>
        <w:spacing w:line="240" w:lineRule="auto"/>
        <w:jc w:val="both"/>
        <w:rPr>
          <w:rFonts w:ascii="Cambria" w:hAnsi="Cambria" w:cs="Times New Roman"/>
          <w:sz w:val="22"/>
        </w:rPr>
      </w:pPr>
      <w:r w:rsidRPr="004C5090">
        <w:rPr>
          <w:rFonts w:ascii="Cambria" w:hAnsi="Cambria" w:cs="Times New Roman"/>
          <w:sz w:val="22"/>
        </w:rPr>
        <w:t>Bibliographie indicative</w:t>
      </w:r>
    </w:p>
    <w:p w14:paraId="057D094E"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Abecassis Frédéric et Faü Jean-François, « Les Juifs dans le monde musulman à l’âge des nations (1840-1945) » et « Le monde musulman : effacement des communautés juives et nouvelles diasporas depuis 1945 », in Antoine Germa, Benjamin Lellouch et Evelyne Patlagean (dir.), </w:t>
      </w:r>
      <w:r w:rsidRPr="002C7092">
        <w:rPr>
          <w:rFonts w:ascii="Cambria" w:hAnsi="Cambria" w:cs="Times New Roman"/>
          <w:b w:val="0"/>
          <w:bCs/>
          <w:i/>
          <w:iCs/>
          <w:sz w:val="22"/>
        </w:rPr>
        <w:t xml:space="preserve">Les Juifs dans l’histoire. </w:t>
      </w:r>
      <w:r w:rsidRPr="002C7092">
        <w:rPr>
          <w:rFonts w:ascii="Cambria" w:hAnsi="Cambria" w:cs="Times New Roman"/>
          <w:b w:val="0"/>
          <w:bCs/>
          <w:sz w:val="22"/>
        </w:rPr>
        <w:t>Paris, Champ Vallon, 2011, p. 545-570 et 815-840.</w:t>
      </w:r>
    </w:p>
    <w:p w14:paraId="28DAB960"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Abitbol Michel, </w:t>
      </w:r>
      <w:r w:rsidRPr="002C7092">
        <w:rPr>
          <w:rFonts w:ascii="Cambria" w:hAnsi="Cambria" w:cs="Times New Roman"/>
          <w:b w:val="0"/>
          <w:bCs/>
          <w:i/>
          <w:iCs/>
          <w:sz w:val="22"/>
        </w:rPr>
        <w:t>Le Passé d’une discorde. Juifs et Arabes du VII</w:t>
      </w:r>
      <w:r w:rsidRPr="002C7092">
        <w:rPr>
          <w:rFonts w:ascii="Cambria" w:hAnsi="Cambria" w:cs="Times New Roman"/>
          <w:b w:val="0"/>
          <w:bCs/>
          <w:i/>
          <w:iCs/>
          <w:sz w:val="22"/>
          <w:vertAlign w:val="superscript"/>
        </w:rPr>
        <w:t>e</w:t>
      </w:r>
      <w:r w:rsidRPr="002C7092">
        <w:rPr>
          <w:rFonts w:ascii="Cambria" w:hAnsi="Cambria" w:cs="Times New Roman"/>
          <w:b w:val="0"/>
          <w:bCs/>
          <w:i/>
          <w:iCs/>
          <w:sz w:val="22"/>
        </w:rPr>
        <w:t xml:space="preserve"> siècle à nos jours, </w:t>
      </w:r>
      <w:r w:rsidRPr="002C7092">
        <w:rPr>
          <w:rFonts w:ascii="Cambria" w:hAnsi="Cambria" w:cs="Times New Roman"/>
          <w:b w:val="0"/>
          <w:bCs/>
          <w:sz w:val="22"/>
        </w:rPr>
        <w:t>Paris, Perrin, 1999.</w:t>
      </w:r>
    </w:p>
    <w:p w14:paraId="6A065FA5"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Abitbol Michel, </w:t>
      </w:r>
      <w:r w:rsidRPr="002C7092">
        <w:rPr>
          <w:rFonts w:ascii="Cambria" w:hAnsi="Cambria"/>
          <w:b w:val="0"/>
          <w:bCs/>
          <w:i/>
          <w:iCs/>
          <w:sz w:val="22"/>
          <w:szCs w:val="22"/>
          <w:lang w:val="fr-FR"/>
        </w:rPr>
        <w:t xml:space="preserve">Les Juifs d’Afrique du Nord sous Vichy, </w:t>
      </w:r>
      <w:r w:rsidRPr="002C7092">
        <w:rPr>
          <w:rFonts w:ascii="Cambria" w:hAnsi="Cambria"/>
          <w:b w:val="0"/>
          <w:bCs/>
          <w:sz w:val="22"/>
          <w:szCs w:val="22"/>
          <w:lang w:val="fr-FR"/>
        </w:rPr>
        <w:t>Paris, CNRS Éditions, 2012.</w:t>
      </w:r>
    </w:p>
    <w:p w14:paraId="11902E59"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Allagui Abdelkrim, </w:t>
      </w:r>
      <w:r w:rsidRPr="002C7092">
        <w:rPr>
          <w:rFonts w:ascii="Cambria" w:hAnsi="Cambria" w:cs="Times New Roman"/>
          <w:b w:val="0"/>
          <w:bCs/>
          <w:i/>
          <w:iCs/>
          <w:sz w:val="22"/>
        </w:rPr>
        <w:t>Juifs et musulmans en Tunisie,</w:t>
      </w:r>
      <w:r w:rsidRPr="002C7092">
        <w:rPr>
          <w:rFonts w:ascii="Cambria" w:hAnsi="Cambria" w:cs="Times New Roman"/>
          <w:b w:val="0"/>
          <w:bCs/>
          <w:sz w:val="22"/>
        </w:rPr>
        <w:t xml:space="preserve"> Paris, Tallandier/Projet Aladin, coll. « Histoire partagée », 2016.</w:t>
      </w:r>
    </w:p>
    <w:p w14:paraId="634ECF9E"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Assan Valérie et Laloum Jean (coord.), dossier « Français, Juifs et musulmans dans l’Algérie coloniale », </w:t>
      </w:r>
      <w:r w:rsidRPr="002C7092">
        <w:rPr>
          <w:rFonts w:ascii="Cambria" w:hAnsi="Cambria" w:cs="Times New Roman"/>
          <w:b w:val="0"/>
          <w:bCs/>
          <w:i/>
          <w:iCs/>
          <w:sz w:val="22"/>
        </w:rPr>
        <w:t xml:space="preserve">Archives juives, revue d’histoire des Juifs de France, </w:t>
      </w:r>
      <w:r w:rsidRPr="002C7092">
        <w:rPr>
          <w:rFonts w:ascii="Cambria" w:hAnsi="Cambria" w:cs="Times New Roman"/>
          <w:b w:val="0"/>
          <w:bCs/>
          <w:sz w:val="22"/>
        </w:rPr>
        <w:t>2012/2 (vol. 45).</w:t>
      </w:r>
    </w:p>
    <w:p w14:paraId="617FBE95"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Boum Aomar and Stein Sarah A. (eds), </w:t>
      </w:r>
      <w:r w:rsidRPr="002C7092">
        <w:rPr>
          <w:rFonts w:ascii="Cambria" w:hAnsi="Cambria" w:cs="Times New Roman"/>
          <w:b w:val="0"/>
          <w:bCs/>
          <w:i/>
          <w:iCs/>
          <w:sz w:val="22"/>
          <w:lang w:val="en-US"/>
        </w:rPr>
        <w:t xml:space="preserve">The Holocaust and North Africa, </w:t>
      </w:r>
      <w:r w:rsidRPr="002C7092">
        <w:rPr>
          <w:rFonts w:ascii="Cambria" w:hAnsi="Cambria" w:cs="Times New Roman"/>
          <w:b w:val="0"/>
          <w:bCs/>
          <w:sz w:val="22"/>
          <w:lang w:val="en-US"/>
        </w:rPr>
        <w:t>Stanford, Stanford University Press, 2019.</w:t>
      </w:r>
    </w:p>
    <w:p w14:paraId="7CBF4054" w14:textId="77777777" w:rsidR="00D11EA2" w:rsidRPr="002C7092" w:rsidRDefault="00D11EA2" w:rsidP="00D11EA2">
      <w:pPr>
        <w:jc w:val="both"/>
        <w:rPr>
          <w:rFonts w:ascii="Cambria" w:hAnsi="Cambria" w:cs="Times New Roman"/>
          <w:b w:val="0"/>
          <w:bCs/>
          <w:sz w:val="22"/>
          <w:lang w:val="en-US"/>
        </w:rPr>
      </w:pPr>
      <w:r w:rsidRPr="002C7092">
        <w:rPr>
          <w:rFonts w:ascii="Cambria" w:hAnsi="Cambria" w:cs="Times New Roman"/>
          <w:b w:val="0"/>
          <w:bCs/>
          <w:sz w:val="22"/>
        </w:rPr>
        <w:t xml:space="preserve">Goldberg Sylvie Anne, Meddeb Abdelwahab et Stora Benjamin (dir.), </w:t>
      </w:r>
      <w:r w:rsidRPr="002C7092">
        <w:rPr>
          <w:rFonts w:ascii="Cambria" w:hAnsi="Cambria" w:cs="Times New Roman"/>
          <w:b w:val="0"/>
          <w:bCs/>
          <w:i/>
          <w:iCs/>
          <w:sz w:val="22"/>
        </w:rPr>
        <w:t xml:space="preserve">Juifs et musulmans : échanges et différences entre deux cultures, </w:t>
      </w:r>
      <w:r w:rsidRPr="002C7092">
        <w:rPr>
          <w:rFonts w:ascii="Cambria" w:hAnsi="Cambria" w:cs="Times New Roman"/>
          <w:b w:val="0"/>
          <w:bCs/>
          <w:sz w:val="22"/>
        </w:rPr>
        <w:t xml:space="preserve">Paris, Albin Michel, coll. </w:t>
      </w:r>
      <w:r w:rsidRPr="002C7092">
        <w:rPr>
          <w:rFonts w:ascii="Cambria" w:hAnsi="Cambria" w:cs="Times New Roman"/>
          <w:b w:val="0"/>
          <w:bCs/>
          <w:sz w:val="22"/>
          <w:lang w:val="en-US"/>
        </w:rPr>
        <w:t>« Espaces libres », 2021.</w:t>
      </w:r>
    </w:p>
    <w:p w14:paraId="5013CD6D"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Hirschberg Haïm-Zeev, </w:t>
      </w:r>
      <w:r w:rsidRPr="002C7092">
        <w:rPr>
          <w:rFonts w:ascii="Cambria" w:hAnsi="Cambria" w:cs="Times New Roman"/>
          <w:b w:val="0"/>
          <w:bCs/>
          <w:i/>
          <w:iCs/>
          <w:sz w:val="22"/>
          <w:lang w:val="en-US"/>
        </w:rPr>
        <w:t>History of the Jews in North Africa, vol. 2: from the Ottoman Conquests to the present time,</w:t>
      </w:r>
      <w:r w:rsidRPr="002C7092">
        <w:rPr>
          <w:rFonts w:ascii="Cambria" w:hAnsi="Cambria" w:cs="Times New Roman"/>
          <w:b w:val="0"/>
          <w:bCs/>
          <w:sz w:val="22"/>
          <w:lang w:val="en-US"/>
        </w:rPr>
        <w:t xml:space="preserve"> Leiden, Brill, 1981 (1ère éd. en hébreu: 1965).</w:t>
      </w:r>
    </w:p>
    <w:p w14:paraId="22BCB2A1"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Kaspi André (dir.), </w:t>
      </w:r>
      <w:r w:rsidRPr="002C7092">
        <w:rPr>
          <w:rFonts w:ascii="Cambria" w:hAnsi="Cambria"/>
          <w:b w:val="0"/>
          <w:bCs/>
          <w:i/>
          <w:iCs/>
          <w:sz w:val="22"/>
          <w:szCs w:val="22"/>
          <w:lang w:val="fr-FR"/>
        </w:rPr>
        <w:t xml:space="preserve">Histoire de l’Alliance israélite universelle de 1860 à nos jours </w:t>
      </w:r>
      <w:r w:rsidRPr="002C7092">
        <w:rPr>
          <w:rFonts w:ascii="Cambria" w:hAnsi="Cambria"/>
          <w:b w:val="0"/>
          <w:bCs/>
          <w:sz w:val="22"/>
          <w:szCs w:val="22"/>
          <w:lang w:val="fr-FR"/>
        </w:rPr>
        <w:t>Paris, Colin, 2012.</w:t>
      </w:r>
    </w:p>
    <w:p w14:paraId="3C1D90C6"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Katz Ethan, </w:t>
      </w:r>
      <w:r w:rsidRPr="002C7092">
        <w:rPr>
          <w:rFonts w:ascii="Cambria" w:hAnsi="Cambria" w:cs="Times New Roman"/>
          <w:b w:val="0"/>
          <w:bCs/>
          <w:i/>
          <w:iCs/>
          <w:sz w:val="22"/>
        </w:rPr>
        <w:t xml:space="preserve">Juifs et musulmans en France. Le poids de la fraternité, </w:t>
      </w:r>
      <w:r w:rsidRPr="002C7092">
        <w:rPr>
          <w:rFonts w:ascii="Cambria" w:hAnsi="Cambria" w:cs="Times New Roman"/>
          <w:b w:val="0"/>
          <w:bCs/>
          <w:sz w:val="22"/>
        </w:rPr>
        <w:t>traduit de l’anglais, préface de B. Stora, Paris, Belin, 2018 (2015).</w:t>
      </w:r>
    </w:p>
    <w:p w14:paraId="5547BDF1"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rPr>
        <w:t xml:space="preserve">Kenbib Mohammed, </w:t>
      </w:r>
      <w:r w:rsidRPr="002C7092">
        <w:rPr>
          <w:rFonts w:ascii="Cambria" w:hAnsi="Cambria" w:cs="Times New Roman"/>
          <w:b w:val="0"/>
          <w:bCs/>
          <w:i/>
          <w:iCs/>
          <w:sz w:val="22"/>
        </w:rPr>
        <w:t xml:space="preserve">Juifs et musulmans au Maroc des origines à nos jours, </w:t>
      </w:r>
      <w:r w:rsidRPr="002C7092">
        <w:rPr>
          <w:rFonts w:ascii="Cambria" w:hAnsi="Cambria" w:cs="Times New Roman"/>
          <w:b w:val="0"/>
          <w:bCs/>
          <w:sz w:val="22"/>
        </w:rPr>
        <w:t xml:space="preserve">Paris, Tallandier/Projet Aladin, coll. </w:t>
      </w:r>
      <w:r w:rsidRPr="002C7092">
        <w:rPr>
          <w:rFonts w:ascii="Cambria" w:hAnsi="Cambria" w:cs="Times New Roman"/>
          <w:b w:val="0"/>
          <w:bCs/>
          <w:sz w:val="22"/>
          <w:lang w:val="en-US"/>
        </w:rPr>
        <w:t>« Histoire partagée », 2016.</w:t>
      </w:r>
    </w:p>
    <w:p w14:paraId="3C4EA15D"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Laskier Michael, </w:t>
      </w:r>
      <w:r w:rsidRPr="002C7092">
        <w:rPr>
          <w:rFonts w:ascii="Cambria" w:hAnsi="Cambria" w:cs="Times New Roman"/>
          <w:b w:val="0"/>
          <w:bCs/>
          <w:i/>
          <w:iCs/>
          <w:sz w:val="22"/>
          <w:lang w:val="en-US"/>
        </w:rPr>
        <w:t xml:space="preserve">North African Jewry in the twentieth Century: the Jews of Morocco, Tunisia and Algeria, </w:t>
      </w:r>
      <w:r w:rsidRPr="002C7092">
        <w:rPr>
          <w:rFonts w:ascii="Cambria" w:hAnsi="Cambria" w:cs="Times New Roman"/>
          <w:b w:val="0"/>
          <w:bCs/>
          <w:sz w:val="22"/>
          <w:lang w:val="en-US"/>
        </w:rPr>
        <w:t>New York, London, New York University Press, 1994.</w:t>
      </w:r>
    </w:p>
    <w:p w14:paraId="2F914C52"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Meddeb Abdelwahhab et Stora Benjamin (dir.), </w:t>
      </w:r>
      <w:r w:rsidRPr="002C7092">
        <w:rPr>
          <w:rFonts w:ascii="Cambria" w:hAnsi="Cambria" w:cs="Times New Roman"/>
          <w:b w:val="0"/>
          <w:bCs/>
          <w:i/>
          <w:iCs/>
          <w:sz w:val="22"/>
        </w:rPr>
        <w:t xml:space="preserve">Histoire des relations entre juifs et musulmans des origines à nos jours, </w:t>
      </w:r>
      <w:r w:rsidRPr="002C7092">
        <w:rPr>
          <w:rFonts w:ascii="Cambria" w:hAnsi="Cambria" w:cs="Times New Roman"/>
          <w:b w:val="0"/>
          <w:bCs/>
          <w:sz w:val="22"/>
        </w:rPr>
        <w:t>Paris, Albin Michel, 2013.</w:t>
      </w:r>
    </w:p>
    <w:p w14:paraId="7429AFF7"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Messika Martin, </w:t>
      </w:r>
      <w:r w:rsidRPr="002C7092">
        <w:rPr>
          <w:rFonts w:ascii="Cambria" w:hAnsi="Cambria"/>
          <w:b w:val="0"/>
          <w:bCs/>
          <w:i/>
          <w:iCs/>
          <w:sz w:val="22"/>
          <w:szCs w:val="22"/>
          <w:lang w:val="fr-FR"/>
        </w:rPr>
        <w:t xml:space="preserve">Politiques de l’accueil : États et associations face à la migration juive du Maghreb en France et au Canada des années 1950 à la fin des années 1970, </w:t>
      </w:r>
      <w:r w:rsidRPr="002C7092">
        <w:rPr>
          <w:rFonts w:ascii="Cambria" w:hAnsi="Cambria"/>
          <w:b w:val="0"/>
          <w:bCs/>
          <w:sz w:val="22"/>
          <w:szCs w:val="22"/>
          <w:lang w:val="fr-FR"/>
        </w:rPr>
        <w:t>Rennes, PUR, 2020.</w:t>
      </w:r>
    </w:p>
    <w:p w14:paraId="7E509030"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Nataf Claude, </w:t>
      </w:r>
      <w:r w:rsidRPr="002C7092">
        <w:rPr>
          <w:rFonts w:ascii="Cambria" w:hAnsi="Cambria"/>
          <w:b w:val="0"/>
          <w:bCs/>
          <w:i/>
          <w:iCs/>
          <w:sz w:val="22"/>
          <w:szCs w:val="22"/>
          <w:lang w:val="fr-FR"/>
        </w:rPr>
        <w:t xml:space="preserve">Les Juifs de Tunisie sous le joug nazi : 9 novembre 1942 – 8 mai 1943, récits et témoignages rassemblés, présentés et annotés par Claude Nataf, </w:t>
      </w:r>
      <w:r w:rsidRPr="002C7092">
        <w:rPr>
          <w:rFonts w:ascii="Cambria" w:hAnsi="Cambria"/>
          <w:b w:val="0"/>
          <w:bCs/>
          <w:sz w:val="22"/>
          <w:szCs w:val="22"/>
          <w:lang w:val="fr-FR"/>
        </w:rPr>
        <w:t>Paris, Le Manuscrit, Fondation pour la mémoire de la Shoah, 2012.</w:t>
      </w:r>
    </w:p>
    <w:p w14:paraId="73B86C35"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Rivet Daniel, </w:t>
      </w:r>
      <w:r w:rsidRPr="002C7092">
        <w:rPr>
          <w:rFonts w:ascii="Cambria" w:hAnsi="Cambria" w:cs="Times New Roman"/>
          <w:b w:val="0"/>
          <w:bCs/>
          <w:i/>
          <w:iCs/>
          <w:sz w:val="22"/>
        </w:rPr>
        <w:t xml:space="preserve">Le Maghreb à l’épreuve de la colonisation, </w:t>
      </w:r>
      <w:r w:rsidRPr="002C7092">
        <w:rPr>
          <w:rFonts w:ascii="Cambria" w:hAnsi="Cambria" w:cs="Times New Roman"/>
          <w:b w:val="0"/>
          <w:bCs/>
          <w:sz w:val="22"/>
        </w:rPr>
        <w:t>Paris, Fayard-Pluriel, 2010 (2002).</w:t>
      </w:r>
    </w:p>
    <w:p w14:paraId="051C2751"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Saadoun Haïm (coord.), dossier « Les Juifs d’Orient face au nazisme et à la Shoah (1933-1945) », </w:t>
      </w:r>
      <w:r w:rsidRPr="002C7092">
        <w:rPr>
          <w:rFonts w:ascii="Cambria" w:hAnsi="Cambria"/>
          <w:b w:val="0"/>
          <w:bCs/>
          <w:i/>
          <w:iCs/>
          <w:sz w:val="22"/>
          <w:szCs w:val="22"/>
          <w:lang w:val="fr-FR"/>
        </w:rPr>
        <w:t xml:space="preserve">Revue d’histoire de la Shoah, </w:t>
      </w:r>
      <w:r w:rsidRPr="002C7092">
        <w:rPr>
          <w:rFonts w:ascii="Cambria" w:hAnsi="Cambria"/>
          <w:b w:val="0"/>
          <w:bCs/>
          <w:sz w:val="22"/>
          <w:szCs w:val="22"/>
          <w:lang w:val="fr-FR"/>
        </w:rPr>
        <w:t>2016/2 (n° 205).</w:t>
      </w:r>
    </w:p>
    <w:p w14:paraId="241CFDDC"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Sebag Paul, </w:t>
      </w:r>
      <w:r w:rsidRPr="002C7092">
        <w:rPr>
          <w:rFonts w:ascii="Cambria" w:hAnsi="Cambria" w:cs="Times New Roman"/>
          <w:b w:val="0"/>
          <w:bCs/>
          <w:i/>
          <w:iCs/>
          <w:sz w:val="22"/>
        </w:rPr>
        <w:t xml:space="preserve">Histoire des Juifs de Tunisie des origines à nos jours, </w:t>
      </w:r>
      <w:r w:rsidRPr="002C7092">
        <w:rPr>
          <w:rFonts w:ascii="Cambria" w:hAnsi="Cambria" w:cs="Times New Roman"/>
          <w:b w:val="0"/>
          <w:bCs/>
          <w:sz w:val="22"/>
        </w:rPr>
        <w:t>Paris, L’Harmattan, 1991.</w:t>
      </w:r>
    </w:p>
    <w:p w14:paraId="07439394" w14:textId="77777777" w:rsidR="00D11EA2" w:rsidRPr="002C7092" w:rsidRDefault="00D11EA2" w:rsidP="00D11EA2">
      <w:pPr>
        <w:pStyle w:val="ox-294474f2d8-msonormal"/>
        <w:spacing w:before="60" w:beforeAutospacing="0" w:after="60" w:afterAutospacing="0"/>
        <w:rPr>
          <w:rFonts w:ascii="Cambria" w:hAnsi="Cambria"/>
          <w:b w:val="0"/>
          <w:bCs/>
          <w:sz w:val="22"/>
          <w:szCs w:val="22"/>
        </w:rPr>
      </w:pPr>
      <w:r w:rsidRPr="002C7092">
        <w:rPr>
          <w:rFonts w:ascii="Cambria" w:hAnsi="Cambria"/>
          <w:b w:val="0"/>
          <w:bCs/>
          <w:sz w:val="22"/>
          <w:szCs w:val="22"/>
        </w:rPr>
        <w:t xml:space="preserve">Stein Sarah A., </w:t>
      </w:r>
      <w:r w:rsidRPr="002C7092">
        <w:rPr>
          <w:rFonts w:ascii="Cambria" w:hAnsi="Cambria"/>
          <w:b w:val="0"/>
          <w:bCs/>
          <w:i/>
          <w:iCs/>
          <w:sz w:val="22"/>
          <w:szCs w:val="22"/>
        </w:rPr>
        <w:t xml:space="preserve">Saharan Jews and the fate of French Algeria, </w:t>
      </w:r>
      <w:r w:rsidRPr="002C7092">
        <w:rPr>
          <w:rFonts w:ascii="Cambria" w:hAnsi="Cambria"/>
          <w:b w:val="0"/>
          <w:bCs/>
          <w:sz w:val="22"/>
          <w:szCs w:val="22"/>
        </w:rPr>
        <w:t>Chicago, University of Chicago Press, 2014.</w:t>
      </w:r>
    </w:p>
    <w:p w14:paraId="46814026"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Taieb Jacques, </w:t>
      </w:r>
      <w:r w:rsidRPr="002C7092">
        <w:rPr>
          <w:rFonts w:ascii="Cambria" w:hAnsi="Cambria" w:cs="Times New Roman"/>
          <w:b w:val="0"/>
          <w:bCs/>
          <w:i/>
          <w:iCs/>
          <w:sz w:val="22"/>
        </w:rPr>
        <w:t xml:space="preserve">Être juif au Maghreb à la veille de la colonisation, </w:t>
      </w:r>
      <w:r w:rsidRPr="002C7092">
        <w:rPr>
          <w:rFonts w:ascii="Cambria" w:hAnsi="Cambria" w:cs="Times New Roman"/>
          <w:b w:val="0"/>
          <w:bCs/>
          <w:sz w:val="22"/>
        </w:rPr>
        <w:t>Paris, Albin Michel, 1994.</w:t>
      </w:r>
    </w:p>
    <w:p w14:paraId="6786D229"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Valensi Lucette, </w:t>
      </w:r>
      <w:r w:rsidRPr="002C7092">
        <w:rPr>
          <w:rFonts w:ascii="Cambria" w:hAnsi="Cambria" w:cs="Times New Roman"/>
          <w:b w:val="0"/>
          <w:bCs/>
          <w:i/>
          <w:iCs/>
          <w:sz w:val="22"/>
        </w:rPr>
        <w:t xml:space="preserve">Juifs et musulmans en Algérie, </w:t>
      </w:r>
      <w:r w:rsidRPr="002C7092">
        <w:rPr>
          <w:rFonts w:ascii="Cambria" w:hAnsi="Cambria" w:cs="Times New Roman"/>
          <w:b w:val="0"/>
          <w:bCs/>
          <w:sz w:val="22"/>
        </w:rPr>
        <w:t>Paris, Tallandier/Projet Aladin, coll. « Histoire partagée », 2016.</w:t>
      </w:r>
    </w:p>
    <w:p w14:paraId="3A395F5D"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Zafrani Haïm, </w:t>
      </w:r>
      <w:r w:rsidRPr="002C7092">
        <w:rPr>
          <w:rFonts w:ascii="Cambria" w:hAnsi="Cambria" w:cs="Times New Roman"/>
          <w:b w:val="0"/>
          <w:bCs/>
          <w:i/>
          <w:iCs/>
          <w:sz w:val="22"/>
        </w:rPr>
        <w:t xml:space="preserve">Deux mille ans de vie juive au Maroc : histoire et culture, religion et magie, </w:t>
      </w:r>
      <w:r w:rsidRPr="002C7092">
        <w:rPr>
          <w:rFonts w:ascii="Cambria" w:hAnsi="Cambria" w:cs="Times New Roman"/>
          <w:b w:val="0"/>
          <w:bCs/>
          <w:sz w:val="22"/>
        </w:rPr>
        <w:t>Casablanca, Retnani, 2010 (1</w:t>
      </w:r>
      <w:r w:rsidRPr="002C7092">
        <w:rPr>
          <w:rFonts w:ascii="Cambria" w:hAnsi="Cambria" w:cs="Times New Roman"/>
          <w:b w:val="0"/>
          <w:bCs/>
          <w:sz w:val="22"/>
          <w:vertAlign w:val="superscript"/>
        </w:rPr>
        <w:t>ère</w:t>
      </w:r>
      <w:r w:rsidRPr="002C7092">
        <w:rPr>
          <w:rFonts w:ascii="Cambria" w:hAnsi="Cambria" w:cs="Times New Roman"/>
          <w:b w:val="0"/>
          <w:bCs/>
          <w:sz w:val="22"/>
        </w:rPr>
        <w:t xml:space="preserve"> éd. : 1983).</w:t>
      </w:r>
    </w:p>
    <w:p w14:paraId="460C3EEA"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Zytnicki Colette, </w:t>
      </w:r>
      <w:r w:rsidRPr="002C7092">
        <w:rPr>
          <w:rFonts w:ascii="Cambria" w:hAnsi="Cambria" w:cs="Times New Roman"/>
          <w:b w:val="0"/>
          <w:bCs/>
          <w:i/>
          <w:iCs/>
          <w:sz w:val="22"/>
        </w:rPr>
        <w:t xml:space="preserve">Les Juifs du Maghreb : naissance d’une historiographie coloniale, </w:t>
      </w:r>
      <w:r w:rsidRPr="002C7092">
        <w:rPr>
          <w:rFonts w:ascii="Cambria" w:hAnsi="Cambria" w:cs="Times New Roman"/>
          <w:b w:val="0"/>
          <w:bCs/>
          <w:sz w:val="22"/>
        </w:rPr>
        <w:t>Paris, PUPS, 2011.</w:t>
      </w:r>
    </w:p>
    <w:p w14:paraId="5ED65F76" w14:textId="77777777" w:rsidR="00D11EA2" w:rsidRPr="007223DB" w:rsidRDefault="00D11EA2" w:rsidP="00D11EA2">
      <w:pPr>
        <w:spacing w:line="240" w:lineRule="auto"/>
        <w:jc w:val="both"/>
        <w:rPr>
          <w:rFonts w:ascii="Cambria" w:hAnsi="Cambria" w:cs="Times New Roman"/>
          <w:b w:val="0"/>
          <w:bCs/>
          <w:sz w:val="22"/>
        </w:rPr>
      </w:pPr>
    </w:p>
    <w:p w14:paraId="645F4C3B" w14:textId="77777777" w:rsidR="00670870" w:rsidRPr="007223DB" w:rsidRDefault="00670870" w:rsidP="00670870">
      <w:pPr>
        <w:spacing w:after="0" w:line="240" w:lineRule="auto"/>
        <w:jc w:val="center"/>
        <w:rPr>
          <w:rFonts w:ascii="Cambria" w:eastAsia="Calibri" w:hAnsi="Cambria" w:cs="Times New Roman"/>
          <w:b w:val="0"/>
          <w:bCs/>
          <w:i/>
          <w:kern w:val="0"/>
          <w:sz w:val="22"/>
          <w:lang w:eastAsia="en-US"/>
        </w:rPr>
      </w:pPr>
    </w:p>
    <w:p w14:paraId="36FC5F55" w14:textId="77777777" w:rsidR="00670870" w:rsidRPr="007223DB" w:rsidRDefault="00670870" w:rsidP="00670870">
      <w:pPr>
        <w:spacing w:after="0" w:line="240" w:lineRule="auto"/>
        <w:jc w:val="center"/>
        <w:rPr>
          <w:rFonts w:ascii="Cambria" w:eastAsia="Calibri" w:hAnsi="Cambria" w:cs="Times New Roman"/>
          <w:b w:val="0"/>
          <w:bCs/>
          <w:i/>
          <w:kern w:val="0"/>
          <w:sz w:val="22"/>
          <w:lang w:eastAsia="en-US"/>
        </w:rPr>
      </w:pPr>
    </w:p>
    <w:p w14:paraId="541954EA" w14:textId="77777777" w:rsidR="0006566E" w:rsidRPr="007223DB" w:rsidRDefault="0006566E" w:rsidP="00862B25">
      <w:pPr>
        <w:rPr>
          <w:rFonts w:ascii="Cambria" w:hAnsi="Cambria"/>
          <w:b w:val="0"/>
          <w:bCs/>
          <w:sz w:val="22"/>
        </w:rPr>
      </w:pPr>
    </w:p>
    <w:p w14:paraId="7F361292" w14:textId="77777777" w:rsidR="00DE4FB0" w:rsidRPr="007223DB" w:rsidRDefault="00DE4FB0" w:rsidP="00862B25">
      <w:pPr>
        <w:rPr>
          <w:rFonts w:ascii="Cambria" w:hAnsi="Cambria"/>
          <w:b w:val="0"/>
          <w:bCs/>
          <w:sz w:val="22"/>
        </w:rPr>
      </w:pPr>
    </w:p>
    <w:p w14:paraId="60CEA548" w14:textId="77777777" w:rsidR="00DE4FB0" w:rsidRPr="007223DB" w:rsidRDefault="00DE4FB0" w:rsidP="00862B25">
      <w:pPr>
        <w:rPr>
          <w:rFonts w:ascii="Cambria" w:hAnsi="Cambria"/>
          <w:b w:val="0"/>
          <w:bCs/>
          <w:sz w:val="22"/>
        </w:rPr>
      </w:pPr>
    </w:p>
    <w:p w14:paraId="2744702D" w14:textId="77777777" w:rsidR="00DE4FB0" w:rsidRPr="007223DB" w:rsidRDefault="00DE4FB0" w:rsidP="00862B25">
      <w:pPr>
        <w:rPr>
          <w:rFonts w:ascii="Cambria" w:hAnsi="Cambria"/>
          <w:b w:val="0"/>
          <w:bCs/>
          <w:sz w:val="22"/>
        </w:rPr>
      </w:pPr>
    </w:p>
    <w:p w14:paraId="3FA7EABD" w14:textId="77777777" w:rsidR="00DE4FB0" w:rsidRPr="007223DB" w:rsidRDefault="00DE4FB0" w:rsidP="00862B25">
      <w:pPr>
        <w:rPr>
          <w:rFonts w:ascii="Cambria" w:hAnsi="Cambria"/>
          <w:b w:val="0"/>
          <w:bCs/>
          <w:sz w:val="22"/>
        </w:rPr>
      </w:pPr>
    </w:p>
    <w:p w14:paraId="1D4A00C7" w14:textId="77777777" w:rsidR="00DE4FB0" w:rsidRPr="007223DB" w:rsidRDefault="00DE4FB0" w:rsidP="00862B25">
      <w:pPr>
        <w:rPr>
          <w:rFonts w:ascii="Cambria" w:hAnsi="Cambria"/>
          <w:b w:val="0"/>
          <w:bCs/>
          <w:sz w:val="22"/>
        </w:rPr>
      </w:pPr>
    </w:p>
    <w:p w14:paraId="6F097379" w14:textId="77777777" w:rsidR="00DE4FB0" w:rsidRPr="007223DB" w:rsidRDefault="00DE4FB0" w:rsidP="00862B25">
      <w:pPr>
        <w:rPr>
          <w:rFonts w:ascii="Cambria" w:hAnsi="Cambria"/>
          <w:b w:val="0"/>
          <w:bCs/>
          <w:sz w:val="22"/>
        </w:rPr>
      </w:pPr>
    </w:p>
    <w:p w14:paraId="04EC9341" w14:textId="77777777" w:rsidR="00DE4FB0" w:rsidRPr="007223DB" w:rsidRDefault="00DE4FB0" w:rsidP="00862B25">
      <w:pPr>
        <w:rPr>
          <w:rFonts w:ascii="Cambria" w:hAnsi="Cambria"/>
          <w:b w:val="0"/>
          <w:bCs/>
          <w:sz w:val="22"/>
        </w:rPr>
      </w:pPr>
    </w:p>
    <w:p w14:paraId="7C578419" w14:textId="77777777" w:rsidR="00DE4FB0" w:rsidRPr="007223DB" w:rsidRDefault="00DE4FB0" w:rsidP="00862B25">
      <w:pPr>
        <w:rPr>
          <w:rFonts w:ascii="Cambria" w:hAnsi="Cambria"/>
          <w:b w:val="0"/>
          <w:bCs/>
          <w:sz w:val="22"/>
        </w:rPr>
      </w:pPr>
    </w:p>
    <w:p w14:paraId="265B78A4" w14:textId="77777777" w:rsidR="00DE4FB0" w:rsidRPr="007223DB" w:rsidRDefault="00DE4FB0" w:rsidP="00862B25">
      <w:pPr>
        <w:rPr>
          <w:rFonts w:ascii="Cambria" w:hAnsi="Cambria"/>
          <w:b w:val="0"/>
          <w:bCs/>
          <w:sz w:val="22"/>
        </w:rPr>
      </w:pPr>
    </w:p>
    <w:p w14:paraId="30F9A651" w14:textId="77777777" w:rsidR="00DE4FB0" w:rsidRPr="007223DB" w:rsidRDefault="00DE4FB0" w:rsidP="00862B25">
      <w:pPr>
        <w:rPr>
          <w:rFonts w:ascii="Cambria" w:hAnsi="Cambria"/>
          <w:b w:val="0"/>
          <w:bCs/>
          <w:sz w:val="22"/>
        </w:rPr>
      </w:pPr>
    </w:p>
    <w:p w14:paraId="41D514B8" w14:textId="77777777" w:rsidR="00DE4FB0" w:rsidRPr="007223DB" w:rsidRDefault="00DE4FB0" w:rsidP="00862B25">
      <w:pPr>
        <w:rPr>
          <w:rFonts w:ascii="Cambria" w:hAnsi="Cambria"/>
          <w:b w:val="0"/>
          <w:bCs/>
          <w:sz w:val="22"/>
        </w:rPr>
      </w:pPr>
    </w:p>
    <w:p w14:paraId="7C6FB931" w14:textId="77777777" w:rsidR="00092E51" w:rsidRPr="007223DB" w:rsidRDefault="00092E51" w:rsidP="00862B25">
      <w:pPr>
        <w:rPr>
          <w:rFonts w:ascii="Cambria" w:hAnsi="Cambria"/>
          <w:b w:val="0"/>
          <w:bCs/>
          <w:sz w:val="22"/>
        </w:rPr>
      </w:pPr>
    </w:p>
    <w:p w14:paraId="29CBD3C5" w14:textId="77777777" w:rsidR="00092E51" w:rsidRPr="007223DB" w:rsidRDefault="00092E51" w:rsidP="00862B25">
      <w:pPr>
        <w:rPr>
          <w:rFonts w:ascii="Cambria" w:hAnsi="Cambria"/>
          <w:b w:val="0"/>
          <w:bCs/>
          <w:sz w:val="22"/>
        </w:rPr>
      </w:pPr>
    </w:p>
    <w:p w14:paraId="6E4792E2" w14:textId="77777777" w:rsidR="00DE4FB0" w:rsidRPr="007223DB" w:rsidRDefault="00DE4FB0" w:rsidP="00862B25">
      <w:pPr>
        <w:rPr>
          <w:rFonts w:ascii="Cambria" w:hAnsi="Cambria"/>
          <w:b w:val="0"/>
          <w:bCs/>
          <w:sz w:val="22"/>
        </w:rPr>
      </w:pPr>
    </w:p>
    <w:p w14:paraId="2EDE5ECC" w14:textId="77777777" w:rsidR="00E14195" w:rsidRPr="007223DB" w:rsidRDefault="00E14195" w:rsidP="000D7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14AC640" w14:textId="77777777" w:rsidR="00092E51" w:rsidRPr="007223DB" w:rsidRDefault="00092E51" w:rsidP="00502E81">
      <w:pPr>
        <w:jc w:val="center"/>
        <w:rPr>
          <w:rFonts w:ascii="Cambria" w:hAnsi="Cambria" w:cs="Times New Roman"/>
          <w:i/>
          <w:color w:val="C00000"/>
          <w:sz w:val="28"/>
          <w:szCs w:val="28"/>
        </w:rPr>
      </w:pPr>
    </w:p>
    <w:p w14:paraId="79CC7C6B" w14:textId="77777777" w:rsidR="00092E51" w:rsidRPr="007223DB" w:rsidRDefault="00092E51" w:rsidP="00502E81">
      <w:pPr>
        <w:jc w:val="center"/>
        <w:rPr>
          <w:rFonts w:ascii="Cambria" w:hAnsi="Cambria" w:cs="Times New Roman"/>
          <w:i/>
          <w:color w:val="C00000"/>
          <w:sz w:val="28"/>
          <w:szCs w:val="28"/>
        </w:rPr>
      </w:pPr>
    </w:p>
    <w:p w14:paraId="6213BFC0" w14:textId="77777777" w:rsidR="00092E51" w:rsidRPr="007223DB" w:rsidRDefault="00092E51" w:rsidP="00502E81">
      <w:pPr>
        <w:jc w:val="center"/>
        <w:rPr>
          <w:rFonts w:ascii="Cambria" w:hAnsi="Cambria" w:cs="Times New Roman"/>
          <w:i/>
          <w:color w:val="C00000"/>
          <w:sz w:val="28"/>
          <w:szCs w:val="28"/>
        </w:rPr>
      </w:pPr>
    </w:p>
    <w:p w14:paraId="3F06B984" w14:textId="77777777" w:rsidR="00092E51" w:rsidRPr="007223DB" w:rsidRDefault="00092E51" w:rsidP="00502E81">
      <w:pPr>
        <w:jc w:val="center"/>
        <w:rPr>
          <w:rFonts w:ascii="Cambria" w:hAnsi="Cambria" w:cs="Times New Roman"/>
          <w:i/>
          <w:color w:val="C00000"/>
          <w:sz w:val="28"/>
          <w:szCs w:val="28"/>
        </w:rPr>
      </w:pPr>
    </w:p>
    <w:p w14:paraId="48EA4E5B" w14:textId="77777777" w:rsidR="00092E51" w:rsidRPr="007223DB" w:rsidRDefault="00092E51" w:rsidP="00502E81">
      <w:pPr>
        <w:jc w:val="center"/>
        <w:rPr>
          <w:rFonts w:ascii="Cambria" w:hAnsi="Cambria" w:cs="Times New Roman"/>
          <w:i/>
          <w:color w:val="C00000"/>
          <w:sz w:val="28"/>
          <w:szCs w:val="28"/>
        </w:rPr>
      </w:pPr>
    </w:p>
    <w:p w14:paraId="508FB7AE" w14:textId="77777777" w:rsidR="00092E51" w:rsidRPr="007223DB" w:rsidRDefault="00092E51" w:rsidP="00502E81">
      <w:pPr>
        <w:jc w:val="center"/>
        <w:rPr>
          <w:rFonts w:ascii="Cambria" w:hAnsi="Cambria" w:cs="Times New Roman"/>
          <w:i/>
          <w:color w:val="C00000"/>
          <w:sz w:val="28"/>
          <w:szCs w:val="28"/>
        </w:rPr>
      </w:pPr>
    </w:p>
    <w:p w14:paraId="25BC9097" w14:textId="77777777" w:rsidR="00092E51" w:rsidRPr="007223DB" w:rsidRDefault="00092E51" w:rsidP="00502E81">
      <w:pPr>
        <w:jc w:val="center"/>
        <w:rPr>
          <w:rFonts w:ascii="Cambria" w:hAnsi="Cambria" w:cs="Times New Roman"/>
          <w:i/>
          <w:color w:val="C00000"/>
          <w:sz w:val="28"/>
          <w:szCs w:val="28"/>
        </w:rPr>
      </w:pPr>
    </w:p>
    <w:p w14:paraId="01E5C774" w14:textId="77777777" w:rsidR="00092E51" w:rsidRPr="007223DB" w:rsidRDefault="00092E51" w:rsidP="00502E81">
      <w:pPr>
        <w:jc w:val="center"/>
        <w:rPr>
          <w:rFonts w:ascii="Cambria" w:hAnsi="Cambria" w:cs="Times New Roman"/>
          <w:i/>
          <w:color w:val="C00000"/>
          <w:sz w:val="28"/>
          <w:szCs w:val="28"/>
        </w:rPr>
      </w:pPr>
    </w:p>
    <w:p w14:paraId="05EC05EE" w14:textId="77777777" w:rsidR="00092E51" w:rsidRPr="007223DB" w:rsidRDefault="00092E51" w:rsidP="00502E81">
      <w:pPr>
        <w:jc w:val="center"/>
        <w:rPr>
          <w:rFonts w:ascii="Cambria" w:hAnsi="Cambria" w:cs="Times New Roman"/>
          <w:i/>
          <w:color w:val="C00000"/>
          <w:sz w:val="28"/>
          <w:szCs w:val="28"/>
        </w:rPr>
      </w:pPr>
    </w:p>
    <w:p w14:paraId="4C2F6C3C" w14:textId="77777777" w:rsidR="00092E51" w:rsidRPr="007223DB" w:rsidRDefault="00092E51" w:rsidP="00502E81">
      <w:pPr>
        <w:jc w:val="center"/>
        <w:rPr>
          <w:rFonts w:ascii="Cambria" w:hAnsi="Cambria" w:cs="Times New Roman"/>
          <w:i/>
          <w:color w:val="C00000"/>
          <w:sz w:val="28"/>
          <w:szCs w:val="28"/>
        </w:rPr>
      </w:pPr>
    </w:p>
    <w:p w14:paraId="1AF2C37D" w14:textId="77777777" w:rsidR="00092E51" w:rsidRPr="007223DB" w:rsidRDefault="00092E51" w:rsidP="00502E81">
      <w:pPr>
        <w:jc w:val="center"/>
        <w:rPr>
          <w:rFonts w:ascii="Cambria" w:hAnsi="Cambria" w:cs="Times New Roman"/>
          <w:i/>
          <w:color w:val="C00000"/>
          <w:sz w:val="28"/>
          <w:szCs w:val="28"/>
        </w:rPr>
      </w:pPr>
    </w:p>
    <w:p w14:paraId="01E14BB9" w14:textId="77777777" w:rsidR="00092E51" w:rsidRPr="007223DB" w:rsidRDefault="00092E51" w:rsidP="00502E81">
      <w:pPr>
        <w:jc w:val="center"/>
        <w:rPr>
          <w:rFonts w:ascii="Cambria" w:hAnsi="Cambria" w:cs="Times New Roman"/>
          <w:i/>
          <w:color w:val="C00000"/>
          <w:sz w:val="28"/>
          <w:szCs w:val="28"/>
        </w:rPr>
      </w:pPr>
    </w:p>
    <w:p w14:paraId="3D631BC4" w14:textId="77777777" w:rsidR="00092E51" w:rsidRPr="007223DB" w:rsidRDefault="00092E51" w:rsidP="00502E81">
      <w:pPr>
        <w:jc w:val="center"/>
        <w:rPr>
          <w:rFonts w:ascii="Cambria" w:hAnsi="Cambria" w:cs="Times New Roman"/>
          <w:i/>
          <w:color w:val="C00000"/>
          <w:sz w:val="28"/>
          <w:szCs w:val="28"/>
        </w:rPr>
      </w:pPr>
    </w:p>
    <w:p w14:paraId="3E0DDD06" w14:textId="77777777" w:rsidR="00092E51" w:rsidRPr="007223DB" w:rsidRDefault="00092E51" w:rsidP="00502E81">
      <w:pPr>
        <w:jc w:val="center"/>
        <w:rPr>
          <w:rFonts w:ascii="Cambria" w:hAnsi="Cambria" w:cs="Times New Roman"/>
          <w:i/>
          <w:color w:val="C00000"/>
          <w:sz w:val="28"/>
          <w:szCs w:val="28"/>
        </w:rPr>
      </w:pPr>
    </w:p>
    <w:p w14:paraId="53BCDDC9" w14:textId="77777777" w:rsidR="00092E51" w:rsidRPr="007223DB" w:rsidRDefault="00092E51" w:rsidP="00502E81">
      <w:pPr>
        <w:jc w:val="center"/>
        <w:rPr>
          <w:rFonts w:ascii="Cambria" w:hAnsi="Cambria" w:cs="Times New Roman"/>
          <w:i/>
          <w:color w:val="C00000"/>
          <w:sz w:val="28"/>
          <w:szCs w:val="28"/>
        </w:rPr>
      </w:pPr>
    </w:p>
    <w:p w14:paraId="6EC1276C" w14:textId="77777777" w:rsidR="00092E51" w:rsidRPr="007223DB" w:rsidRDefault="00092E51" w:rsidP="00502E81">
      <w:pPr>
        <w:jc w:val="center"/>
        <w:rPr>
          <w:rFonts w:ascii="Cambria" w:hAnsi="Cambria" w:cs="Times New Roman"/>
          <w:i/>
          <w:color w:val="C00000"/>
          <w:sz w:val="28"/>
          <w:szCs w:val="28"/>
        </w:rPr>
      </w:pPr>
    </w:p>
    <w:p w14:paraId="72B6E5E9" w14:textId="77777777" w:rsidR="00092E51" w:rsidRPr="007223DB" w:rsidRDefault="00092E51" w:rsidP="00502E81">
      <w:pPr>
        <w:jc w:val="center"/>
        <w:rPr>
          <w:rFonts w:ascii="Cambria" w:hAnsi="Cambria" w:cs="Times New Roman"/>
          <w:i/>
          <w:color w:val="C00000"/>
          <w:sz w:val="28"/>
          <w:szCs w:val="28"/>
        </w:rPr>
      </w:pPr>
    </w:p>
    <w:p w14:paraId="0B4164FE" w14:textId="77777777" w:rsidR="00092E51" w:rsidRPr="007223DB" w:rsidRDefault="00092E51" w:rsidP="00502E81">
      <w:pPr>
        <w:jc w:val="center"/>
        <w:rPr>
          <w:rFonts w:ascii="Cambria" w:hAnsi="Cambria" w:cs="Times New Roman"/>
          <w:i/>
          <w:color w:val="C00000"/>
          <w:sz w:val="28"/>
          <w:szCs w:val="28"/>
        </w:rPr>
      </w:pPr>
    </w:p>
    <w:p w14:paraId="3E3F37DB" w14:textId="77777777" w:rsidR="00092E51" w:rsidRPr="007223DB" w:rsidRDefault="00092E51" w:rsidP="00502E81">
      <w:pPr>
        <w:jc w:val="center"/>
        <w:rPr>
          <w:rFonts w:ascii="Cambria" w:hAnsi="Cambria" w:cs="Times New Roman"/>
          <w:i/>
          <w:color w:val="C00000"/>
          <w:sz w:val="28"/>
          <w:szCs w:val="28"/>
        </w:rPr>
      </w:pPr>
    </w:p>
    <w:p w14:paraId="537289D5" w14:textId="77777777" w:rsidR="00092E51" w:rsidRPr="007223DB" w:rsidRDefault="00092E51" w:rsidP="00502E81">
      <w:pPr>
        <w:jc w:val="center"/>
        <w:rPr>
          <w:rFonts w:ascii="Cambria" w:hAnsi="Cambria" w:cs="Times New Roman"/>
          <w:i/>
          <w:color w:val="C00000"/>
          <w:sz w:val="28"/>
          <w:szCs w:val="28"/>
        </w:rPr>
      </w:pPr>
    </w:p>
    <w:p w14:paraId="6D77F7AF" w14:textId="77777777" w:rsidR="00092E51" w:rsidRPr="007223DB" w:rsidRDefault="00092E51" w:rsidP="00502E81">
      <w:pPr>
        <w:jc w:val="center"/>
        <w:rPr>
          <w:rFonts w:ascii="Cambria" w:hAnsi="Cambria" w:cs="Times New Roman"/>
          <w:i/>
          <w:color w:val="C00000"/>
          <w:sz w:val="28"/>
          <w:szCs w:val="28"/>
        </w:rPr>
      </w:pPr>
    </w:p>
    <w:p w14:paraId="13700177" w14:textId="77777777" w:rsidR="00092E51" w:rsidRPr="007223DB" w:rsidRDefault="00092E51" w:rsidP="00502E81">
      <w:pPr>
        <w:jc w:val="center"/>
        <w:rPr>
          <w:rFonts w:ascii="Cambria" w:hAnsi="Cambria" w:cs="Times New Roman"/>
          <w:i/>
          <w:color w:val="C00000"/>
          <w:sz w:val="28"/>
          <w:szCs w:val="28"/>
        </w:rPr>
      </w:pPr>
    </w:p>
    <w:p w14:paraId="46961991" w14:textId="23308D90" w:rsidR="00092E51" w:rsidRPr="004C5090" w:rsidRDefault="00471F61" w:rsidP="004C5090">
      <w:pPr>
        <w:jc w:val="center"/>
        <w:rPr>
          <w:rFonts w:ascii="Cambria" w:hAnsi="Cambria" w:cs="Times New Roman"/>
          <w:i/>
          <w:color w:val="C00000"/>
          <w:sz w:val="28"/>
          <w:szCs w:val="28"/>
        </w:rPr>
      </w:pPr>
      <w:r w:rsidRPr="007223DB">
        <w:rPr>
          <w:rFonts w:ascii="Cambria" w:hAnsi="Cambria" w:cs="Times New Roman"/>
          <w:i/>
          <w:color w:val="C00000"/>
          <w:sz w:val="28"/>
          <w:szCs w:val="28"/>
        </w:rPr>
        <w:t>J30</w:t>
      </w:r>
      <w:r w:rsidR="00BC6489" w:rsidRPr="007223DB">
        <w:rPr>
          <w:rFonts w:ascii="Cambria" w:hAnsi="Cambria" w:cs="Times New Roman"/>
          <w:i/>
          <w:color w:val="C00000"/>
          <w:sz w:val="28"/>
          <w:szCs w:val="28"/>
        </w:rPr>
        <w:t>14325</w:t>
      </w:r>
      <w:r w:rsidR="0044222A" w:rsidRPr="007223DB">
        <w:rPr>
          <w:rFonts w:ascii="Cambria" w:hAnsi="Cambria" w:cs="Times New Roman"/>
          <w:i/>
          <w:color w:val="C00000"/>
          <w:sz w:val="28"/>
          <w:szCs w:val="28"/>
        </w:rPr>
        <w:t>/</w:t>
      </w:r>
      <w:r w:rsidRPr="007223DB">
        <w:rPr>
          <w:rFonts w:ascii="Cambria" w:hAnsi="Cambria" w:cs="Times New Roman"/>
          <w:i/>
          <w:color w:val="C00000"/>
          <w:sz w:val="28"/>
          <w:szCs w:val="28"/>
        </w:rPr>
        <w:t>J30</w:t>
      </w:r>
      <w:r w:rsidR="00BC6489" w:rsidRPr="007223DB">
        <w:rPr>
          <w:rFonts w:ascii="Cambria" w:hAnsi="Cambria" w:cs="Times New Roman"/>
          <w:i/>
          <w:color w:val="C00000"/>
          <w:sz w:val="28"/>
          <w:szCs w:val="28"/>
        </w:rPr>
        <w:t>14425</w:t>
      </w:r>
      <w:r w:rsidR="0044222A" w:rsidRPr="007223DB">
        <w:rPr>
          <w:rFonts w:ascii="Cambria" w:hAnsi="Cambria" w:cs="Times New Roman"/>
          <w:i/>
          <w:color w:val="C00000"/>
          <w:sz w:val="28"/>
          <w:szCs w:val="28"/>
        </w:rPr>
        <w:t xml:space="preserve"> : </w:t>
      </w:r>
      <w:r w:rsidR="00DB2631" w:rsidRPr="007223DB">
        <w:rPr>
          <w:rFonts w:ascii="Cambria" w:hAnsi="Cambria" w:cs="Times New Roman"/>
          <w:i/>
          <w:color w:val="C00000"/>
          <w:sz w:val="28"/>
          <w:szCs w:val="28"/>
        </w:rPr>
        <w:t>Histoire religieuse, histoire des croyances, XIX</w:t>
      </w:r>
      <w:r w:rsidR="00DB2631" w:rsidRPr="007223DB">
        <w:rPr>
          <w:rFonts w:ascii="Cambria" w:hAnsi="Cambria" w:cs="Times New Roman"/>
          <w:i/>
          <w:color w:val="C00000"/>
          <w:sz w:val="28"/>
          <w:szCs w:val="28"/>
          <w:vertAlign w:val="superscript"/>
        </w:rPr>
        <w:t>e</w:t>
      </w:r>
      <w:r w:rsidR="00DB2631" w:rsidRPr="007223DB">
        <w:rPr>
          <w:rFonts w:ascii="Cambria" w:hAnsi="Cambria" w:cs="Times New Roman"/>
          <w:i/>
          <w:color w:val="C00000"/>
          <w:sz w:val="28"/>
          <w:szCs w:val="28"/>
        </w:rPr>
        <w:t>-XX</w:t>
      </w:r>
      <w:r w:rsidR="00DB2631" w:rsidRPr="007223DB">
        <w:rPr>
          <w:rFonts w:ascii="Cambria" w:hAnsi="Cambria" w:cs="Times New Roman"/>
          <w:i/>
          <w:color w:val="C00000"/>
          <w:sz w:val="28"/>
          <w:szCs w:val="28"/>
          <w:vertAlign w:val="superscript"/>
        </w:rPr>
        <w:t>e</w:t>
      </w:r>
      <w:r w:rsidR="00DB2631" w:rsidRPr="007223DB">
        <w:rPr>
          <w:rFonts w:ascii="Cambria" w:hAnsi="Cambria" w:cs="Times New Roman"/>
          <w:i/>
          <w:color w:val="C00000"/>
          <w:sz w:val="28"/>
          <w:szCs w:val="28"/>
        </w:rPr>
        <w:t xml:space="preserve"> siècle</w:t>
      </w:r>
    </w:p>
    <w:p w14:paraId="65D21D25" w14:textId="3494ABF8" w:rsidR="001C6A64" w:rsidRPr="004C5090" w:rsidRDefault="00DB2631" w:rsidP="00354882">
      <w:pPr>
        <w:spacing w:line="276" w:lineRule="auto"/>
        <w:jc w:val="center"/>
        <w:rPr>
          <w:rFonts w:ascii="Cambria" w:hAnsi="Cambria" w:cs="Times New Roman"/>
          <w:b w:val="0"/>
          <w:sz w:val="22"/>
        </w:rPr>
      </w:pPr>
      <w:r w:rsidRPr="004C5090">
        <w:rPr>
          <w:rFonts w:ascii="Cambria" w:hAnsi="Cambria" w:cs="Times New Roman"/>
          <w:sz w:val="22"/>
        </w:rPr>
        <w:t>Guillaume Cuchet (CM/TD)</w:t>
      </w:r>
    </w:p>
    <w:p w14:paraId="48B5080E" w14:textId="3096742E" w:rsidR="001C6A64" w:rsidRPr="005E4434" w:rsidRDefault="00AD52E6" w:rsidP="00EF1149">
      <w:pPr>
        <w:spacing w:line="276" w:lineRule="auto"/>
        <w:rPr>
          <w:rFonts w:ascii="Cambria" w:hAnsi="Cambria" w:cs="Times New Roman"/>
          <w:color w:val="C00000"/>
          <w:sz w:val="22"/>
        </w:rPr>
      </w:pPr>
      <w:r w:rsidRPr="005E4434">
        <w:rPr>
          <w:rFonts w:ascii="Cambria" w:hAnsi="Cambria" w:cs="Times New Roman"/>
          <w:color w:val="C00000"/>
          <w:sz w:val="22"/>
          <w:u w:val="single"/>
        </w:rPr>
        <w:t>Sujet du cours </w:t>
      </w:r>
      <w:r w:rsidR="004C5090" w:rsidRPr="005E4434">
        <w:rPr>
          <w:rFonts w:ascii="Cambria" w:hAnsi="Cambria" w:cs="Times New Roman"/>
          <w:color w:val="C00000"/>
          <w:sz w:val="22"/>
          <w:u w:val="single"/>
        </w:rPr>
        <w:t xml:space="preserve">semestre </w:t>
      </w:r>
      <w:r w:rsidR="00EC2AA1" w:rsidRPr="005E4434">
        <w:rPr>
          <w:rFonts w:ascii="Cambria" w:hAnsi="Cambria" w:cs="Times New Roman"/>
          <w:color w:val="C00000"/>
          <w:sz w:val="22"/>
          <w:u w:val="single"/>
        </w:rPr>
        <w:t>1</w:t>
      </w:r>
      <w:r w:rsidR="00EC2AA1" w:rsidRPr="005E4434">
        <w:rPr>
          <w:rFonts w:ascii="Cambria" w:hAnsi="Cambria" w:cs="Times New Roman"/>
          <w:color w:val="C00000"/>
          <w:sz w:val="22"/>
        </w:rPr>
        <w:t xml:space="preserve"> </w:t>
      </w:r>
      <w:r w:rsidRPr="005E4434">
        <w:rPr>
          <w:rFonts w:ascii="Cambria" w:hAnsi="Cambria" w:cs="Times New Roman"/>
          <w:color w:val="C00000"/>
          <w:sz w:val="22"/>
        </w:rPr>
        <w:t xml:space="preserve">: </w:t>
      </w:r>
      <w:r w:rsidR="00DB2631" w:rsidRPr="005E4434">
        <w:rPr>
          <w:rFonts w:ascii="Cambria" w:hAnsi="Cambria" w:cs="Times New Roman"/>
          <w:color w:val="C00000"/>
          <w:sz w:val="22"/>
        </w:rPr>
        <w:t xml:space="preserve">Histoire des attitudes devant la mort </w:t>
      </w:r>
      <w:r w:rsidR="00F65046" w:rsidRPr="005E4434">
        <w:rPr>
          <w:rFonts w:ascii="Cambria" w:hAnsi="Cambria" w:cs="Times New Roman"/>
          <w:color w:val="C00000"/>
          <w:sz w:val="22"/>
        </w:rPr>
        <w:t xml:space="preserve">au XX-XXIe siècle </w:t>
      </w:r>
    </w:p>
    <w:p w14:paraId="389A4550" w14:textId="4AF4E089" w:rsidR="007F2C63" w:rsidRPr="004C5090" w:rsidRDefault="007F2C63" w:rsidP="004C5090">
      <w:pPr>
        <w:spacing w:after="0" w:line="360" w:lineRule="auto"/>
        <w:jc w:val="both"/>
        <w:rPr>
          <w:rFonts w:ascii="Cambria" w:hAnsi="Cambria" w:cs="Times New Roman"/>
          <w:b w:val="0"/>
          <w:bCs/>
          <w:sz w:val="22"/>
        </w:rPr>
      </w:pPr>
      <w:r w:rsidRPr="004C5090">
        <w:rPr>
          <w:rFonts w:ascii="Cambria" w:hAnsi="Cambria" w:cs="Times New Roman"/>
          <w:b w:val="0"/>
          <w:bCs/>
          <w:sz w:val="22"/>
        </w:rPr>
        <w:t>Que la mort ait une histoire, les historiens s’en sont avisés au moins depuis les années 1970, date à partir de laquelle on s’est mis à beaucoup parler du « déni de la mort dans les sociétés occidentales ». Le domaine a même constitué un temps un des secteurs les plus dynamiques de l’histoire dite des mentalités. Cette histoire a été beaucoup renouvelée ces dernières années sous le coup d’interrogations nouvelles nées notamment de cette révolution funéraire qu’est la diffusion de la crémation (0,2 % des défunts en France au début des années 1960, plus de 40 % aujourd’hui), l’allongement de la durée de la vie et donc le vieillissement des populations, les nouveaux débats sur la fin de vie et l’« aide à mourir », etc. Le cours sera centré sur la période contemporaine depuis la Première Guerre mondiale jusqu’à nos jours et s’efforcera d’embrasser toutes les dimensions du sujet, de la démographie à la religion en passant par la société, la culture, la médecine ou la conception des âges de la vie.</w:t>
      </w:r>
    </w:p>
    <w:p w14:paraId="19D0D42F" w14:textId="77777777" w:rsidR="007F2C63" w:rsidRPr="004C5090" w:rsidRDefault="007F2C63" w:rsidP="007F2C63">
      <w:pPr>
        <w:spacing w:after="0" w:line="360" w:lineRule="auto"/>
        <w:jc w:val="both"/>
        <w:rPr>
          <w:rFonts w:ascii="Cambria" w:hAnsi="Cambria" w:cs="Times New Roman"/>
          <w:b w:val="0"/>
          <w:bCs/>
          <w:sz w:val="22"/>
        </w:rPr>
      </w:pPr>
    </w:p>
    <w:p w14:paraId="3B8F60DD" w14:textId="403B109F" w:rsidR="00FF4C71" w:rsidRPr="004C5090" w:rsidRDefault="007F2C63" w:rsidP="00FF4C71">
      <w:pPr>
        <w:spacing w:after="0" w:line="360" w:lineRule="auto"/>
        <w:jc w:val="both"/>
        <w:rPr>
          <w:rFonts w:ascii="Cambria" w:hAnsi="Cambria" w:cs="Times New Roman"/>
          <w:sz w:val="22"/>
        </w:rPr>
      </w:pPr>
      <w:r w:rsidRPr="004C5090">
        <w:rPr>
          <w:rFonts w:ascii="Cambria" w:hAnsi="Cambria" w:cs="Times New Roman"/>
          <w:sz w:val="22"/>
        </w:rPr>
        <w:t>Bibliographie</w:t>
      </w:r>
    </w:p>
    <w:p w14:paraId="0683D488"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Aries</w:t>
      </w:r>
      <w:r w:rsidRPr="004C5090">
        <w:rPr>
          <w:rFonts w:ascii="Cambria" w:hAnsi="Cambria" w:cs="Times New Roman"/>
          <w:b w:val="0"/>
          <w:bCs/>
          <w:sz w:val="22"/>
        </w:rPr>
        <w:t xml:space="preserve"> Philippe, </w:t>
      </w:r>
      <w:r w:rsidRPr="004C5090">
        <w:rPr>
          <w:rFonts w:ascii="Cambria" w:hAnsi="Cambria" w:cs="Times New Roman"/>
          <w:b w:val="0"/>
          <w:bCs/>
          <w:i/>
          <w:sz w:val="22"/>
        </w:rPr>
        <w:t>Essais sur l’histoire de la mort en Occident du Moyen Âge à nos jours</w:t>
      </w:r>
      <w:r w:rsidRPr="004C5090">
        <w:rPr>
          <w:rFonts w:ascii="Cambria" w:hAnsi="Cambria" w:cs="Times New Roman"/>
          <w:b w:val="0"/>
          <w:bCs/>
          <w:sz w:val="22"/>
        </w:rPr>
        <w:t>, Paris, Le Seuil, coll. « Points », 1975.</w:t>
      </w:r>
    </w:p>
    <w:p w14:paraId="0A7D1B82"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Bertrand</w:t>
      </w:r>
      <w:r w:rsidRPr="004C5090">
        <w:rPr>
          <w:rFonts w:ascii="Cambria" w:hAnsi="Cambria" w:cs="Times New Roman"/>
          <w:b w:val="0"/>
          <w:bCs/>
          <w:sz w:val="22"/>
        </w:rPr>
        <w:t xml:space="preserve"> Régis et </w:t>
      </w:r>
      <w:r w:rsidRPr="004C5090">
        <w:rPr>
          <w:rFonts w:ascii="Cambria" w:hAnsi="Cambria" w:cs="Times New Roman"/>
          <w:b w:val="0"/>
          <w:bCs/>
          <w:smallCaps/>
          <w:sz w:val="22"/>
        </w:rPr>
        <w:t>Carol</w:t>
      </w:r>
      <w:r w:rsidRPr="004C5090">
        <w:rPr>
          <w:rFonts w:ascii="Cambria" w:hAnsi="Cambria" w:cs="Times New Roman"/>
          <w:b w:val="0"/>
          <w:bCs/>
          <w:sz w:val="22"/>
        </w:rPr>
        <w:t xml:space="preserve"> Anne (sous dir.), </w:t>
      </w:r>
      <w:r w:rsidRPr="004C5090">
        <w:rPr>
          <w:rFonts w:ascii="Cambria" w:hAnsi="Cambria" w:cs="Times New Roman"/>
          <w:b w:val="0"/>
          <w:bCs/>
          <w:i/>
          <w:sz w:val="22"/>
        </w:rPr>
        <w:t>Aux origines des cimetières contemporains. Les réformes funéraires de l’Europe occidentale XVIII</w:t>
      </w:r>
      <w:r w:rsidRPr="004C5090">
        <w:rPr>
          <w:rFonts w:ascii="Cambria" w:hAnsi="Cambria" w:cs="Times New Roman"/>
          <w:b w:val="0"/>
          <w:bCs/>
          <w:i/>
          <w:sz w:val="22"/>
          <w:vertAlign w:val="superscript"/>
        </w:rPr>
        <w:t>e</w:t>
      </w:r>
      <w:r w:rsidRPr="004C5090">
        <w:rPr>
          <w:rFonts w:ascii="Cambria" w:hAnsi="Cambria" w:cs="Times New Roman"/>
          <w:b w:val="0"/>
          <w:bCs/>
          <w:i/>
          <w:sz w:val="22"/>
        </w:rPr>
        <w:t>-XIX</w:t>
      </w:r>
      <w:r w:rsidRPr="004C5090">
        <w:rPr>
          <w:rFonts w:ascii="Cambria" w:hAnsi="Cambria" w:cs="Times New Roman"/>
          <w:b w:val="0"/>
          <w:bCs/>
          <w:i/>
          <w:sz w:val="22"/>
          <w:vertAlign w:val="superscript"/>
        </w:rPr>
        <w:t>e</w:t>
      </w:r>
      <w:r w:rsidRPr="004C5090">
        <w:rPr>
          <w:rFonts w:ascii="Cambria" w:hAnsi="Cambria" w:cs="Times New Roman"/>
          <w:b w:val="0"/>
          <w:bCs/>
          <w:i/>
          <w:sz w:val="22"/>
        </w:rPr>
        <w:t xml:space="preserve"> siècle</w:t>
      </w:r>
      <w:r w:rsidRPr="004C5090">
        <w:rPr>
          <w:rFonts w:ascii="Cambria" w:hAnsi="Cambria" w:cs="Times New Roman"/>
          <w:b w:val="0"/>
          <w:bCs/>
          <w:sz w:val="22"/>
        </w:rPr>
        <w:t>, Presses universitaires de Provence, 2016.</w:t>
      </w:r>
    </w:p>
    <w:p w14:paraId="7C95033E"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Cuchet</w:t>
      </w:r>
      <w:r w:rsidRPr="004C5090">
        <w:rPr>
          <w:rFonts w:ascii="Cambria" w:hAnsi="Cambria" w:cs="Times New Roman"/>
          <w:b w:val="0"/>
          <w:bCs/>
          <w:sz w:val="22"/>
        </w:rPr>
        <w:t xml:space="preserve"> (Guillaume), </w:t>
      </w:r>
      <w:r w:rsidRPr="004C5090">
        <w:rPr>
          <w:rFonts w:ascii="Cambria" w:hAnsi="Cambria" w:cs="Times New Roman"/>
          <w:b w:val="0"/>
          <w:bCs/>
          <w:i/>
          <w:iCs/>
          <w:sz w:val="22"/>
        </w:rPr>
        <w:t>La religion des morts. Comment le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a inventé le deuil moderne</w:t>
      </w:r>
      <w:r w:rsidRPr="004C5090">
        <w:rPr>
          <w:rFonts w:ascii="Cambria" w:hAnsi="Cambria" w:cs="Times New Roman"/>
          <w:b w:val="0"/>
          <w:bCs/>
          <w:sz w:val="22"/>
        </w:rPr>
        <w:t>, Le Seuil, coll. « Univers historique », 2026.</w:t>
      </w:r>
    </w:p>
    <w:p w14:paraId="7BAA6A7D" w14:textId="77777777" w:rsidR="00FF4C71" w:rsidRPr="004C5090" w:rsidRDefault="00FF4C71" w:rsidP="00FF4C71">
      <w:pPr>
        <w:spacing w:after="0" w:line="360" w:lineRule="auto"/>
        <w:rPr>
          <w:rFonts w:ascii="Cambria" w:hAnsi="Cambria" w:cs="Times New Roman"/>
          <w:b w:val="0"/>
          <w:bCs/>
          <w:i/>
          <w:sz w:val="22"/>
        </w:rPr>
      </w:pPr>
      <w:r w:rsidRPr="004C5090">
        <w:rPr>
          <w:rFonts w:ascii="Cambria" w:hAnsi="Cambria" w:cs="Times New Roman"/>
          <w:b w:val="0"/>
          <w:bCs/>
          <w:smallCaps/>
          <w:sz w:val="22"/>
        </w:rPr>
        <w:t xml:space="preserve">Laqueur </w:t>
      </w:r>
      <w:r w:rsidRPr="004C5090">
        <w:rPr>
          <w:rFonts w:ascii="Cambria" w:hAnsi="Cambria" w:cs="Times New Roman"/>
          <w:b w:val="0"/>
          <w:bCs/>
          <w:sz w:val="22"/>
        </w:rPr>
        <w:t xml:space="preserve">Thomas W., </w:t>
      </w:r>
      <w:r w:rsidRPr="004C5090">
        <w:rPr>
          <w:rFonts w:ascii="Cambria" w:hAnsi="Cambria" w:cs="Times New Roman"/>
          <w:b w:val="0"/>
          <w:bCs/>
          <w:i/>
          <w:sz w:val="22"/>
        </w:rPr>
        <w:t>Le travail des morts. Une histoire culturelle des dépouilles mortelles</w:t>
      </w:r>
      <w:r w:rsidRPr="004C5090">
        <w:rPr>
          <w:rFonts w:ascii="Cambria" w:hAnsi="Cambria" w:cs="Times New Roman"/>
          <w:b w:val="0"/>
          <w:bCs/>
          <w:sz w:val="22"/>
        </w:rPr>
        <w:t>, Paris, Gallimard, coll. « </w:t>
      </w:r>
      <w:r w:rsidRPr="004C5090">
        <w:rPr>
          <w:rFonts w:ascii="Cambria" w:hAnsi="Cambria" w:cs="Times New Roman"/>
          <w:b w:val="0"/>
          <w:bCs/>
          <w:i/>
          <w:sz w:val="22"/>
        </w:rPr>
        <w:t>nrf</w:t>
      </w:r>
      <w:r w:rsidRPr="004C5090">
        <w:rPr>
          <w:rFonts w:ascii="Cambria" w:hAnsi="Cambria" w:cs="Times New Roman"/>
          <w:b w:val="0"/>
          <w:bCs/>
          <w:sz w:val="22"/>
        </w:rPr>
        <w:t xml:space="preserve"> essais », 2018.</w:t>
      </w:r>
    </w:p>
    <w:p w14:paraId="1548043F" w14:textId="77777777" w:rsidR="009D3816" w:rsidRPr="004C5090" w:rsidRDefault="009D3816" w:rsidP="009D3816">
      <w:pPr>
        <w:spacing w:line="276" w:lineRule="auto"/>
        <w:rPr>
          <w:rFonts w:ascii="Cambria" w:hAnsi="Cambria"/>
          <w:b w:val="0"/>
          <w:bCs/>
          <w:sz w:val="22"/>
        </w:rPr>
      </w:pPr>
    </w:p>
    <w:p w14:paraId="4DACA2D7" w14:textId="4AC906A7" w:rsidR="00EC2AA1" w:rsidRPr="005E4434" w:rsidRDefault="00EC2AA1" w:rsidP="009D3816">
      <w:pPr>
        <w:spacing w:line="276" w:lineRule="auto"/>
        <w:rPr>
          <w:rFonts w:ascii="Cambria" w:hAnsi="Cambria" w:cs="Times New Roman"/>
          <w:color w:val="C00000"/>
          <w:sz w:val="22"/>
        </w:rPr>
      </w:pPr>
      <w:r w:rsidRPr="005E4434">
        <w:rPr>
          <w:rFonts w:ascii="Cambria" w:hAnsi="Cambria" w:cs="Times New Roman"/>
          <w:color w:val="C00000"/>
          <w:sz w:val="22"/>
          <w:u w:val="single"/>
        </w:rPr>
        <w:t>Sujet du cours</w:t>
      </w:r>
      <w:r w:rsidR="004C5090" w:rsidRPr="005E4434">
        <w:rPr>
          <w:rFonts w:ascii="Cambria" w:hAnsi="Cambria" w:cs="Times New Roman"/>
          <w:color w:val="C00000"/>
          <w:sz w:val="22"/>
          <w:u w:val="single"/>
        </w:rPr>
        <w:t xml:space="preserve"> semestre </w:t>
      </w:r>
      <w:r w:rsidRPr="005E4434">
        <w:rPr>
          <w:rFonts w:ascii="Cambria" w:hAnsi="Cambria" w:cs="Times New Roman"/>
          <w:color w:val="C00000"/>
          <w:sz w:val="22"/>
          <w:u w:val="single"/>
        </w:rPr>
        <w:t>2</w:t>
      </w:r>
      <w:r w:rsidRPr="005E4434">
        <w:rPr>
          <w:rFonts w:ascii="Cambria" w:hAnsi="Cambria" w:cs="Times New Roman"/>
          <w:color w:val="C00000"/>
          <w:sz w:val="22"/>
        </w:rPr>
        <w:t xml:space="preserve"> : </w:t>
      </w:r>
      <w:r w:rsidR="007F2C63" w:rsidRPr="005E4434">
        <w:rPr>
          <w:rFonts w:ascii="Cambria" w:hAnsi="Cambria" w:cs="Times New Roman"/>
          <w:color w:val="C00000"/>
          <w:sz w:val="22"/>
        </w:rPr>
        <w:t>Religion et politique sous la IIIe République (1870-1914</w:t>
      </w:r>
      <w:r w:rsidR="007D2193" w:rsidRPr="005E4434">
        <w:rPr>
          <w:rFonts w:ascii="Cambria" w:hAnsi="Cambria" w:cs="Times New Roman"/>
          <w:color w:val="C00000"/>
          <w:sz w:val="22"/>
        </w:rPr>
        <w:t>)</w:t>
      </w:r>
    </w:p>
    <w:p w14:paraId="7FB471B0" w14:textId="77777777" w:rsidR="007F2C63" w:rsidRPr="004C5090" w:rsidRDefault="007F2C63" w:rsidP="004C5090">
      <w:pPr>
        <w:spacing w:after="0" w:line="360" w:lineRule="auto"/>
        <w:jc w:val="both"/>
        <w:rPr>
          <w:rFonts w:ascii="Cambria" w:hAnsi="Cambria" w:cs="Times New Roman"/>
          <w:b w:val="0"/>
          <w:bCs/>
          <w:sz w:val="22"/>
        </w:rPr>
      </w:pPr>
      <w:r w:rsidRPr="004C5090">
        <w:rPr>
          <w:rFonts w:ascii="Cambria" w:hAnsi="Cambria" w:cs="Times New Roman"/>
          <w:b w:val="0"/>
          <w:bCs/>
          <w:sz w:val="22"/>
        </w:rPr>
        <w:t>La question religieuse est, avec la question sociale et les tensions internationales, une des clés de l’histoire politique de la Troisième République, surtout à partir du moment où les républicains accèdent au pouvoir, à la fin des années 1870, et entreprennent d’appliquer le programme très hardi de laïcisation de la société française qu’ils ont conçu dans l’opposition à l’Empire. Ils vont procéder par étapes, en commençant par la réforme de l’école primaire au début des années 1880, jusqu’à la Séparation des Églises et de l’État dans les années 1905, non sans résistances. Revenir sur cette histoire complexe et qui fut longtemps très passionnée est le moyen de donner de la profondeur historique à nos débats contemporains sur la laïcité, qui n’évitent pas toujours l’essentialisation et nous parlent souvent bien davantage de la société actuelle que de celle dans laquelle celle-ci s’est imposée au sommet de l’État.</w:t>
      </w:r>
    </w:p>
    <w:p w14:paraId="374C0760" w14:textId="77777777" w:rsidR="00092E51" w:rsidRPr="004C5090" w:rsidRDefault="00092E51" w:rsidP="007F2C63">
      <w:pPr>
        <w:spacing w:after="0" w:line="360" w:lineRule="auto"/>
        <w:jc w:val="both"/>
        <w:rPr>
          <w:rFonts w:ascii="Cambria" w:hAnsi="Cambria" w:cs="Times New Roman"/>
          <w:b w:val="0"/>
          <w:bCs/>
          <w:sz w:val="22"/>
        </w:rPr>
      </w:pPr>
    </w:p>
    <w:p w14:paraId="42A4EC39" w14:textId="42A9717F" w:rsidR="007F2C63" w:rsidRPr="004C5090" w:rsidRDefault="007F2C63" w:rsidP="007F2C63">
      <w:pPr>
        <w:spacing w:after="0" w:line="360" w:lineRule="auto"/>
        <w:jc w:val="both"/>
        <w:rPr>
          <w:rFonts w:ascii="Cambria" w:hAnsi="Cambria" w:cs="Times New Roman"/>
          <w:sz w:val="22"/>
        </w:rPr>
      </w:pPr>
      <w:r w:rsidRPr="004C5090">
        <w:rPr>
          <w:rFonts w:ascii="Cambria" w:hAnsi="Cambria" w:cs="Times New Roman"/>
          <w:sz w:val="22"/>
        </w:rPr>
        <w:t>Bibliographie</w:t>
      </w:r>
    </w:p>
    <w:p w14:paraId="53AC37A0"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François Lebrun (sous dir.), </w:t>
      </w:r>
      <w:r w:rsidRPr="004C5090">
        <w:rPr>
          <w:rFonts w:ascii="Cambria" w:hAnsi="Cambria" w:cs="Times New Roman"/>
          <w:b w:val="0"/>
          <w:bCs/>
          <w:i/>
          <w:iCs/>
          <w:sz w:val="22"/>
        </w:rPr>
        <w:t>Histoire des catholiques en France du XV</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à nos jours</w:t>
      </w:r>
      <w:r w:rsidRPr="004C5090">
        <w:rPr>
          <w:rFonts w:ascii="Cambria" w:hAnsi="Cambria" w:cs="Times New Roman"/>
          <w:b w:val="0"/>
          <w:bCs/>
          <w:sz w:val="22"/>
        </w:rPr>
        <w:t>, Toulouse, Privat, 1980, en particulier le chapitre V de Claude Langlois sur le XIX</w:t>
      </w:r>
      <w:r w:rsidRPr="004C5090">
        <w:rPr>
          <w:rFonts w:ascii="Cambria" w:hAnsi="Cambria" w:cs="Times New Roman"/>
          <w:b w:val="0"/>
          <w:bCs/>
          <w:sz w:val="22"/>
          <w:vertAlign w:val="superscript"/>
        </w:rPr>
        <w:t>e</w:t>
      </w:r>
      <w:r w:rsidRPr="004C5090">
        <w:rPr>
          <w:rFonts w:ascii="Cambria" w:hAnsi="Cambria" w:cs="Times New Roman"/>
          <w:b w:val="0"/>
          <w:bCs/>
          <w:sz w:val="22"/>
        </w:rPr>
        <w:t xml:space="preserve"> siècle.</w:t>
      </w:r>
    </w:p>
    <w:p w14:paraId="10DEE3F2"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Gérard Cholvy, Yves-Marie Hilaire (sous dir.), </w:t>
      </w:r>
      <w:r w:rsidRPr="004C5090">
        <w:rPr>
          <w:rFonts w:ascii="Cambria" w:hAnsi="Cambria" w:cs="Times New Roman"/>
          <w:b w:val="0"/>
          <w:bCs/>
          <w:i/>
          <w:iCs/>
          <w:sz w:val="22"/>
        </w:rPr>
        <w:t>Histoire religieuse de la France</w:t>
      </w:r>
      <w:r w:rsidRPr="004C5090">
        <w:rPr>
          <w:rFonts w:ascii="Cambria" w:hAnsi="Cambria" w:cs="Times New Roman"/>
          <w:b w:val="0"/>
          <w:bCs/>
          <w:sz w:val="22"/>
        </w:rPr>
        <w:t>, Toulouse, Privat, 3 t., 2000-2002 (1</w:t>
      </w:r>
      <w:r w:rsidRPr="004C5090">
        <w:rPr>
          <w:rFonts w:ascii="Cambria" w:hAnsi="Cambria" w:cs="Times New Roman"/>
          <w:b w:val="0"/>
          <w:bCs/>
          <w:sz w:val="22"/>
          <w:vertAlign w:val="superscript"/>
        </w:rPr>
        <w:t>re</w:t>
      </w:r>
      <w:r w:rsidRPr="004C5090">
        <w:rPr>
          <w:rFonts w:ascii="Cambria" w:hAnsi="Cambria" w:cs="Times New Roman"/>
          <w:b w:val="0"/>
          <w:bCs/>
          <w:sz w:val="22"/>
        </w:rPr>
        <w:t xml:space="preserve"> éd. 1985-1988), en particulier le t.3 : </w:t>
      </w:r>
      <w:r w:rsidRPr="004C5090">
        <w:rPr>
          <w:rFonts w:ascii="Cambria" w:hAnsi="Cambria" w:cs="Times New Roman"/>
          <w:b w:val="0"/>
          <w:bCs/>
          <w:i/>
          <w:iCs/>
          <w:sz w:val="22"/>
        </w:rPr>
        <w:t>Géographie,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-XX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Chrétientés et pays de mission</w:t>
      </w:r>
      <w:r w:rsidRPr="004C5090">
        <w:rPr>
          <w:rFonts w:ascii="Cambria" w:hAnsi="Cambria" w:cs="Times New Roman"/>
          <w:b w:val="0"/>
          <w:bCs/>
          <w:sz w:val="22"/>
        </w:rPr>
        <w:t xml:space="preserve"> (2000).</w:t>
      </w:r>
    </w:p>
    <w:p w14:paraId="51DB8731"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Jean-Marie Mayeur,</w:t>
      </w:r>
      <w:r w:rsidRPr="004C5090">
        <w:rPr>
          <w:rFonts w:ascii="Cambria" w:hAnsi="Cambria" w:cs="Times New Roman"/>
          <w:b w:val="0"/>
          <w:bCs/>
          <w:i/>
          <w:sz w:val="22"/>
        </w:rPr>
        <w:t xml:space="preserve"> La question laïque, XIX</w:t>
      </w:r>
      <w:r w:rsidRPr="004C5090">
        <w:rPr>
          <w:rFonts w:ascii="Cambria" w:hAnsi="Cambria" w:cs="Times New Roman"/>
          <w:b w:val="0"/>
          <w:bCs/>
          <w:i/>
          <w:sz w:val="22"/>
          <w:vertAlign w:val="superscript"/>
        </w:rPr>
        <w:t>e</w:t>
      </w:r>
      <w:r w:rsidRPr="004C5090">
        <w:rPr>
          <w:rFonts w:ascii="Cambria" w:hAnsi="Cambria" w:cs="Times New Roman"/>
          <w:b w:val="0"/>
          <w:bCs/>
          <w:i/>
          <w:sz w:val="22"/>
        </w:rPr>
        <w:t>-XX</w:t>
      </w:r>
      <w:r w:rsidRPr="004C5090">
        <w:rPr>
          <w:rFonts w:ascii="Cambria" w:hAnsi="Cambria" w:cs="Times New Roman"/>
          <w:b w:val="0"/>
          <w:bCs/>
          <w:i/>
          <w:sz w:val="22"/>
          <w:vertAlign w:val="superscript"/>
        </w:rPr>
        <w:t>e</w:t>
      </w:r>
      <w:r w:rsidRPr="004C5090">
        <w:rPr>
          <w:rFonts w:ascii="Cambria" w:hAnsi="Cambria" w:cs="Times New Roman"/>
          <w:b w:val="0"/>
          <w:bCs/>
          <w:i/>
          <w:sz w:val="22"/>
        </w:rPr>
        <w:t xml:space="preserve"> siècle</w:t>
      </w:r>
      <w:r w:rsidRPr="004C5090">
        <w:rPr>
          <w:rFonts w:ascii="Cambria" w:hAnsi="Cambria" w:cs="Times New Roman"/>
          <w:b w:val="0"/>
          <w:bCs/>
          <w:sz w:val="22"/>
        </w:rPr>
        <w:t>, Paris, Fayard, coll. « L’espace du politique », 1997, 239 p.</w:t>
      </w:r>
    </w:p>
    <w:p w14:paraId="6DDE3931"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Jean Baubérot, </w:t>
      </w:r>
      <w:r w:rsidRPr="004C5090">
        <w:rPr>
          <w:rFonts w:ascii="Cambria" w:hAnsi="Cambria" w:cs="Times New Roman"/>
          <w:b w:val="0"/>
          <w:bCs/>
          <w:i/>
          <w:iCs/>
          <w:sz w:val="22"/>
        </w:rPr>
        <w:t>Histoire de la laïcité en France</w:t>
      </w:r>
      <w:r w:rsidRPr="004C5090">
        <w:rPr>
          <w:rFonts w:ascii="Cambria" w:hAnsi="Cambria" w:cs="Times New Roman"/>
          <w:b w:val="0"/>
          <w:bCs/>
          <w:sz w:val="22"/>
        </w:rPr>
        <w:t>, Paris, QSJ, 2024, 128 p.</w:t>
      </w:r>
    </w:p>
    <w:p w14:paraId="0144F734"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Guillaume Cuchet,</w:t>
      </w:r>
      <w:r w:rsidRPr="004C5090">
        <w:rPr>
          <w:rFonts w:ascii="Cambria" w:hAnsi="Cambria" w:cs="Times New Roman"/>
          <w:b w:val="0"/>
          <w:bCs/>
          <w:i/>
          <w:iCs/>
          <w:sz w:val="22"/>
        </w:rPr>
        <w:t xml:space="preserve"> Histoire politique de la France au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Le choc de la Révolution (1814-1889)</w:t>
      </w:r>
      <w:r w:rsidRPr="004C5090">
        <w:rPr>
          <w:rFonts w:ascii="Cambria" w:hAnsi="Cambria" w:cs="Times New Roman"/>
          <w:b w:val="0"/>
          <w:bCs/>
          <w:sz w:val="22"/>
        </w:rPr>
        <w:t>, Paris, Éditions Calype, 2024, 122 p.</w:t>
      </w:r>
    </w:p>
    <w:p w14:paraId="7D21BB5E" w14:textId="77777777" w:rsidR="00856D88" w:rsidRPr="004C5090" w:rsidRDefault="00856D88" w:rsidP="007F2C63">
      <w:pPr>
        <w:spacing w:line="276" w:lineRule="auto"/>
        <w:jc w:val="both"/>
        <w:rPr>
          <w:rFonts w:ascii="Cambria" w:hAnsi="Cambria" w:cs="Times New Roman"/>
          <w:color w:val="C00000"/>
          <w:sz w:val="22"/>
        </w:rPr>
      </w:pPr>
    </w:p>
    <w:p w14:paraId="24C8BF22" w14:textId="77777777" w:rsidR="00856D88" w:rsidRPr="007223DB" w:rsidRDefault="00856D88" w:rsidP="007F2C63">
      <w:pPr>
        <w:spacing w:line="276" w:lineRule="auto"/>
        <w:jc w:val="both"/>
        <w:rPr>
          <w:rFonts w:ascii="Cambria" w:hAnsi="Cambria" w:cs="Times New Roman"/>
          <w:color w:val="C00000"/>
          <w:sz w:val="22"/>
        </w:rPr>
      </w:pPr>
    </w:p>
    <w:p w14:paraId="015466E5" w14:textId="77777777" w:rsidR="003437B2" w:rsidRPr="007223DB" w:rsidRDefault="003437B2" w:rsidP="007F2C63">
      <w:pPr>
        <w:spacing w:line="276" w:lineRule="auto"/>
        <w:jc w:val="both"/>
        <w:rPr>
          <w:rFonts w:ascii="Cambria" w:hAnsi="Cambria" w:cs="Times New Roman"/>
          <w:b w:val="0"/>
          <w:i/>
          <w:sz w:val="22"/>
        </w:rPr>
      </w:pPr>
    </w:p>
    <w:p w14:paraId="3FAF20B7" w14:textId="77777777" w:rsidR="00AD52E6" w:rsidRPr="007223DB" w:rsidRDefault="00AD52E6" w:rsidP="007F2C63">
      <w:pPr>
        <w:spacing w:line="276" w:lineRule="auto"/>
        <w:jc w:val="both"/>
        <w:rPr>
          <w:rFonts w:ascii="Cambria" w:hAnsi="Cambria" w:cs="Times New Roman"/>
          <w:b w:val="0"/>
          <w:i/>
          <w:sz w:val="22"/>
        </w:rPr>
      </w:pPr>
    </w:p>
    <w:p w14:paraId="44210BC2" w14:textId="77777777" w:rsidR="00391333" w:rsidRPr="007223DB" w:rsidRDefault="00391333" w:rsidP="00391333">
      <w:pPr>
        <w:spacing w:line="276" w:lineRule="auto"/>
        <w:rPr>
          <w:rFonts w:ascii="Cambria" w:hAnsi="Cambria" w:cs="Times New Roman"/>
          <w:b w:val="0"/>
          <w:i/>
          <w:sz w:val="22"/>
        </w:rPr>
      </w:pPr>
    </w:p>
    <w:p w14:paraId="48F984C8" w14:textId="77777777" w:rsidR="00391333" w:rsidRPr="007223DB" w:rsidRDefault="00391333" w:rsidP="00391333">
      <w:pPr>
        <w:spacing w:line="276" w:lineRule="auto"/>
        <w:rPr>
          <w:rFonts w:ascii="Cambria" w:hAnsi="Cambria" w:cs="Times New Roman"/>
          <w:b w:val="0"/>
          <w:i/>
          <w:sz w:val="22"/>
        </w:rPr>
      </w:pPr>
    </w:p>
    <w:p w14:paraId="5253B206" w14:textId="77777777" w:rsidR="00391333" w:rsidRPr="007223DB" w:rsidRDefault="00391333" w:rsidP="00391333">
      <w:pPr>
        <w:spacing w:line="276" w:lineRule="auto"/>
        <w:rPr>
          <w:rFonts w:ascii="Cambria" w:hAnsi="Cambria" w:cs="Times New Roman"/>
          <w:b w:val="0"/>
          <w:i/>
          <w:sz w:val="22"/>
        </w:rPr>
      </w:pPr>
    </w:p>
    <w:p w14:paraId="38679410" w14:textId="77777777" w:rsidR="00391333" w:rsidRPr="007223DB" w:rsidRDefault="00391333" w:rsidP="00391333">
      <w:pPr>
        <w:spacing w:line="276" w:lineRule="auto"/>
        <w:rPr>
          <w:rFonts w:ascii="Cambria" w:hAnsi="Cambria" w:cs="Times New Roman"/>
          <w:b w:val="0"/>
          <w:i/>
          <w:sz w:val="22"/>
        </w:rPr>
      </w:pPr>
    </w:p>
    <w:p w14:paraId="5FFA36D7" w14:textId="77777777" w:rsidR="00391333" w:rsidRPr="007223DB" w:rsidRDefault="00391333" w:rsidP="00391333">
      <w:pPr>
        <w:spacing w:line="276" w:lineRule="auto"/>
        <w:rPr>
          <w:rFonts w:ascii="Cambria" w:hAnsi="Cambria" w:cs="Times New Roman"/>
          <w:b w:val="0"/>
          <w:i/>
          <w:sz w:val="22"/>
        </w:rPr>
      </w:pPr>
    </w:p>
    <w:p w14:paraId="0BAA9A1B" w14:textId="77777777" w:rsidR="00391333" w:rsidRPr="007223DB" w:rsidRDefault="00391333" w:rsidP="00391333">
      <w:pPr>
        <w:spacing w:line="276" w:lineRule="auto"/>
        <w:rPr>
          <w:rFonts w:ascii="Cambria" w:hAnsi="Cambria" w:cs="Times New Roman"/>
          <w:b w:val="0"/>
          <w:i/>
          <w:sz w:val="22"/>
        </w:rPr>
      </w:pPr>
    </w:p>
    <w:p w14:paraId="6EECD209" w14:textId="77777777" w:rsidR="00391333" w:rsidRPr="007223DB" w:rsidRDefault="00391333" w:rsidP="00391333">
      <w:pPr>
        <w:spacing w:line="276" w:lineRule="auto"/>
        <w:rPr>
          <w:rFonts w:ascii="Cambria" w:hAnsi="Cambria" w:cs="Times New Roman"/>
          <w:b w:val="0"/>
          <w:i/>
          <w:sz w:val="22"/>
        </w:rPr>
      </w:pPr>
    </w:p>
    <w:p w14:paraId="29CBD5A4" w14:textId="77777777" w:rsidR="00391333" w:rsidRPr="007223DB" w:rsidRDefault="00391333" w:rsidP="00391333">
      <w:pPr>
        <w:spacing w:line="276" w:lineRule="auto"/>
        <w:rPr>
          <w:rFonts w:ascii="Cambria" w:hAnsi="Cambria" w:cs="Times New Roman"/>
          <w:b w:val="0"/>
          <w:i/>
          <w:sz w:val="22"/>
        </w:rPr>
      </w:pPr>
    </w:p>
    <w:p w14:paraId="3D3A5B89" w14:textId="77777777" w:rsidR="00391333" w:rsidRPr="007223DB" w:rsidRDefault="00391333" w:rsidP="00391333">
      <w:pPr>
        <w:spacing w:line="276" w:lineRule="auto"/>
        <w:rPr>
          <w:rFonts w:ascii="Cambria" w:hAnsi="Cambria" w:cs="Times New Roman"/>
          <w:b w:val="0"/>
          <w:i/>
          <w:sz w:val="22"/>
        </w:rPr>
      </w:pPr>
    </w:p>
    <w:p w14:paraId="785A3A74" w14:textId="77777777" w:rsidR="00391333" w:rsidRPr="007223DB" w:rsidRDefault="00391333" w:rsidP="00391333">
      <w:pPr>
        <w:spacing w:line="276" w:lineRule="auto"/>
        <w:rPr>
          <w:rFonts w:ascii="Cambria" w:hAnsi="Cambria" w:cs="Times New Roman"/>
          <w:b w:val="0"/>
          <w:i/>
          <w:sz w:val="22"/>
        </w:rPr>
      </w:pPr>
    </w:p>
    <w:p w14:paraId="44EB3851" w14:textId="77777777" w:rsidR="00856D88" w:rsidRPr="007223DB" w:rsidRDefault="00856D88" w:rsidP="00391333">
      <w:pPr>
        <w:spacing w:line="276" w:lineRule="auto"/>
        <w:rPr>
          <w:rFonts w:ascii="Cambria" w:hAnsi="Cambria" w:cs="Times New Roman"/>
          <w:b w:val="0"/>
          <w:i/>
          <w:sz w:val="22"/>
        </w:rPr>
      </w:pPr>
    </w:p>
    <w:p w14:paraId="34167684" w14:textId="77777777" w:rsidR="00856D88" w:rsidRPr="007223DB" w:rsidRDefault="00856D88" w:rsidP="00391333">
      <w:pPr>
        <w:spacing w:line="276" w:lineRule="auto"/>
        <w:rPr>
          <w:rFonts w:ascii="Cambria" w:hAnsi="Cambria" w:cs="Times New Roman"/>
          <w:b w:val="0"/>
          <w:i/>
          <w:sz w:val="22"/>
        </w:rPr>
      </w:pPr>
    </w:p>
    <w:p w14:paraId="5205A7EB" w14:textId="77777777" w:rsidR="00856D88" w:rsidRPr="007223DB" w:rsidRDefault="00856D88" w:rsidP="00391333">
      <w:pPr>
        <w:spacing w:line="276" w:lineRule="auto"/>
        <w:rPr>
          <w:rFonts w:ascii="Cambria" w:hAnsi="Cambria" w:cs="Times New Roman"/>
          <w:b w:val="0"/>
          <w:i/>
          <w:sz w:val="22"/>
        </w:rPr>
      </w:pPr>
    </w:p>
    <w:p w14:paraId="4B0E26CE" w14:textId="77777777" w:rsidR="00856D88" w:rsidRPr="007223DB" w:rsidRDefault="00856D88" w:rsidP="00391333">
      <w:pPr>
        <w:spacing w:line="276" w:lineRule="auto"/>
        <w:rPr>
          <w:rFonts w:ascii="Cambria" w:hAnsi="Cambria" w:cs="Times New Roman"/>
          <w:b w:val="0"/>
          <w:i/>
          <w:sz w:val="22"/>
        </w:rPr>
      </w:pPr>
    </w:p>
    <w:p w14:paraId="31432F5E" w14:textId="77777777" w:rsidR="00856D88" w:rsidRPr="007223DB" w:rsidRDefault="00856D88" w:rsidP="00391333">
      <w:pPr>
        <w:spacing w:line="276" w:lineRule="auto"/>
        <w:rPr>
          <w:rFonts w:ascii="Cambria" w:hAnsi="Cambria" w:cs="Times New Roman"/>
          <w:b w:val="0"/>
          <w:i/>
          <w:sz w:val="22"/>
        </w:rPr>
      </w:pPr>
    </w:p>
    <w:p w14:paraId="482E2085" w14:textId="77777777" w:rsidR="00856D88" w:rsidRPr="007223DB" w:rsidRDefault="00856D88" w:rsidP="00391333">
      <w:pPr>
        <w:spacing w:line="276" w:lineRule="auto"/>
        <w:rPr>
          <w:rFonts w:ascii="Cambria" w:hAnsi="Cambria" w:cs="Times New Roman"/>
          <w:b w:val="0"/>
          <w:i/>
          <w:sz w:val="22"/>
        </w:rPr>
      </w:pPr>
    </w:p>
    <w:p w14:paraId="6B88AEF6" w14:textId="77777777" w:rsidR="00856D88" w:rsidRPr="007223DB" w:rsidRDefault="00856D88" w:rsidP="00391333">
      <w:pPr>
        <w:spacing w:line="276" w:lineRule="auto"/>
        <w:rPr>
          <w:rFonts w:ascii="Cambria" w:hAnsi="Cambria" w:cs="Times New Roman"/>
          <w:b w:val="0"/>
          <w:i/>
          <w:sz w:val="22"/>
        </w:rPr>
      </w:pPr>
    </w:p>
    <w:p w14:paraId="0B3960C6" w14:textId="77777777" w:rsidR="00856D88" w:rsidRPr="007223DB" w:rsidRDefault="00856D88" w:rsidP="00391333">
      <w:pPr>
        <w:spacing w:line="276" w:lineRule="auto"/>
        <w:rPr>
          <w:rFonts w:ascii="Cambria" w:hAnsi="Cambria" w:cs="Times New Roman"/>
          <w:b w:val="0"/>
          <w:i/>
          <w:sz w:val="22"/>
        </w:rPr>
      </w:pPr>
    </w:p>
    <w:p w14:paraId="762804E5" w14:textId="77777777" w:rsidR="00363326" w:rsidRPr="007223DB" w:rsidRDefault="00363326" w:rsidP="00391333">
      <w:pPr>
        <w:spacing w:line="276" w:lineRule="auto"/>
        <w:rPr>
          <w:rFonts w:ascii="Cambria" w:hAnsi="Cambria" w:cs="Times New Roman"/>
          <w:b w:val="0"/>
          <w:i/>
          <w:sz w:val="22"/>
        </w:rPr>
      </w:pPr>
    </w:p>
    <w:p w14:paraId="1AC1C18A" w14:textId="77777777" w:rsidR="00364131" w:rsidRPr="007223DB" w:rsidRDefault="00364131" w:rsidP="00391333">
      <w:pPr>
        <w:spacing w:line="276" w:lineRule="auto"/>
        <w:rPr>
          <w:rFonts w:ascii="Cambria" w:hAnsi="Cambria" w:cs="Times New Roman"/>
          <w:b w:val="0"/>
          <w:i/>
          <w:sz w:val="22"/>
        </w:rPr>
      </w:pPr>
    </w:p>
    <w:p w14:paraId="7AAEF128" w14:textId="77777777" w:rsidR="00364131" w:rsidRPr="007223DB" w:rsidRDefault="00364131" w:rsidP="00391333">
      <w:pPr>
        <w:spacing w:line="276" w:lineRule="auto"/>
        <w:rPr>
          <w:rFonts w:ascii="Cambria" w:hAnsi="Cambria" w:cs="Times New Roman"/>
          <w:b w:val="0"/>
          <w:i/>
          <w:sz w:val="22"/>
        </w:rPr>
      </w:pPr>
    </w:p>
    <w:p w14:paraId="1D66C84D" w14:textId="77777777" w:rsidR="00363326" w:rsidRPr="007223DB" w:rsidRDefault="00363326" w:rsidP="00391333">
      <w:pPr>
        <w:spacing w:line="276" w:lineRule="auto"/>
        <w:rPr>
          <w:rFonts w:ascii="Cambria" w:hAnsi="Cambria" w:cs="Times New Roman"/>
          <w:b w:val="0"/>
          <w:i/>
          <w:sz w:val="22"/>
        </w:rPr>
      </w:pPr>
    </w:p>
    <w:p w14:paraId="5D243901" w14:textId="77777777" w:rsidR="00A9696C" w:rsidRPr="007223DB" w:rsidRDefault="00A9696C" w:rsidP="00391333">
      <w:pPr>
        <w:spacing w:line="276" w:lineRule="auto"/>
        <w:rPr>
          <w:rFonts w:ascii="Cambria" w:hAnsi="Cambria" w:cs="Times New Roman"/>
          <w:b w:val="0"/>
          <w:i/>
          <w:sz w:val="22"/>
        </w:rPr>
      </w:pPr>
    </w:p>
    <w:p w14:paraId="45DFE035" w14:textId="77777777" w:rsidR="00A9696C" w:rsidRPr="007223DB" w:rsidRDefault="00A9696C" w:rsidP="00391333">
      <w:pPr>
        <w:spacing w:line="276" w:lineRule="auto"/>
        <w:rPr>
          <w:rFonts w:ascii="Cambria" w:hAnsi="Cambria" w:cs="Times New Roman"/>
          <w:b w:val="0"/>
          <w:i/>
          <w:sz w:val="22"/>
        </w:rPr>
      </w:pPr>
    </w:p>
    <w:p w14:paraId="4A9F83A5" w14:textId="77777777" w:rsidR="00A9696C" w:rsidRPr="007223DB" w:rsidRDefault="00A9696C" w:rsidP="00391333">
      <w:pPr>
        <w:spacing w:line="276" w:lineRule="auto"/>
        <w:rPr>
          <w:rFonts w:ascii="Cambria" w:hAnsi="Cambria" w:cs="Times New Roman"/>
          <w:b w:val="0"/>
          <w:i/>
          <w:sz w:val="22"/>
        </w:rPr>
      </w:pPr>
    </w:p>
    <w:p w14:paraId="226A39E9" w14:textId="77777777" w:rsidR="00A9696C" w:rsidRPr="007223DB" w:rsidRDefault="00A9696C" w:rsidP="00391333">
      <w:pPr>
        <w:spacing w:line="276" w:lineRule="auto"/>
        <w:rPr>
          <w:rFonts w:ascii="Cambria" w:hAnsi="Cambria" w:cs="Times New Roman"/>
          <w:b w:val="0"/>
          <w:i/>
          <w:sz w:val="22"/>
        </w:rPr>
      </w:pPr>
    </w:p>
    <w:p w14:paraId="06D76C38" w14:textId="77777777" w:rsidR="00A9696C" w:rsidRPr="007223DB" w:rsidRDefault="00A9696C" w:rsidP="00391333">
      <w:pPr>
        <w:spacing w:line="276" w:lineRule="auto"/>
        <w:rPr>
          <w:rFonts w:ascii="Cambria" w:hAnsi="Cambria" w:cs="Times New Roman"/>
          <w:b w:val="0"/>
          <w:i/>
          <w:sz w:val="22"/>
        </w:rPr>
      </w:pPr>
    </w:p>
    <w:p w14:paraId="12AEFEFD" w14:textId="77777777" w:rsidR="00A9696C" w:rsidRPr="007223DB" w:rsidRDefault="00A9696C" w:rsidP="00391333">
      <w:pPr>
        <w:spacing w:line="276" w:lineRule="auto"/>
        <w:rPr>
          <w:rFonts w:ascii="Cambria" w:hAnsi="Cambria" w:cs="Times New Roman"/>
          <w:b w:val="0"/>
          <w:i/>
          <w:sz w:val="22"/>
        </w:rPr>
      </w:pPr>
    </w:p>
    <w:p w14:paraId="5F0B7AE2" w14:textId="77777777" w:rsidR="00A9696C" w:rsidRDefault="00A9696C" w:rsidP="00391333">
      <w:pPr>
        <w:spacing w:line="276" w:lineRule="auto"/>
        <w:rPr>
          <w:rFonts w:ascii="Cambria" w:hAnsi="Cambria" w:cs="Times New Roman"/>
          <w:b w:val="0"/>
          <w:i/>
          <w:sz w:val="22"/>
        </w:rPr>
      </w:pPr>
    </w:p>
    <w:p w14:paraId="3C2976FB" w14:textId="77777777" w:rsidR="004C5090" w:rsidRDefault="004C5090" w:rsidP="00391333">
      <w:pPr>
        <w:spacing w:line="276" w:lineRule="auto"/>
        <w:rPr>
          <w:rFonts w:ascii="Cambria" w:hAnsi="Cambria" w:cs="Times New Roman"/>
          <w:b w:val="0"/>
          <w:i/>
          <w:sz w:val="22"/>
        </w:rPr>
      </w:pPr>
    </w:p>
    <w:p w14:paraId="5EB841D4" w14:textId="77777777" w:rsidR="004C5090" w:rsidRDefault="004C5090" w:rsidP="00391333">
      <w:pPr>
        <w:spacing w:line="276" w:lineRule="auto"/>
        <w:rPr>
          <w:rFonts w:ascii="Cambria" w:hAnsi="Cambria" w:cs="Times New Roman"/>
          <w:b w:val="0"/>
          <w:i/>
          <w:sz w:val="22"/>
        </w:rPr>
      </w:pPr>
    </w:p>
    <w:p w14:paraId="047B58D0" w14:textId="77777777" w:rsidR="004C5090" w:rsidRPr="007223DB" w:rsidRDefault="004C5090" w:rsidP="00391333">
      <w:pPr>
        <w:spacing w:line="276" w:lineRule="auto"/>
        <w:rPr>
          <w:rFonts w:ascii="Cambria" w:hAnsi="Cambria" w:cs="Times New Roman"/>
          <w:b w:val="0"/>
          <w:i/>
          <w:sz w:val="22"/>
        </w:rPr>
      </w:pPr>
    </w:p>
    <w:p w14:paraId="4291D844" w14:textId="77777777" w:rsidR="002B5730" w:rsidRPr="007223DB" w:rsidRDefault="002B5730"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00F35D5" w14:textId="77777777" w:rsidR="007D60A4" w:rsidRPr="007223DB" w:rsidRDefault="007D60A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262CD2" w14:textId="65448222" w:rsidR="007D60A4" w:rsidRPr="007223DB" w:rsidRDefault="0029624B" w:rsidP="007D60A4">
      <w:pPr>
        <w:spacing w:after="0"/>
        <w:jc w:val="center"/>
        <w:rPr>
          <w:rFonts w:ascii="Cambria" w:hAnsi="Cambria"/>
          <w:i/>
          <w:color w:val="C00000"/>
          <w:sz w:val="28"/>
          <w:lang w:eastAsia="fr-FR"/>
        </w:rPr>
      </w:pPr>
      <w:r w:rsidRPr="007223DB">
        <w:rPr>
          <w:rFonts w:ascii="Cambria" w:hAnsi="Cambria"/>
          <w:i/>
          <w:color w:val="C00000"/>
          <w:sz w:val="28"/>
          <w:lang w:eastAsia="fr-FR"/>
        </w:rPr>
        <w:t xml:space="preserve">J3011725-J3010825 : </w:t>
      </w:r>
      <w:r w:rsidR="007D60A4" w:rsidRPr="007223DB">
        <w:rPr>
          <w:rFonts w:ascii="Cambria" w:hAnsi="Cambria"/>
          <w:i/>
          <w:color w:val="C00000"/>
          <w:sz w:val="28"/>
          <w:lang w:eastAsia="fr-FR"/>
        </w:rPr>
        <w:t>Histoire contemporaine « Religions, circulations</w:t>
      </w:r>
      <w:r w:rsidR="00E859FB" w:rsidRPr="007223DB">
        <w:rPr>
          <w:rFonts w:ascii="Cambria" w:hAnsi="Cambria"/>
          <w:i/>
          <w:color w:val="C00000"/>
          <w:sz w:val="28"/>
          <w:lang w:eastAsia="fr-FR"/>
        </w:rPr>
        <w:t>, cultures</w:t>
      </w:r>
      <w:r w:rsidR="007D60A4" w:rsidRPr="007223DB">
        <w:rPr>
          <w:rFonts w:ascii="Cambria" w:hAnsi="Cambria"/>
          <w:i/>
          <w:color w:val="C00000"/>
          <w:sz w:val="28"/>
          <w:lang w:eastAsia="fr-FR"/>
        </w:rPr>
        <w:t> »</w:t>
      </w:r>
    </w:p>
    <w:p w14:paraId="759238EC" w14:textId="77777777" w:rsidR="007D60A4" w:rsidRPr="007223DB" w:rsidRDefault="007D60A4" w:rsidP="007D60A4">
      <w:pPr>
        <w:spacing w:after="0"/>
        <w:jc w:val="both"/>
        <w:rPr>
          <w:rFonts w:ascii="Cambria" w:hAnsi="Cambria"/>
          <w:b w:val="0"/>
          <w:sz w:val="22"/>
        </w:rPr>
      </w:pPr>
    </w:p>
    <w:p w14:paraId="5498606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562656FC" w14:textId="4B8728B3" w:rsidR="00472AC2" w:rsidRPr="007223DB" w:rsidRDefault="00313C99" w:rsidP="00313C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u w:val="single"/>
        </w:rPr>
      </w:pPr>
      <w:r w:rsidRPr="007223DB">
        <w:rPr>
          <w:rFonts w:ascii="Cambria" w:hAnsi="Cambria"/>
          <w:i/>
          <w:color w:val="C00000"/>
          <w:sz w:val="28"/>
          <w:szCs w:val="28"/>
          <w:u w:val="single"/>
        </w:rPr>
        <w:t>Cet enseignement suspendu cette année.</w:t>
      </w:r>
    </w:p>
    <w:p w14:paraId="1DBA1BB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75A006B5"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63CB2045"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17D7A36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4E5B4D46"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495D803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58E98930"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B43C84F"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1EE088"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393CC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B53C9DC"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4DF451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ED3B925"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500401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042526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45ED00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8DDA2EF"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CF8798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50A6E5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89A31F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79C6FD1"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74312F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DAA2FC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916C68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1A6F30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E709CF8"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478AB9C"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7F0DC2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ECB5B9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D0C1DA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4E125E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114669D"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EA7082E"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702BE4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28F8653"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98B5DC6"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4C20495"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E78C34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37BB0A6"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15B7D7D"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521EB0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C1298EF"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12F2D73"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F6E17D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80E7E7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289552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C6F8277"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69F55C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AC92ACB"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8AE4FEB"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5D79CE2"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75BB8E7" w14:textId="77777777" w:rsidR="007D60A4" w:rsidRPr="007223DB" w:rsidRDefault="007D60A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419DFAB"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DFE3E9A"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75112BC" w14:textId="77777777" w:rsidR="00277BFB" w:rsidRDefault="00277BFB"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9FD0E85" w14:textId="77777777" w:rsidR="005E4434" w:rsidRPr="007223DB" w:rsidRDefault="005E443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2DC95D3" w14:textId="77777777" w:rsidR="00277BFB" w:rsidRPr="007223DB" w:rsidRDefault="00277BFB"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FD91A5B" w14:textId="69C244B7" w:rsidR="00870C3C" w:rsidRPr="007223DB" w:rsidRDefault="00E90D9F"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rPr>
      </w:pPr>
      <w:r w:rsidRPr="007223DB">
        <w:rPr>
          <w:rFonts w:ascii="Cambria" w:hAnsi="Cambria"/>
          <w:i/>
          <w:color w:val="C00000"/>
          <w:sz w:val="28"/>
          <w:szCs w:val="28"/>
        </w:rPr>
        <w:t xml:space="preserve">J3011925-J3011025 : </w:t>
      </w:r>
      <w:r w:rsidR="00870C3C" w:rsidRPr="007223DB">
        <w:rPr>
          <w:rFonts w:ascii="Cambria" w:hAnsi="Cambria"/>
          <w:i/>
          <w:color w:val="C00000"/>
          <w:sz w:val="28"/>
          <w:szCs w:val="28"/>
        </w:rPr>
        <w:t xml:space="preserve">Histoire de l’Europe </w:t>
      </w:r>
    </w:p>
    <w:p w14:paraId="36D4EDC6" w14:textId="77777777" w:rsidR="00870C3C" w:rsidRPr="007223DB" w:rsidRDefault="00870C3C"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8"/>
          <w:szCs w:val="28"/>
        </w:rPr>
      </w:pPr>
    </w:p>
    <w:p w14:paraId="111063F7" w14:textId="77777777" w:rsidR="00393B73" w:rsidRPr="007223DB" w:rsidRDefault="00393B73"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p>
    <w:p w14:paraId="21B2A12B" w14:textId="0542617F" w:rsidR="00870C3C" w:rsidRPr="007223DB" w:rsidRDefault="00870C3C"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Peter Hallama </w:t>
      </w:r>
      <w:r w:rsidR="003F09E2" w:rsidRPr="007223DB">
        <w:rPr>
          <w:rFonts w:ascii="Cambria" w:hAnsi="Cambria" w:cs="Times New Roman"/>
          <w:sz w:val="22"/>
        </w:rPr>
        <w:t>(CM/TD S1), Julien Vincent (CM/TD S2)</w:t>
      </w:r>
    </w:p>
    <w:p w14:paraId="3101F295" w14:textId="77777777" w:rsidR="005E4434" w:rsidRDefault="005E4434" w:rsidP="00584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7BB9810" w14:textId="77777777" w:rsidR="005E4434" w:rsidRDefault="005E4434" w:rsidP="00584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C90832A" w14:textId="32C41738" w:rsidR="00870C3C" w:rsidRPr="005E4434" w:rsidRDefault="00870C3C" w:rsidP="005E44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r w:rsidRPr="005E4434">
        <w:rPr>
          <w:rFonts w:ascii="Cambria" w:hAnsi="Cambria"/>
          <w:i/>
          <w:color w:val="C00000"/>
          <w:sz w:val="22"/>
          <w:u w:val="single"/>
        </w:rPr>
        <w:t>Sujet du cours</w:t>
      </w:r>
      <w:r w:rsidRPr="005E4434">
        <w:rPr>
          <w:rFonts w:ascii="Cambria" w:hAnsi="Cambria"/>
          <w:i/>
          <w:color w:val="C00000"/>
          <w:sz w:val="22"/>
        </w:rPr>
        <w:t xml:space="preserve"> : l’Europe. Une histoire critique</w:t>
      </w:r>
    </w:p>
    <w:p w14:paraId="31C1B777" w14:textId="77777777" w:rsidR="00870C3C" w:rsidRPr="007223DB" w:rsidRDefault="00870C3C"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0B11D39F" w14:textId="2D52677E" w:rsidR="00302C4F" w:rsidRPr="007223DB" w:rsidRDefault="00870C3C" w:rsidP="00870C3C">
      <w:pPr>
        <w:spacing w:after="21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Qu’est-ce que l’histoire de l’Europe ? Après avoir été identifiée, au XIXe siècle, à la « civilisation » elle-même, puis à une civilisation ou aire culturelle parmi d’autres, une histoire de la « construction européenne » a vu le jour dans les dernières décennies du XXe siècle. En 2000, l’historien Dipesh Chakrabarty, spécialiste du Bengale, a quant à lui appelé à « provincialiser l’Europe », autrement dit à remettre en cause les perspectives trop « européocentrées » en histoire. Ce cours s’efforce de tenir compte de cette longue historiographie pour présenter deux perspectives complémentaires et critiques sur l’histoire de l’Europe.</w:t>
      </w:r>
      <w:r w:rsidRPr="007223DB">
        <w:rPr>
          <w:rFonts w:ascii="Cambria" w:eastAsia="Times New Roman" w:hAnsi="Cambria" w:cs="Times New Roman"/>
          <w:b w:val="0"/>
          <w:kern w:val="0"/>
          <w:sz w:val="22"/>
          <w:lang w:eastAsia="fr-FR"/>
        </w:rPr>
        <w:br/>
      </w:r>
      <w:r w:rsidRPr="007223DB">
        <w:rPr>
          <w:rFonts w:ascii="Cambria" w:eastAsia="Times New Roman" w:hAnsi="Cambria" w:cs="Times New Roman"/>
          <w:b w:val="0"/>
          <w:kern w:val="0"/>
          <w:sz w:val="22"/>
          <w:lang w:eastAsia="fr-FR"/>
        </w:rPr>
        <w:br/>
        <w:t>Pendant le premier semestre, nous nous intéresserons aux renouvellements récents dans le champ de l’histoire de la construction européenne dans le long XXe siècle. Nous compléterons l’histoire institutionnelle, diplomatique et politique de l’Europe par des approches relevant de l’histoire sociale, l’histoire des femmes et du genre, l’histoire des migrations ou encore l’histoire environnementale. L’objectif de cet enseignement est double : premièrement, il invite à questionner le récit « classique » de l’histoire de l’unification de l’Europe comme une histoire à succès. Deuxièmement, en insistant sur les différentes significations de l’Europe et les différentes façons d’approcher l’Europe, ce cours permettra aux étudiant·e·s d’approfondir leurs compétences méthodologiques.</w:t>
      </w:r>
      <w:r w:rsidRPr="007223DB">
        <w:rPr>
          <w:rFonts w:ascii="Cambria" w:eastAsia="Times New Roman" w:hAnsi="Cambria" w:cs="Times New Roman"/>
          <w:b w:val="0"/>
          <w:kern w:val="0"/>
          <w:sz w:val="22"/>
          <w:lang w:eastAsia="fr-FR"/>
        </w:rPr>
        <w:br/>
      </w:r>
      <w:r w:rsidRPr="007223DB">
        <w:rPr>
          <w:rFonts w:ascii="Cambria" w:eastAsia="Times New Roman" w:hAnsi="Cambria" w:cs="Times New Roman"/>
          <w:b w:val="0"/>
          <w:kern w:val="0"/>
          <w:sz w:val="22"/>
          <w:lang w:eastAsia="fr-FR"/>
        </w:rPr>
        <w:br/>
        <w:t xml:space="preserve">Le deuxième semestre remontera dans le temps afin de tenter de comprendre comment l’Europe s’est construite elle-même comme le foyer de la pensée politique moderne, à l’exclusion des autres espaces. </w:t>
      </w:r>
    </w:p>
    <w:p w14:paraId="557DC243" w14:textId="45F0434B" w:rsidR="00870C3C" w:rsidRPr="007223DB" w:rsidRDefault="00870C3C" w:rsidP="00870C3C">
      <w:pPr>
        <w:spacing w:after="21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Parcourant l’époque moderne et contemporaine, de Machiavel à Bruno Latour, le cours offrira une introduction aux auteurs les plus classiques de la pensée politique (Hobbes, Rousseau, Marx) mais aussi à des auteurs moins célèbres, hommes ou femmes, européens ou non-européens. La prise en compte de ces derniers permettra de réfléchir aux possibilités d’une histoire des idées moins élitiste et plus attentive à situer les oeuvres politiques dans leur époque. Pour y parvenir, on se référera notamment aux apports de l’histoire environnementale, de l’histoire globale, mais aussi de l’économie politique et des études culturelles. </w:t>
      </w:r>
    </w:p>
    <w:p w14:paraId="0B4C613E" w14:textId="5DDBBB67" w:rsidR="0080769B" w:rsidRPr="007223DB" w:rsidRDefault="0080769B" w:rsidP="0080769B">
      <w:pPr>
        <w:pStyle w:val="p2"/>
        <w:spacing w:before="0" w:beforeAutospacing="0" w:after="210" w:afterAutospacing="0"/>
        <w:rPr>
          <w:rFonts w:ascii="Cambria" w:hAnsi="Cambria"/>
          <w:sz w:val="22"/>
          <w:szCs w:val="22"/>
        </w:rPr>
      </w:pPr>
      <w:r w:rsidRPr="007223DB">
        <w:rPr>
          <w:rStyle w:val="s1"/>
          <w:rFonts w:ascii="Cambria" w:eastAsia="Calibri" w:hAnsi="Cambria"/>
          <w:b/>
          <w:bCs/>
          <w:sz w:val="22"/>
          <w:szCs w:val="22"/>
        </w:rPr>
        <w:t>Bibliographie pour le premier semestre :</w:t>
      </w:r>
      <w:r w:rsidRPr="007223DB">
        <w:rPr>
          <w:rFonts w:ascii="Cambria" w:hAnsi="Cambria"/>
          <w:sz w:val="22"/>
          <w:szCs w:val="22"/>
        </w:rPr>
        <w:br/>
        <w:t>Bledniak, Sonia ; Matamoros, Isabelle ; Virgili, Fabrice (dir.), </w:t>
      </w:r>
      <w:r w:rsidRPr="007223DB">
        <w:rPr>
          <w:rFonts w:ascii="Cambria" w:hAnsi="Cambria"/>
          <w:i/>
          <w:iCs/>
          <w:sz w:val="22"/>
          <w:szCs w:val="22"/>
        </w:rPr>
        <w:t>Chroniques de l’Europe</w:t>
      </w:r>
      <w:r w:rsidRPr="007223DB">
        <w:rPr>
          <w:rFonts w:ascii="Cambria" w:hAnsi="Cambria"/>
          <w:sz w:val="22"/>
          <w:szCs w:val="22"/>
        </w:rPr>
        <w:t>, Paris, CNRS Éditions, 2022.</w:t>
      </w:r>
      <w:r w:rsidRPr="007223DB">
        <w:rPr>
          <w:rFonts w:ascii="Cambria" w:hAnsi="Cambria"/>
          <w:sz w:val="22"/>
          <w:szCs w:val="22"/>
        </w:rPr>
        <w:br/>
        <w:t>Briatte, Anne-</w:t>
      </w:r>
      <w:r w:rsidR="00586495" w:rsidRPr="007223DB">
        <w:rPr>
          <w:rFonts w:ascii="Cambria" w:hAnsi="Cambria"/>
          <w:sz w:val="22"/>
          <w:szCs w:val="22"/>
        </w:rPr>
        <w:t>Laure ;</w:t>
      </w:r>
      <w:r w:rsidRPr="007223DB">
        <w:rPr>
          <w:rFonts w:ascii="Cambria" w:hAnsi="Cambria"/>
          <w:sz w:val="22"/>
          <w:szCs w:val="22"/>
        </w:rPr>
        <w:t xml:space="preserve"> Gubin, Éliane ; Thébaud, Françoise (dir)., </w:t>
      </w:r>
      <w:r w:rsidRPr="007223DB">
        <w:rPr>
          <w:rFonts w:ascii="Cambria" w:hAnsi="Cambria"/>
          <w:i/>
          <w:iCs/>
          <w:sz w:val="22"/>
          <w:szCs w:val="22"/>
        </w:rPr>
        <w:t>L’Europe, une chance pour les femmes ? Le genre de la construction européenne</w:t>
      </w:r>
      <w:r w:rsidRPr="007223DB">
        <w:rPr>
          <w:rFonts w:ascii="Cambria" w:hAnsi="Cambria"/>
          <w:sz w:val="22"/>
          <w:szCs w:val="22"/>
        </w:rPr>
        <w:t>, Paris, Éditions de la Sorbonne, 2019.</w:t>
      </w:r>
      <w:r w:rsidRPr="007223DB">
        <w:rPr>
          <w:rFonts w:ascii="Cambria" w:hAnsi="Cambria"/>
          <w:sz w:val="22"/>
          <w:szCs w:val="22"/>
        </w:rPr>
        <w:br/>
      </w:r>
      <w:r w:rsidRPr="007223DB">
        <w:rPr>
          <w:rFonts w:ascii="Cambria" w:hAnsi="Cambria"/>
          <w:sz w:val="22"/>
          <w:szCs w:val="22"/>
          <w:lang w:val="en-US"/>
        </w:rPr>
        <w:t>Patel, Kiran Klaus, </w:t>
      </w:r>
      <w:r w:rsidRPr="007223DB">
        <w:rPr>
          <w:rFonts w:ascii="Cambria" w:hAnsi="Cambria"/>
          <w:i/>
          <w:iCs/>
          <w:sz w:val="22"/>
          <w:szCs w:val="22"/>
          <w:lang w:val="en-US"/>
        </w:rPr>
        <w:t xml:space="preserve">Project </w:t>
      </w:r>
      <w:r w:rsidR="00586495" w:rsidRPr="007223DB">
        <w:rPr>
          <w:rFonts w:ascii="Cambria" w:hAnsi="Cambria"/>
          <w:i/>
          <w:iCs/>
          <w:sz w:val="22"/>
          <w:szCs w:val="22"/>
          <w:lang w:val="en-US"/>
        </w:rPr>
        <w:t>Europe :</w:t>
      </w:r>
      <w:r w:rsidRPr="007223DB">
        <w:rPr>
          <w:rFonts w:ascii="Cambria" w:hAnsi="Cambria"/>
          <w:i/>
          <w:iCs/>
          <w:sz w:val="22"/>
          <w:szCs w:val="22"/>
          <w:lang w:val="en-US"/>
        </w:rPr>
        <w:t xml:space="preserve"> A History</w:t>
      </w:r>
      <w:r w:rsidRPr="007223DB">
        <w:rPr>
          <w:rFonts w:ascii="Cambria" w:hAnsi="Cambria"/>
          <w:sz w:val="22"/>
          <w:szCs w:val="22"/>
          <w:lang w:val="en-US"/>
        </w:rPr>
        <w:t>, Cambridge, Cambridge University Press, 2020.</w:t>
      </w:r>
      <w:r w:rsidRPr="007223DB">
        <w:rPr>
          <w:rFonts w:ascii="Cambria" w:hAnsi="Cambria"/>
          <w:sz w:val="22"/>
          <w:szCs w:val="22"/>
          <w:lang w:val="en-US"/>
        </w:rPr>
        <w:br/>
        <w:t>Ther, Philipp, </w:t>
      </w:r>
      <w:r w:rsidRPr="007223DB">
        <w:rPr>
          <w:rFonts w:ascii="Cambria" w:hAnsi="Cambria"/>
          <w:i/>
          <w:iCs/>
          <w:sz w:val="22"/>
          <w:szCs w:val="22"/>
          <w:lang w:val="en-US"/>
        </w:rPr>
        <w:t>Europe since 1989. A History</w:t>
      </w:r>
      <w:r w:rsidRPr="007223DB">
        <w:rPr>
          <w:rFonts w:ascii="Cambria" w:hAnsi="Cambria"/>
          <w:sz w:val="22"/>
          <w:szCs w:val="22"/>
          <w:lang w:val="en-US"/>
        </w:rPr>
        <w:t>, Princeton, Princeton University Press, 2018.</w:t>
      </w:r>
      <w:r w:rsidRPr="007223DB">
        <w:rPr>
          <w:rFonts w:ascii="Cambria" w:hAnsi="Cambria"/>
          <w:sz w:val="22"/>
          <w:szCs w:val="22"/>
          <w:lang w:val="en-US"/>
        </w:rPr>
        <w:br/>
      </w:r>
      <w:r w:rsidRPr="007223DB">
        <w:rPr>
          <w:rFonts w:ascii="Cambria" w:hAnsi="Cambria"/>
          <w:sz w:val="22"/>
          <w:szCs w:val="22"/>
        </w:rPr>
        <w:t>Warlouzet, Laurent, </w:t>
      </w:r>
      <w:r w:rsidRPr="007223DB">
        <w:rPr>
          <w:rFonts w:ascii="Cambria" w:hAnsi="Cambria"/>
          <w:i/>
          <w:iCs/>
          <w:sz w:val="22"/>
          <w:szCs w:val="22"/>
        </w:rPr>
        <w:t>Europe contre Europe. Entre liberté, solidarité et puissance</w:t>
      </w:r>
      <w:r w:rsidRPr="007223DB">
        <w:rPr>
          <w:rFonts w:ascii="Cambria" w:hAnsi="Cambria"/>
          <w:sz w:val="22"/>
          <w:szCs w:val="22"/>
        </w:rPr>
        <w:t>, Paris, CNRS Éditions, 2022.</w:t>
      </w:r>
    </w:p>
    <w:p w14:paraId="0C3B3469" w14:textId="77777777" w:rsidR="0080769B" w:rsidRPr="007223DB" w:rsidRDefault="0080769B" w:rsidP="0080769B">
      <w:pPr>
        <w:pStyle w:val="p2"/>
        <w:spacing w:before="0" w:beforeAutospacing="0" w:after="210" w:afterAutospacing="0"/>
        <w:rPr>
          <w:rFonts w:ascii="Cambria" w:hAnsi="Cambria"/>
          <w:sz w:val="22"/>
          <w:szCs w:val="22"/>
        </w:rPr>
      </w:pPr>
      <w:r w:rsidRPr="007223DB">
        <w:rPr>
          <w:rFonts w:ascii="Cambria" w:hAnsi="Cambria"/>
          <w:b/>
          <w:bCs/>
          <w:sz w:val="22"/>
          <w:szCs w:val="22"/>
        </w:rPr>
        <w:t>Bibliographie pour le second semestre :</w:t>
      </w:r>
    </w:p>
    <w:p w14:paraId="24DB8F3A" w14:textId="4D591F0B" w:rsidR="00870C3C" w:rsidRPr="007223DB" w:rsidRDefault="0080769B" w:rsidP="00302C4F">
      <w:pPr>
        <w:pStyle w:val="p2"/>
        <w:spacing w:before="0" w:beforeAutospacing="0" w:after="210" w:afterAutospacing="0"/>
        <w:rPr>
          <w:rFonts w:ascii="Cambria" w:hAnsi="Cambria"/>
          <w:sz w:val="22"/>
          <w:szCs w:val="22"/>
        </w:rPr>
      </w:pPr>
      <w:r w:rsidRPr="007223DB">
        <w:rPr>
          <w:rStyle w:val="s1"/>
          <w:rFonts w:ascii="Cambria" w:eastAsia="Calibri" w:hAnsi="Cambria"/>
          <w:sz w:val="22"/>
          <w:szCs w:val="22"/>
        </w:rPr>
        <w:t>Babb, James, </w:t>
      </w:r>
      <w:r w:rsidRPr="007223DB">
        <w:rPr>
          <w:rStyle w:val="s1"/>
          <w:rFonts w:ascii="Cambria" w:eastAsia="Calibri" w:hAnsi="Cambria"/>
          <w:i/>
          <w:iCs/>
          <w:sz w:val="22"/>
          <w:szCs w:val="22"/>
        </w:rPr>
        <w:t>A World History of Political Thought</w:t>
      </w:r>
      <w:r w:rsidRPr="007223DB">
        <w:rPr>
          <w:rStyle w:val="s1"/>
          <w:rFonts w:ascii="Cambria" w:eastAsia="Calibri" w:hAnsi="Cambria"/>
          <w:sz w:val="22"/>
          <w:szCs w:val="22"/>
        </w:rPr>
        <w:t>, Elgar, 2018</w:t>
      </w:r>
      <w:r w:rsidRPr="007223DB">
        <w:rPr>
          <w:rFonts w:ascii="Cambria" w:hAnsi="Cambria"/>
          <w:sz w:val="22"/>
          <w:szCs w:val="22"/>
        </w:rPr>
        <w:br/>
      </w:r>
      <w:r w:rsidRPr="007223DB">
        <w:rPr>
          <w:rStyle w:val="s1"/>
          <w:rFonts w:ascii="Cambria" w:eastAsia="Calibri" w:hAnsi="Cambria"/>
          <w:sz w:val="22"/>
          <w:szCs w:val="22"/>
        </w:rPr>
        <w:t>Chakrabarty Dipesh, </w:t>
      </w:r>
      <w:r w:rsidRPr="007223DB">
        <w:rPr>
          <w:rStyle w:val="s1"/>
          <w:rFonts w:ascii="Cambria" w:eastAsia="Calibri" w:hAnsi="Cambria"/>
          <w:i/>
          <w:iCs/>
          <w:sz w:val="22"/>
          <w:szCs w:val="22"/>
        </w:rPr>
        <w:t>Provincialiser l’Europe : La pensée postcoloniale et la différence historique</w:t>
      </w:r>
      <w:r w:rsidRPr="007223DB">
        <w:rPr>
          <w:rStyle w:val="s1"/>
          <w:rFonts w:ascii="Cambria" w:eastAsia="Calibri" w:hAnsi="Cambria"/>
          <w:sz w:val="22"/>
          <w:szCs w:val="22"/>
        </w:rPr>
        <w:t>, Paris, Amsterdam, 2009 (2000).</w:t>
      </w:r>
      <w:r w:rsidRPr="007223DB">
        <w:rPr>
          <w:rFonts w:ascii="Cambria" w:hAnsi="Cambria"/>
          <w:sz w:val="22"/>
          <w:szCs w:val="22"/>
        </w:rPr>
        <w:br/>
      </w:r>
      <w:r w:rsidRPr="007223DB">
        <w:rPr>
          <w:rStyle w:val="s1"/>
          <w:rFonts w:ascii="Cambria" w:eastAsia="Calibri" w:hAnsi="Cambria"/>
          <w:sz w:val="22"/>
          <w:szCs w:val="22"/>
        </w:rPr>
        <w:t>Charle, Christophe, </w:t>
      </w:r>
      <w:r w:rsidRPr="007223DB">
        <w:rPr>
          <w:rStyle w:val="s1"/>
          <w:rFonts w:ascii="Cambria" w:eastAsia="Calibri" w:hAnsi="Cambria"/>
          <w:i/>
          <w:iCs/>
          <w:sz w:val="22"/>
          <w:szCs w:val="22"/>
        </w:rPr>
        <w:t>Les intellectuels en Europe au XIXe siècle. Essai d’histoire comparée</w:t>
      </w:r>
      <w:r w:rsidRPr="007223DB">
        <w:rPr>
          <w:rStyle w:val="s1"/>
          <w:rFonts w:ascii="Cambria" w:eastAsia="Calibri" w:hAnsi="Cambria"/>
          <w:sz w:val="22"/>
          <w:szCs w:val="22"/>
        </w:rPr>
        <w:t>, Paris, Seuil, 2014 (1996)</w:t>
      </w:r>
      <w:r w:rsidRPr="007223DB">
        <w:rPr>
          <w:rFonts w:ascii="Cambria" w:hAnsi="Cambria"/>
          <w:sz w:val="22"/>
          <w:szCs w:val="22"/>
        </w:rPr>
        <w:br/>
        <w:t>Duroselle, Jean-Baptiste, </w:t>
      </w:r>
      <w:r w:rsidRPr="007223DB">
        <w:rPr>
          <w:rFonts w:ascii="Cambria" w:hAnsi="Cambria"/>
          <w:i/>
          <w:iCs/>
          <w:sz w:val="22"/>
          <w:szCs w:val="22"/>
        </w:rPr>
        <w:t>L’idée d’Europe dans l’histoire</w:t>
      </w:r>
      <w:r w:rsidRPr="007223DB">
        <w:rPr>
          <w:rFonts w:ascii="Cambria" w:hAnsi="Cambria"/>
          <w:sz w:val="22"/>
          <w:szCs w:val="22"/>
        </w:rPr>
        <w:t>, Paris, Denoël, 1965 (préface de Jean Monnet)</w:t>
      </w:r>
      <w:r w:rsidRPr="007223DB">
        <w:rPr>
          <w:rFonts w:ascii="Cambria" w:hAnsi="Cambria"/>
          <w:sz w:val="22"/>
          <w:szCs w:val="22"/>
        </w:rPr>
        <w:br/>
        <w:t>Feuerhahn, Wolf, </w:t>
      </w:r>
      <w:r w:rsidRPr="007223DB">
        <w:rPr>
          <w:rFonts w:ascii="Cambria" w:hAnsi="Cambria"/>
          <w:i/>
          <w:iCs/>
          <w:sz w:val="22"/>
          <w:szCs w:val="22"/>
        </w:rPr>
        <w:t>Progrès</w:t>
      </w:r>
      <w:r w:rsidRPr="007223DB">
        <w:rPr>
          <w:rFonts w:ascii="Cambria" w:hAnsi="Cambria"/>
          <w:sz w:val="22"/>
          <w:szCs w:val="22"/>
        </w:rPr>
        <w:t>, Paris, Anamosa, 2025.</w:t>
      </w:r>
      <w:r w:rsidRPr="007223DB">
        <w:rPr>
          <w:rFonts w:ascii="Cambria" w:hAnsi="Cambria"/>
          <w:sz w:val="22"/>
          <w:szCs w:val="22"/>
        </w:rPr>
        <w:br/>
        <w:t>Skinner Quentin, </w:t>
      </w:r>
      <w:r w:rsidRPr="007223DB">
        <w:rPr>
          <w:rFonts w:ascii="Cambria" w:hAnsi="Cambria"/>
          <w:i/>
          <w:iCs/>
          <w:sz w:val="22"/>
          <w:szCs w:val="22"/>
        </w:rPr>
        <w:t>Les fondements de la pensée politique moderne</w:t>
      </w:r>
      <w:r w:rsidRPr="007223DB">
        <w:rPr>
          <w:rFonts w:ascii="Cambria" w:hAnsi="Cambria"/>
          <w:sz w:val="22"/>
          <w:szCs w:val="22"/>
        </w:rPr>
        <w:t>, Paris, Albin Michel 2009</w:t>
      </w:r>
    </w:p>
    <w:p w14:paraId="0168B146"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626F969"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32813ED" w14:textId="77777777" w:rsidR="00827E69" w:rsidRPr="007223DB" w:rsidRDefault="00827E6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5792F19" w14:textId="77777777" w:rsidR="00827E69" w:rsidRPr="007223DB" w:rsidRDefault="00827E6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0558073"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169A232"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E0AF687"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29A48CE"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022713B" w14:textId="77777777" w:rsidR="00454186" w:rsidRPr="007223DB" w:rsidRDefault="004B61BA"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rPr>
      </w:pPr>
      <w:r w:rsidRPr="007223DB">
        <w:rPr>
          <w:rFonts w:ascii="Cambria" w:hAnsi="Cambria"/>
          <w:i/>
          <w:color w:val="C00000"/>
          <w:sz w:val="28"/>
          <w:szCs w:val="28"/>
        </w:rPr>
        <w:t>J304311</w:t>
      </w:r>
      <w:r w:rsidR="00196F4C" w:rsidRPr="007223DB">
        <w:rPr>
          <w:rFonts w:ascii="Cambria" w:hAnsi="Cambria"/>
          <w:i/>
          <w:color w:val="C00000"/>
          <w:sz w:val="28"/>
          <w:szCs w:val="28"/>
        </w:rPr>
        <w:t>9</w:t>
      </w:r>
      <w:r w:rsidRPr="007223DB">
        <w:rPr>
          <w:rFonts w:ascii="Cambria" w:hAnsi="Cambria"/>
          <w:i/>
          <w:color w:val="C00000"/>
          <w:sz w:val="28"/>
          <w:szCs w:val="28"/>
        </w:rPr>
        <w:t>/J304321</w:t>
      </w:r>
      <w:r w:rsidR="00196F4C" w:rsidRPr="007223DB">
        <w:rPr>
          <w:rFonts w:ascii="Cambria" w:hAnsi="Cambria"/>
          <w:i/>
          <w:color w:val="C00000"/>
          <w:sz w:val="28"/>
          <w:szCs w:val="28"/>
        </w:rPr>
        <w:t>9</w:t>
      </w:r>
      <w:r w:rsidRPr="007223DB">
        <w:rPr>
          <w:rFonts w:ascii="Cambria" w:hAnsi="Cambria"/>
          <w:i/>
          <w:color w:val="C00000"/>
          <w:sz w:val="28"/>
          <w:szCs w:val="28"/>
        </w:rPr>
        <w:t xml:space="preserve"> : </w:t>
      </w:r>
      <w:r w:rsidR="00454186" w:rsidRPr="007223DB">
        <w:rPr>
          <w:rFonts w:ascii="Cambria" w:hAnsi="Cambria"/>
          <w:i/>
          <w:color w:val="C00000"/>
          <w:sz w:val="28"/>
          <w:szCs w:val="28"/>
        </w:rPr>
        <w:t>Histoire contemporaine de l’Asie</w:t>
      </w:r>
    </w:p>
    <w:p w14:paraId="745EDE0A" w14:textId="77777777" w:rsidR="00454186" w:rsidRPr="007223DB" w:rsidRDefault="00454186"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8"/>
          <w:szCs w:val="28"/>
        </w:rPr>
      </w:pPr>
    </w:p>
    <w:p w14:paraId="76791E57" w14:textId="4ED95CB4" w:rsidR="00454186" w:rsidRPr="007223DB" w:rsidRDefault="00233B69" w:rsidP="00033D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Pierre Singaravélou (CM), </w:t>
      </w:r>
      <w:r w:rsidR="00095469" w:rsidRPr="007223DB">
        <w:rPr>
          <w:rFonts w:ascii="Cambria" w:hAnsi="Cambria" w:cs="Times New Roman"/>
          <w:sz w:val="22"/>
        </w:rPr>
        <w:t>Christina Wu (</w:t>
      </w:r>
      <w:r w:rsidR="009313E8" w:rsidRPr="007223DB">
        <w:rPr>
          <w:rFonts w:ascii="Cambria" w:hAnsi="Cambria" w:cs="Times New Roman"/>
          <w:sz w:val="22"/>
        </w:rPr>
        <w:t>TD)</w:t>
      </w:r>
    </w:p>
    <w:p w14:paraId="1F8DE16D" w14:textId="77777777" w:rsidR="00F662B3" w:rsidRPr="007223DB" w:rsidRDefault="00F662B3"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sz w:val="22"/>
        </w:rPr>
      </w:pPr>
    </w:p>
    <w:p w14:paraId="210DC2C7" w14:textId="008B0665" w:rsidR="00095469" w:rsidRPr="007223DB" w:rsidRDefault="00095469" w:rsidP="00324339">
      <w:pPr>
        <w:jc w:val="center"/>
        <w:rPr>
          <w:rFonts w:ascii="Cambria" w:eastAsia="MS Mincho" w:hAnsi="Cambria" w:cs="Times New Roman"/>
          <w:color w:val="B71E42" w:themeColor="accent1"/>
          <w:kern w:val="0"/>
          <w:szCs w:val="24"/>
          <w:lang w:eastAsia="fr-FR"/>
        </w:rPr>
      </w:pPr>
      <w:r w:rsidRPr="007223DB">
        <w:rPr>
          <w:rFonts w:ascii="Cambria" w:hAnsi="Cambria" w:cs="Times New Roman"/>
          <w:color w:val="B71E42" w:themeColor="accent1"/>
          <w:szCs w:val="24"/>
          <w:u w:val="single"/>
        </w:rPr>
        <w:t>Sujet du cours</w:t>
      </w:r>
      <w:r w:rsidRPr="007223DB">
        <w:rPr>
          <w:rFonts w:ascii="Cambria" w:hAnsi="Cambria" w:cs="Times New Roman"/>
          <w:color w:val="B71E42" w:themeColor="accent1"/>
          <w:szCs w:val="24"/>
        </w:rPr>
        <w:t> :</w:t>
      </w:r>
      <w:r w:rsidRPr="007223DB">
        <w:rPr>
          <w:rFonts w:ascii="Cambria" w:eastAsia="MS Mincho" w:hAnsi="Cambria" w:cs="Times New Roman"/>
          <w:color w:val="B71E42" w:themeColor="accent1"/>
          <w:kern w:val="0"/>
          <w:szCs w:val="24"/>
          <w:lang w:eastAsia="fr-FR"/>
        </w:rPr>
        <w:t xml:space="preserve"> « </w:t>
      </w:r>
      <w:r w:rsidR="00624CE1" w:rsidRPr="007223DB">
        <w:rPr>
          <w:rFonts w:ascii="Cambria" w:eastAsia="MS Mincho" w:hAnsi="Cambria" w:cs="Times New Roman"/>
          <w:color w:val="B71E42" w:themeColor="accent1"/>
          <w:kern w:val="0"/>
          <w:szCs w:val="24"/>
          <w:lang w:eastAsia="fr-FR"/>
        </w:rPr>
        <w:t>Les empires en Asie : colonisation et mondialisatio</w:t>
      </w:r>
      <w:r w:rsidR="00324339" w:rsidRPr="007223DB">
        <w:rPr>
          <w:rFonts w:ascii="Cambria" w:eastAsia="MS Mincho" w:hAnsi="Cambria" w:cs="Times New Roman"/>
          <w:color w:val="B71E42" w:themeColor="accent1"/>
          <w:kern w:val="0"/>
          <w:szCs w:val="24"/>
          <w:lang w:eastAsia="fr-FR"/>
        </w:rPr>
        <w:t xml:space="preserve">n </w:t>
      </w:r>
      <w:r w:rsidR="00624CE1" w:rsidRPr="007223DB">
        <w:rPr>
          <w:rFonts w:ascii="Cambria" w:eastAsia="MS Mincho" w:hAnsi="Cambria" w:cs="Times New Roman"/>
          <w:color w:val="B71E42" w:themeColor="accent1"/>
          <w:kern w:val="0"/>
          <w:szCs w:val="24"/>
          <w:lang w:eastAsia="fr-FR"/>
        </w:rPr>
        <w:t>(XVIIIe s- XXe s) »</w:t>
      </w:r>
      <w:r w:rsidRPr="007223DB">
        <w:rPr>
          <w:rFonts w:ascii="Cambria" w:eastAsia="MS Mincho" w:hAnsi="Cambria" w:cs="Times New Roman"/>
          <w:color w:val="B71E42" w:themeColor="accent1"/>
          <w:kern w:val="0"/>
          <w:szCs w:val="24"/>
          <w:lang w:eastAsia="fr-FR"/>
        </w:rPr>
        <w:t> </w:t>
      </w:r>
    </w:p>
    <w:p w14:paraId="063CCBC0" w14:textId="77777777" w:rsidR="00624CE1" w:rsidRPr="007223DB" w:rsidRDefault="00624CE1" w:rsidP="00624CE1">
      <w:pPr>
        <w:jc w:val="both"/>
        <w:rPr>
          <w:rFonts w:ascii="Cambria" w:hAnsi="Cambria" w:cs="Times New Roman"/>
          <w:b w:val="0"/>
          <w:bCs/>
          <w:sz w:val="22"/>
          <w:lang w:eastAsia="fr-FR"/>
        </w:rPr>
      </w:pPr>
      <w:r w:rsidRPr="007223DB">
        <w:rPr>
          <w:rFonts w:ascii="Cambria" w:hAnsi="Cambria" w:cs="Times New Roman"/>
          <w:b w:val="0"/>
          <w:bCs/>
          <w:sz w:val="22"/>
          <w:lang w:eastAsia="fr-FR"/>
        </w:rPr>
        <w:t>À la croisée de l’histoire globale et de l’étude du fait colonial, ce cours retrace l’évolution des formations impériales autochtones et occidentales en Asie entre la fin du XVIIIe siècle et le milieu du XXe siècle. Siège des plus puissants empires de l’époque moderne (Qing et Moghol), le continent asiatique devient à partir du milieu du XIXe siècle le terrain privilégié des expériences coloniales formelles et informelles « occidentales », notamment dans le sous‐continent indien, « couronne de l’Empire britannique », en Indochine, « perle de l’Empire français », dans les Indes néerlandaises (Indonésie), dans les Philippines étatsuniennes et en Chine, où les puissances étrangères développent leurs concessions. Dans une perspective comparée et croisée, nous étudierons les différents modes de domination coloniale et la diversité des stratégies d’accommodement et de résistance adoptées par les populations colonisées. Parallèlement, nous analyserons les circulations d’hommes, de marchandises, de pratiques et d’idées entre ces différentes parties de l’Asie ainsi que les multiples connexions entre colonies et métropoles. Nous nous interrogerons enfin sur le rôle de ces empires dans la fabrique d’une « mondialisation asiatique ».</w:t>
      </w:r>
    </w:p>
    <w:p w14:paraId="6561402B" w14:textId="77777777" w:rsidR="00624CE1" w:rsidRPr="007223DB" w:rsidRDefault="00624CE1" w:rsidP="00624CE1">
      <w:pPr>
        <w:rPr>
          <w:rFonts w:ascii="Cambria" w:hAnsi="Cambria" w:cs="Times New Roman"/>
          <w:sz w:val="22"/>
          <w:lang w:eastAsia="fr-FR"/>
        </w:rPr>
      </w:pPr>
    </w:p>
    <w:p w14:paraId="5EE78D08" w14:textId="77777777" w:rsidR="00624CE1" w:rsidRPr="007223DB" w:rsidRDefault="00624CE1" w:rsidP="00624CE1">
      <w:pPr>
        <w:rPr>
          <w:rFonts w:ascii="Cambria" w:hAnsi="Cambria" w:cs="Times New Roman"/>
          <w:sz w:val="22"/>
          <w:lang w:eastAsia="fr-FR"/>
        </w:rPr>
      </w:pPr>
      <w:r w:rsidRPr="007223DB">
        <w:rPr>
          <w:rFonts w:ascii="Cambria" w:hAnsi="Cambria" w:cs="Times New Roman"/>
          <w:sz w:val="22"/>
          <w:lang w:eastAsia="fr-FR"/>
        </w:rPr>
        <w:t>Bibliographie :</w:t>
      </w:r>
    </w:p>
    <w:p w14:paraId="741A5CD2"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‐Michel Foucher (dir.), </w:t>
      </w:r>
      <w:r w:rsidRPr="007223DB">
        <w:rPr>
          <w:rFonts w:ascii="Cambria" w:hAnsi="Cambria" w:cs="Times New Roman"/>
          <w:b w:val="0"/>
          <w:bCs/>
          <w:i/>
          <w:iCs/>
          <w:sz w:val="22"/>
          <w:lang w:eastAsia="fr-FR"/>
        </w:rPr>
        <w:t>Asies nouvelles</w:t>
      </w:r>
      <w:r w:rsidRPr="007223DB">
        <w:rPr>
          <w:rFonts w:ascii="Cambria" w:hAnsi="Cambria" w:cs="Times New Roman"/>
          <w:b w:val="0"/>
          <w:bCs/>
          <w:sz w:val="22"/>
          <w:lang w:eastAsia="fr-FR"/>
        </w:rPr>
        <w:t>, Paris, Belin, 2002.</w:t>
      </w:r>
    </w:p>
    <w:p w14:paraId="3267DA3A"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‐Pierre Grosser, L’histoire du monde se fait en Asie : Une autre vision du XXe siècle, Paris, Odile Jacob, 2017.</w:t>
      </w:r>
    </w:p>
    <w:p w14:paraId="04B11ABA" w14:textId="7B68D62B" w:rsidR="00391333"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‐Jean‐François Klein, Pierre Singaravélou et Marie‐Albane de Suremain, </w:t>
      </w:r>
      <w:r w:rsidRPr="007223DB">
        <w:rPr>
          <w:rFonts w:ascii="Cambria" w:hAnsi="Cambria" w:cs="Times New Roman"/>
          <w:b w:val="0"/>
          <w:bCs/>
          <w:i/>
          <w:iCs/>
          <w:sz w:val="22"/>
          <w:lang w:eastAsia="fr-FR"/>
        </w:rPr>
        <w:t>Atlas des empires coloniaux</w:t>
      </w:r>
      <w:r w:rsidRPr="007223DB">
        <w:rPr>
          <w:rFonts w:ascii="Cambria" w:hAnsi="Cambria" w:cs="Times New Roman"/>
          <w:b w:val="0"/>
          <w:bCs/>
          <w:sz w:val="22"/>
          <w:lang w:eastAsia="fr-FR"/>
        </w:rPr>
        <w:t>, Paris, Autrement, 2012.</w:t>
      </w:r>
    </w:p>
    <w:p w14:paraId="09710E87" w14:textId="3F965113"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‐Philippe Pelletier, L’Extrême‐Orient. L’invention d’une histoire et d’une géographie, Paris, Gallimard, 2011.</w:t>
      </w:r>
    </w:p>
    <w:p w14:paraId="51470A10"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‐Harmut O. Rotermund, L’Asie orientale et méridionale aux XIXe et XXe siècles, Paris, PUF, 1999.</w:t>
      </w:r>
    </w:p>
    <w:p w14:paraId="2D59EA6B" w14:textId="77777777" w:rsidR="00624CE1" w:rsidRPr="007223DB" w:rsidRDefault="00624CE1" w:rsidP="00624CE1">
      <w:pPr>
        <w:rPr>
          <w:rFonts w:ascii="Cambria" w:hAnsi="Cambria" w:cs="Times New Roman"/>
          <w:b w:val="0"/>
          <w:bCs/>
          <w:sz w:val="22"/>
          <w:lang w:val="en-US" w:eastAsia="fr-FR"/>
        </w:rPr>
      </w:pPr>
      <w:r w:rsidRPr="007223DB">
        <w:rPr>
          <w:rFonts w:ascii="Cambria" w:hAnsi="Cambria" w:cs="Times New Roman"/>
          <w:b w:val="0"/>
          <w:bCs/>
          <w:sz w:val="22"/>
          <w:lang w:val="en-US" w:eastAsia="fr-FR"/>
        </w:rPr>
        <w:t xml:space="preserve">‐Sven Saaler et Christopher Szpilman (ed.), </w:t>
      </w:r>
      <w:r w:rsidRPr="007223DB">
        <w:rPr>
          <w:rFonts w:ascii="Cambria" w:hAnsi="Cambria" w:cs="Times New Roman"/>
          <w:b w:val="0"/>
          <w:bCs/>
          <w:i/>
          <w:iCs/>
          <w:sz w:val="22"/>
          <w:lang w:val="en-US" w:eastAsia="fr-FR"/>
        </w:rPr>
        <w:t>Pan‐Asianism : A Documentary History</w:t>
      </w:r>
      <w:r w:rsidRPr="007223DB">
        <w:rPr>
          <w:rFonts w:ascii="Cambria" w:hAnsi="Cambria" w:cs="Times New Roman"/>
          <w:b w:val="0"/>
          <w:bCs/>
          <w:sz w:val="22"/>
          <w:lang w:val="en-US" w:eastAsia="fr-FR"/>
        </w:rPr>
        <w:t>, New York, Rowman &amp; Littlefield, 2011.</w:t>
      </w:r>
    </w:p>
    <w:p w14:paraId="6D82E635"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‐Pierre Singaravélou, </w:t>
      </w:r>
      <w:r w:rsidRPr="007223DB">
        <w:rPr>
          <w:rFonts w:ascii="Cambria" w:hAnsi="Cambria" w:cs="Times New Roman"/>
          <w:b w:val="0"/>
          <w:bCs/>
          <w:i/>
          <w:iCs/>
          <w:sz w:val="22"/>
          <w:lang w:eastAsia="fr-FR"/>
        </w:rPr>
        <w:t>Les empires coloniaux (XIXe‐XXe s.)</w:t>
      </w:r>
      <w:r w:rsidRPr="007223DB">
        <w:rPr>
          <w:rFonts w:ascii="Cambria" w:hAnsi="Cambria" w:cs="Times New Roman"/>
          <w:b w:val="0"/>
          <w:bCs/>
          <w:sz w:val="22"/>
          <w:lang w:eastAsia="fr-FR"/>
        </w:rPr>
        <w:t>, Paris, Seuil, 2013.</w:t>
      </w:r>
    </w:p>
    <w:p w14:paraId="51C66934"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‐Pierre Singaravélou, Tianjin Cosmopolis. Une autre histoire de la mondialisation, Paris, Seuil, 2017.</w:t>
      </w:r>
    </w:p>
    <w:p w14:paraId="43BEC3BC"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‐Pierre Singaravélou et Sylvain Venayre (dir.), </w:t>
      </w:r>
      <w:r w:rsidRPr="007223DB">
        <w:rPr>
          <w:rFonts w:ascii="Cambria" w:hAnsi="Cambria" w:cs="Times New Roman"/>
          <w:b w:val="0"/>
          <w:bCs/>
          <w:i/>
          <w:iCs/>
          <w:sz w:val="22"/>
          <w:lang w:eastAsia="fr-FR"/>
        </w:rPr>
        <w:t>Histoire du monde au XIXe siècle</w:t>
      </w:r>
      <w:r w:rsidRPr="007223DB">
        <w:rPr>
          <w:rFonts w:ascii="Cambria" w:hAnsi="Cambria" w:cs="Times New Roman"/>
          <w:b w:val="0"/>
          <w:bCs/>
          <w:sz w:val="22"/>
          <w:lang w:eastAsia="fr-FR"/>
        </w:rPr>
        <w:t>, Paris, Fayard, 2017.</w:t>
      </w:r>
    </w:p>
    <w:p w14:paraId="0867E6F5" w14:textId="77777777" w:rsidR="00624CE1" w:rsidRPr="007223DB" w:rsidRDefault="00624CE1" w:rsidP="00624CE1">
      <w:pPr>
        <w:rPr>
          <w:rFonts w:ascii="Cambria" w:hAnsi="Cambria" w:cs="Times New Roman"/>
          <w:b w:val="0"/>
          <w:bCs/>
          <w:color w:val="000000"/>
          <w:sz w:val="22"/>
          <w:lang w:eastAsia="fr-FR"/>
        </w:rPr>
      </w:pPr>
      <w:r w:rsidRPr="007223DB">
        <w:rPr>
          <w:rFonts w:ascii="Cambria" w:hAnsi="Cambria" w:cs="Times New Roman"/>
          <w:b w:val="0"/>
          <w:bCs/>
          <w:sz w:val="22"/>
        </w:rPr>
        <w:t xml:space="preserve">Pierre Singaravélou (dir.), </w:t>
      </w:r>
      <w:r w:rsidRPr="007223DB">
        <w:rPr>
          <w:rFonts w:ascii="Cambria" w:hAnsi="Cambria" w:cs="Times New Roman"/>
          <w:b w:val="0"/>
          <w:bCs/>
          <w:i/>
          <w:iCs/>
          <w:sz w:val="22"/>
        </w:rPr>
        <w:t xml:space="preserve">Colonisations. Notre histoire, </w:t>
      </w:r>
      <w:r w:rsidRPr="007223DB">
        <w:rPr>
          <w:rFonts w:ascii="Cambria" w:hAnsi="Cambria" w:cs="Times New Roman"/>
          <w:b w:val="0"/>
          <w:bCs/>
          <w:sz w:val="22"/>
        </w:rPr>
        <w:t>Paris, Seuil, 2023.</w:t>
      </w:r>
    </w:p>
    <w:p w14:paraId="1513E873"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‐Hugues Tertrais, </w:t>
      </w:r>
      <w:r w:rsidRPr="007223DB">
        <w:rPr>
          <w:rFonts w:ascii="Cambria" w:hAnsi="Cambria" w:cs="Times New Roman"/>
          <w:b w:val="0"/>
          <w:bCs/>
          <w:i/>
          <w:iCs/>
          <w:sz w:val="22"/>
          <w:lang w:eastAsia="fr-FR"/>
        </w:rPr>
        <w:t>L’Asie‐Pacifique au XXe siècle</w:t>
      </w:r>
      <w:r w:rsidRPr="007223DB">
        <w:rPr>
          <w:rFonts w:ascii="Cambria" w:hAnsi="Cambria" w:cs="Times New Roman"/>
          <w:b w:val="0"/>
          <w:bCs/>
          <w:sz w:val="22"/>
          <w:lang w:eastAsia="fr-FR"/>
        </w:rPr>
        <w:t>, Paris, Armand Colin, 2015.</w:t>
      </w:r>
    </w:p>
    <w:p w14:paraId="37C93408"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‐Nora Wang, L’Asie orientale du milieu du XIXe siècle à nos jours, Paris, </w:t>
      </w:r>
      <w:r w:rsidRPr="007223DB">
        <w:rPr>
          <w:rFonts w:ascii="Cambria" w:hAnsi="Cambria" w:cs="Times New Roman"/>
          <w:b w:val="0"/>
          <w:bCs/>
          <w:sz w:val="22"/>
        </w:rPr>
        <w:t>Armand Colin, 2014.</w:t>
      </w:r>
    </w:p>
    <w:p w14:paraId="265CCE89" w14:textId="77777777" w:rsidR="003437B2" w:rsidRPr="007223DB" w:rsidRDefault="003437B2" w:rsidP="001C6A64">
      <w:pPr>
        <w:spacing w:after="0" w:line="240" w:lineRule="auto"/>
        <w:outlineLvl w:val="0"/>
        <w:rPr>
          <w:rFonts w:ascii="Cambria" w:hAnsi="Cambria" w:cs="Times New Roman"/>
          <w:b w:val="0"/>
          <w:bCs/>
          <w:i/>
          <w:color w:val="000000"/>
          <w:kern w:val="0"/>
          <w:sz w:val="22"/>
          <w:lang w:eastAsia="fr-FR"/>
        </w:rPr>
      </w:pPr>
    </w:p>
    <w:p w14:paraId="0406E8A5" w14:textId="77777777" w:rsidR="00043292" w:rsidRPr="007223DB" w:rsidRDefault="00043292" w:rsidP="005F2307">
      <w:pPr>
        <w:spacing w:after="0" w:line="240" w:lineRule="auto"/>
        <w:jc w:val="center"/>
        <w:outlineLvl w:val="0"/>
        <w:rPr>
          <w:rFonts w:ascii="Cambria" w:hAnsi="Cambria" w:cs="Times New Roman"/>
          <w:b w:val="0"/>
          <w:bCs/>
          <w:i/>
          <w:color w:val="000000"/>
          <w:kern w:val="0"/>
          <w:sz w:val="22"/>
          <w:lang w:eastAsia="fr-FR"/>
        </w:rPr>
      </w:pPr>
    </w:p>
    <w:p w14:paraId="4847B1D2"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4E4B2442"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237180A6"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4D2D01D6"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37802142"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1AF8722E"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35C92BCE"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49BFF3E7"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30C981A2"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767B153F" w14:textId="77777777" w:rsidR="00364131" w:rsidRPr="007223DB" w:rsidRDefault="00364131" w:rsidP="005F2307">
      <w:pPr>
        <w:spacing w:after="0" w:line="240" w:lineRule="auto"/>
        <w:jc w:val="center"/>
        <w:outlineLvl w:val="0"/>
        <w:rPr>
          <w:rFonts w:ascii="Cambria" w:hAnsi="Cambria" w:cs="Times New Roman"/>
          <w:b w:val="0"/>
          <w:bCs/>
          <w:i/>
          <w:color w:val="000000"/>
          <w:kern w:val="0"/>
          <w:sz w:val="22"/>
          <w:lang w:eastAsia="fr-FR"/>
        </w:rPr>
      </w:pPr>
    </w:p>
    <w:p w14:paraId="3363C0A5" w14:textId="77777777" w:rsidR="0006566E" w:rsidRPr="007223DB" w:rsidRDefault="0006566E" w:rsidP="00AD1C8E">
      <w:pPr>
        <w:spacing w:after="0" w:line="240" w:lineRule="auto"/>
        <w:outlineLvl w:val="0"/>
        <w:rPr>
          <w:rFonts w:ascii="Cambria" w:hAnsi="Cambria" w:cs="Cambria"/>
          <w:bCs/>
          <w:i/>
          <w:color w:val="000000"/>
          <w:kern w:val="0"/>
          <w:sz w:val="28"/>
          <w:szCs w:val="28"/>
          <w:lang w:eastAsia="fr-FR"/>
        </w:rPr>
      </w:pPr>
    </w:p>
    <w:p w14:paraId="24C755E8" w14:textId="77777777" w:rsidR="007B4A5E" w:rsidRPr="007223DB" w:rsidRDefault="007B4A5E" w:rsidP="00AD1C8E">
      <w:pPr>
        <w:spacing w:after="0" w:line="240" w:lineRule="auto"/>
        <w:outlineLvl w:val="0"/>
        <w:rPr>
          <w:rFonts w:ascii="Cambria" w:hAnsi="Cambria" w:cs="Cambria"/>
          <w:bCs/>
          <w:i/>
          <w:color w:val="000000"/>
          <w:kern w:val="0"/>
          <w:sz w:val="28"/>
          <w:szCs w:val="28"/>
          <w:lang w:eastAsia="fr-FR"/>
        </w:rPr>
      </w:pPr>
    </w:p>
    <w:p w14:paraId="7DB0AC7F" w14:textId="77777777" w:rsidR="007B4A5E" w:rsidRPr="007223DB" w:rsidRDefault="007B4A5E" w:rsidP="00AD1C8E">
      <w:pPr>
        <w:spacing w:after="0" w:line="240" w:lineRule="auto"/>
        <w:outlineLvl w:val="0"/>
        <w:rPr>
          <w:rFonts w:ascii="Cambria" w:hAnsi="Cambria" w:cs="Cambria"/>
          <w:bCs/>
          <w:i/>
          <w:color w:val="000000"/>
          <w:kern w:val="0"/>
          <w:sz w:val="28"/>
          <w:szCs w:val="28"/>
          <w:lang w:eastAsia="fr-FR"/>
        </w:rPr>
      </w:pPr>
    </w:p>
    <w:p w14:paraId="4596E840" w14:textId="77777777" w:rsidR="00AB4828" w:rsidRPr="007223DB" w:rsidRDefault="00AB4828" w:rsidP="00AD1C8E">
      <w:pPr>
        <w:spacing w:after="0" w:line="240" w:lineRule="auto"/>
        <w:outlineLvl w:val="0"/>
        <w:rPr>
          <w:rFonts w:ascii="Cambria" w:hAnsi="Cambria" w:cs="Cambria"/>
          <w:bCs/>
          <w:i/>
          <w:color w:val="000000"/>
          <w:kern w:val="0"/>
          <w:sz w:val="28"/>
          <w:szCs w:val="28"/>
          <w:lang w:eastAsia="fr-FR"/>
        </w:rPr>
      </w:pPr>
    </w:p>
    <w:p w14:paraId="08308B96" w14:textId="77777777" w:rsidR="00624CE1" w:rsidRPr="007223DB" w:rsidRDefault="00624CE1" w:rsidP="005F2307">
      <w:pPr>
        <w:spacing w:after="0" w:line="240" w:lineRule="auto"/>
        <w:jc w:val="center"/>
        <w:outlineLvl w:val="0"/>
        <w:rPr>
          <w:rFonts w:ascii="Cambria" w:hAnsi="Cambria" w:cs="Cambria"/>
          <w:bCs/>
          <w:i/>
          <w:color w:val="000000"/>
          <w:kern w:val="0"/>
          <w:sz w:val="28"/>
          <w:szCs w:val="28"/>
          <w:lang w:eastAsia="fr-FR"/>
        </w:rPr>
      </w:pPr>
    </w:p>
    <w:p w14:paraId="1817A9F5" w14:textId="77777777" w:rsidR="00D4636F" w:rsidRPr="007223DB" w:rsidRDefault="00D10FFA" w:rsidP="005F2307">
      <w:pPr>
        <w:spacing w:after="0" w:line="240" w:lineRule="auto"/>
        <w:jc w:val="center"/>
        <w:outlineLvl w:val="0"/>
        <w:rPr>
          <w:rFonts w:ascii="Cambria" w:hAnsi="Cambria" w:cs="Times New Roman"/>
          <w:bCs/>
          <w:i/>
          <w:color w:val="C00000"/>
          <w:kern w:val="0"/>
          <w:sz w:val="28"/>
          <w:szCs w:val="28"/>
          <w:lang w:eastAsia="fr-FR"/>
        </w:rPr>
      </w:pPr>
      <w:r w:rsidRPr="007223DB">
        <w:rPr>
          <w:rFonts w:ascii="Cambria" w:hAnsi="Cambria" w:cs="Cambria"/>
          <w:bCs/>
          <w:i/>
          <w:color w:val="C00000"/>
          <w:kern w:val="0"/>
          <w:sz w:val="28"/>
          <w:szCs w:val="28"/>
          <w:lang w:eastAsia="fr-FR"/>
        </w:rPr>
        <w:t>J304011</w:t>
      </w:r>
      <w:r w:rsidR="00196F4C" w:rsidRPr="007223DB">
        <w:rPr>
          <w:rFonts w:ascii="Cambria" w:hAnsi="Cambria" w:cs="Cambria"/>
          <w:bCs/>
          <w:i/>
          <w:color w:val="C00000"/>
          <w:kern w:val="0"/>
          <w:sz w:val="28"/>
          <w:szCs w:val="28"/>
          <w:lang w:eastAsia="fr-FR"/>
        </w:rPr>
        <w:t>9</w:t>
      </w:r>
      <w:r w:rsidR="00CB0224" w:rsidRPr="007223DB">
        <w:rPr>
          <w:rFonts w:ascii="Cambria" w:hAnsi="Cambria" w:cs="Cambria"/>
          <w:bCs/>
          <w:i/>
          <w:color w:val="C00000"/>
          <w:kern w:val="0"/>
          <w:sz w:val="28"/>
          <w:szCs w:val="28"/>
          <w:lang w:eastAsia="fr-FR"/>
        </w:rPr>
        <w:t>/</w:t>
      </w:r>
      <w:r w:rsidRPr="007223DB">
        <w:rPr>
          <w:rFonts w:ascii="Cambria" w:hAnsi="Cambria" w:cs="Cambria"/>
          <w:bCs/>
          <w:i/>
          <w:color w:val="C00000"/>
          <w:kern w:val="0"/>
          <w:sz w:val="28"/>
          <w:szCs w:val="28"/>
          <w:lang w:eastAsia="fr-FR"/>
        </w:rPr>
        <w:t>J304021</w:t>
      </w:r>
      <w:r w:rsidR="00196F4C" w:rsidRPr="007223DB">
        <w:rPr>
          <w:rFonts w:ascii="Cambria" w:hAnsi="Cambria" w:cs="Cambria"/>
          <w:bCs/>
          <w:i/>
          <w:color w:val="C00000"/>
          <w:kern w:val="0"/>
          <w:sz w:val="28"/>
          <w:szCs w:val="28"/>
          <w:lang w:eastAsia="fr-FR"/>
        </w:rPr>
        <w:t>9</w:t>
      </w:r>
      <w:r w:rsidRPr="007223DB">
        <w:rPr>
          <w:rFonts w:ascii="Cambria" w:hAnsi="Cambria" w:cs="Cambria"/>
          <w:bCs/>
          <w:i/>
          <w:color w:val="C00000"/>
          <w:kern w:val="0"/>
          <w:sz w:val="28"/>
          <w:szCs w:val="28"/>
          <w:lang w:eastAsia="fr-FR"/>
        </w:rPr>
        <w:t xml:space="preserve"> : </w:t>
      </w:r>
      <w:r w:rsidR="00D4636F" w:rsidRPr="007223DB">
        <w:rPr>
          <w:rFonts w:ascii="Cambria" w:hAnsi="Cambria" w:cs="Cambria"/>
          <w:bCs/>
          <w:i/>
          <w:color w:val="C00000"/>
          <w:kern w:val="0"/>
          <w:sz w:val="28"/>
          <w:szCs w:val="28"/>
          <w:lang w:eastAsia="fr-FR"/>
        </w:rPr>
        <w:t>Guerre, politique et sociétés XIX-XX</w:t>
      </w:r>
      <w:r w:rsidR="00D4636F" w:rsidRPr="007223DB">
        <w:rPr>
          <w:rFonts w:ascii="Cambria" w:hAnsi="Cambria" w:cs="Cambria"/>
          <w:bCs/>
          <w:i/>
          <w:color w:val="C00000"/>
          <w:kern w:val="0"/>
          <w:sz w:val="28"/>
          <w:szCs w:val="28"/>
          <w:vertAlign w:val="superscript"/>
          <w:lang w:eastAsia="fr-FR"/>
        </w:rPr>
        <w:t>e</w:t>
      </w:r>
      <w:r w:rsidR="00D4636F" w:rsidRPr="007223DB">
        <w:rPr>
          <w:rFonts w:ascii="Cambria" w:hAnsi="Cambria" w:cs="Cambria"/>
          <w:bCs/>
          <w:i/>
          <w:color w:val="C00000"/>
          <w:kern w:val="0"/>
          <w:sz w:val="28"/>
          <w:szCs w:val="28"/>
          <w:lang w:eastAsia="fr-FR"/>
        </w:rPr>
        <w:t xml:space="preserve"> siècle</w:t>
      </w:r>
    </w:p>
    <w:p w14:paraId="5EDFCF54" w14:textId="77777777" w:rsidR="00D10FFA" w:rsidRPr="007223DB" w:rsidRDefault="00D10FFA" w:rsidP="00D4636F">
      <w:pPr>
        <w:spacing w:after="0" w:line="240" w:lineRule="auto"/>
        <w:jc w:val="center"/>
        <w:rPr>
          <w:rFonts w:ascii="Cambria" w:hAnsi="Cambria"/>
          <w:szCs w:val="24"/>
        </w:rPr>
      </w:pPr>
    </w:p>
    <w:p w14:paraId="4B21B39D" w14:textId="090385A6" w:rsidR="00880EB4" w:rsidRPr="007223DB" w:rsidRDefault="00D10FFA" w:rsidP="00D4636F">
      <w:pPr>
        <w:spacing w:after="0" w:line="240" w:lineRule="auto"/>
        <w:jc w:val="center"/>
        <w:rPr>
          <w:rFonts w:ascii="Cambria" w:hAnsi="Cambria" w:cs="Times New Roman"/>
          <w:sz w:val="22"/>
        </w:rPr>
      </w:pPr>
      <w:r w:rsidRPr="007223DB">
        <w:rPr>
          <w:rFonts w:ascii="Cambria" w:hAnsi="Cambria" w:cs="Times New Roman"/>
          <w:bCs/>
          <w:color w:val="000000"/>
          <w:kern w:val="0"/>
          <w:sz w:val="22"/>
          <w:lang w:eastAsia="fr-FR"/>
        </w:rPr>
        <w:t>Alya Aglan (CM</w:t>
      </w:r>
      <w:r w:rsidR="00EB5609" w:rsidRPr="007223DB">
        <w:rPr>
          <w:rFonts w:ascii="Cambria" w:hAnsi="Cambria" w:cs="Times New Roman"/>
          <w:bCs/>
          <w:color w:val="000000"/>
          <w:kern w:val="0"/>
          <w:sz w:val="22"/>
          <w:lang w:eastAsia="fr-FR"/>
        </w:rPr>
        <w:t>)</w:t>
      </w:r>
      <w:r w:rsidR="00E53030" w:rsidRPr="007223DB">
        <w:rPr>
          <w:rFonts w:ascii="Cambria" w:hAnsi="Cambria" w:cs="Times New Roman"/>
          <w:sz w:val="22"/>
        </w:rPr>
        <w:t xml:space="preserve">, </w:t>
      </w:r>
      <w:r w:rsidR="006C321A" w:rsidRPr="007223DB">
        <w:rPr>
          <w:rFonts w:ascii="Cambria" w:hAnsi="Cambria" w:cs="Times New Roman"/>
          <w:sz w:val="22"/>
        </w:rPr>
        <w:t>Sophie Anglaret (TD)</w:t>
      </w:r>
    </w:p>
    <w:p w14:paraId="66F46FAA" w14:textId="5AF07CF7" w:rsidR="00D4636F" w:rsidRPr="007223DB" w:rsidRDefault="00D4636F" w:rsidP="00D4636F">
      <w:pPr>
        <w:spacing w:after="0" w:line="240" w:lineRule="auto"/>
        <w:jc w:val="center"/>
        <w:rPr>
          <w:rFonts w:ascii="Cambria" w:hAnsi="Cambria" w:cs="Times New Roman"/>
          <w:bCs/>
          <w:color w:val="000000"/>
          <w:kern w:val="0"/>
          <w:sz w:val="22"/>
          <w:lang w:eastAsia="fr-FR"/>
        </w:rPr>
      </w:pPr>
    </w:p>
    <w:p w14:paraId="4A6CC099" w14:textId="77777777" w:rsidR="00D4636F" w:rsidRPr="007223DB" w:rsidRDefault="00D4636F" w:rsidP="00D4636F">
      <w:pPr>
        <w:spacing w:after="0" w:line="240" w:lineRule="auto"/>
        <w:rPr>
          <w:rFonts w:ascii="Cambria" w:hAnsi="Cambria" w:cs="Times New Roman"/>
          <w:b w:val="0"/>
          <w:color w:val="000000"/>
          <w:kern w:val="0"/>
          <w:sz w:val="22"/>
          <w:lang w:eastAsia="fr-FR"/>
        </w:rPr>
      </w:pPr>
      <w:r w:rsidRPr="007223DB">
        <w:rPr>
          <w:rFonts w:ascii="Cambria" w:hAnsi="Cambria" w:cs="Times New Roman"/>
          <w:b w:val="0"/>
          <w:color w:val="000000"/>
          <w:kern w:val="0"/>
          <w:sz w:val="22"/>
          <w:lang w:eastAsia="fr-FR"/>
        </w:rPr>
        <w:t xml:space="preserve"> </w:t>
      </w:r>
    </w:p>
    <w:p w14:paraId="49258061" w14:textId="0AB9732E" w:rsidR="00880EB4" w:rsidRPr="005E4434" w:rsidRDefault="00880EB4" w:rsidP="005E4434">
      <w:pPr>
        <w:jc w:val="center"/>
        <w:rPr>
          <w:rFonts w:ascii="Cambria" w:hAnsi="Cambria" w:cs="Times New Roman"/>
          <w:bCs/>
          <w:color w:val="C00000"/>
          <w:sz w:val="22"/>
        </w:rPr>
      </w:pPr>
      <w:bookmarkStart w:id="38" w:name="_Hlk200636479"/>
      <w:r w:rsidRPr="005E4434">
        <w:rPr>
          <w:rFonts w:ascii="Cambria" w:hAnsi="Cambria" w:cs="Times New Roman"/>
          <w:bCs/>
          <w:color w:val="C00000"/>
          <w:sz w:val="22"/>
          <w:u w:val="single"/>
        </w:rPr>
        <w:t>Sujet du cours</w:t>
      </w:r>
      <w:r w:rsidRPr="005E4434">
        <w:rPr>
          <w:rFonts w:ascii="Cambria" w:hAnsi="Cambria" w:cs="Times New Roman"/>
          <w:bCs/>
          <w:color w:val="C00000"/>
          <w:sz w:val="22"/>
        </w:rPr>
        <w:t xml:space="preserve"> : </w:t>
      </w:r>
      <w:r w:rsidR="00716B39" w:rsidRPr="005E4434">
        <w:rPr>
          <w:rFonts w:ascii="Cambria" w:hAnsi="Cambria" w:cs="Times New Roman"/>
          <w:bCs/>
          <w:color w:val="C00000"/>
          <w:sz w:val="22"/>
        </w:rPr>
        <w:t>Les résistances au nazisme- France, Europe, Monde 1933-1949</w:t>
      </w:r>
      <w:bookmarkEnd w:id="38"/>
    </w:p>
    <w:p w14:paraId="6EF375F4" w14:textId="77777777" w:rsidR="00AB4828" w:rsidRPr="005E4434" w:rsidRDefault="00AB4828" w:rsidP="00AB4828">
      <w:pPr>
        <w:jc w:val="both"/>
        <w:rPr>
          <w:rFonts w:ascii="Cambria" w:hAnsi="Cambria"/>
          <w:b w:val="0"/>
          <w:bCs/>
          <w:sz w:val="22"/>
        </w:rPr>
      </w:pPr>
      <w:r w:rsidRPr="005E4434">
        <w:rPr>
          <w:rFonts w:ascii="Cambria" w:hAnsi="Cambria"/>
          <w:b w:val="0"/>
          <w:bCs/>
          <w:sz w:val="22"/>
        </w:rPr>
        <w:t>Depuis l’arrivée au pouvoir d’Hitler en Allemagne, dans une Europe majoritairement dotée de régimes autoritaires, de dictatures et de diverses formes de fascismes (Portugal, Italie, Espagne), de nombreux mouvements de résistances sont apparus en réaction à la menace contre les démocraties. Ces résistances, locales, nationales ou transnationales voire internationales ont pris des aspects tellement variés qu’ils offrent un éventail d’activités - au-delà du triptyque évasion, renseignement, sauvetage - qui surgissent bien avant le déclenchement de la Seconde Guerre mondiale : groupes d’opposants en exil (Prague, Paris, Londres), presses et organisations antifascistes internationales, comités de vigilance, fronts populaires en exil rassemblant les partis politiques interdits comme le cercle Lutétia, militantisme transnational et volontariat international etc., autant de manières de faire cause commune contre le nazisme et ses alliés. Ce combat international se poursuit pendant la Seconde Guerre mondiale jusqu’aux ruptures engendrées par l’installation de la Guerre froide qui divise le monde en deux blocs antagonistes.</w:t>
      </w:r>
    </w:p>
    <w:p w14:paraId="0D00FEAA" w14:textId="77777777" w:rsidR="00AB4828" w:rsidRPr="005E4434" w:rsidRDefault="00AB4828" w:rsidP="00AB4828">
      <w:pPr>
        <w:jc w:val="both"/>
        <w:rPr>
          <w:rFonts w:ascii="Cambria" w:hAnsi="Cambria"/>
          <w:b w:val="0"/>
          <w:bCs/>
          <w:sz w:val="22"/>
        </w:rPr>
      </w:pPr>
      <w:r w:rsidRPr="005E4434">
        <w:rPr>
          <w:rFonts w:ascii="Cambria" w:hAnsi="Cambria"/>
          <w:b w:val="0"/>
          <w:bCs/>
          <w:sz w:val="22"/>
        </w:rPr>
        <w:t>L’objet de ce cours tient précisément à étudier l’apparition des mouvements de résistance intérieurs aux nations qui doivent faire face au nazisme comme pouvoir ou comme autorité d’occupation, notamment en France et en Europe, sans exclure les espaces coloniaux. Il s’agit aussi de comprendre la mise en réseau international de ces résistances, en lien avec les services secrets des états belligérants, en Europe, en Afrique, en Asie et sur le continent américain et comment le monde connait une reconfiguration, politique et économique, autour des ralliements aux Alliés qui ont fait du nazisme l’ennemi à abattre en priorité depuis la Charte de l’Atlantique de l’été 1941.</w:t>
      </w:r>
    </w:p>
    <w:p w14:paraId="7A367E52" w14:textId="77777777" w:rsidR="00AB4828" w:rsidRPr="005E4434" w:rsidRDefault="00AB4828" w:rsidP="00AB4828">
      <w:pPr>
        <w:jc w:val="both"/>
        <w:rPr>
          <w:rFonts w:ascii="Cambria" w:hAnsi="Cambria"/>
          <w:b w:val="0"/>
          <w:bCs/>
          <w:sz w:val="22"/>
        </w:rPr>
      </w:pPr>
    </w:p>
    <w:p w14:paraId="17990355" w14:textId="77777777" w:rsidR="00AB4828" w:rsidRPr="005E4434" w:rsidRDefault="00AB4828" w:rsidP="00AB4828">
      <w:pPr>
        <w:jc w:val="both"/>
        <w:rPr>
          <w:sz w:val="22"/>
        </w:rPr>
      </w:pPr>
      <w:r w:rsidRPr="005E4434">
        <w:rPr>
          <w:sz w:val="22"/>
        </w:rPr>
        <w:t>Bibliographie sélective :</w:t>
      </w:r>
    </w:p>
    <w:p w14:paraId="64218AF3" w14:textId="77777777" w:rsidR="00AB4828" w:rsidRPr="005E4434" w:rsidRDefault="00AB4828" w:rsidP="00AB4828">
      <w:pPr>
        <w:jc w:val="both"/>
        <w:rPr>
          <w:b w:val="0"/>
          <w:bCs/>
          <w:sz w:val="22"/>
        </w:rPr>
      </w:pPr>
      <w:r w:rsidRPr="005E4434">
        <w:rPr>
          <w:b w:val="0"/>
          <w:bCs/>
          <w:sz w:val="22"/>
        </w:rPr>
        <w:t xml:space="preserve">Aglan A., Frank R., </w:t>
      </w:r>
      <w:r w:rsidRPr="005E4434">
        <w:rPr>
          <w:b w:val="0"/>
          <w:bCs/>
          <w:i/>
          <w:sz w:val="22"/>
        </w:rPr>
        <w:t>1937-1947 La Guerre-monde</w:t>
      </w:r>
      <w:r w:rsidRPr="005E4434">
        <w:rPr>
          <w:b w:val="0"/>
          <w:bCs/>
          <w:sz w:val="22"/>
        </w:rPr>
        <w:t xml:space="preserve">, Paris, Gallimard, Folio inédit, 2015, 2 vol.  </w:t>
      </w:r>
    </w:p>
    <w:p w14:paraId="75DC7985" w14:textId="77777777" w:rsidR="00AB4828" w:rsidRPr="005E4434" w:rsidRDefault="00AB4828" w:rsidP="00AB4828">
      <w:pPr>
        <w:jc w:val="both"/>
        <w:rPr>
          <w:b w:val="0"/>
          <w:bCs/>
          <w:sz w:val="22"/>
          <w:lang w:val="en-US"/>
        </w:rPr>
      </w:pPr>
      <w:r w:rsidRPr="005E4434">
        <w:rPr>
          <w:b w:val="0"/>
          <w:bCs/>
          <w:sz w:val="22"/>
          <w:lang w:val="en-GB"/>
        </w:rPr>
        <w:t xml:space="preserve">Chickering Roger, Forster Stieg and Greiner Bernd (eds.), </w:t>
      </w:r>
      <w:r w:rsidRPr="005E4434">
        <w:rPr>
          <w:b w:val="0"/>
          <w:bCs/>
          <w:i/>
          <w:sz w:val="22"/>
          <w:lang w:val="en-GB"/>
        </w:rPr>
        <w:t xml:space="preserve">A World At Total War. </w:t>
      </w:r>
      <w:r w:rsidRPr="005E4434">
        <w:rPr>
          <w:b w:val="0"/>
          <w:bCs/>
          <w:i/>
          <w:sz w:val="22"/>
          <w:lang w:val="en-US"/>
        </w:rPr>
        <w:t>Global Conflicts and the Politics of Destruction, 1937-1945</w:t>
      </w:r>
      <w:r w:rsidRPr="005E4434">
        <w:rPr>
          <w:b w:val="0"/>
          <w:bCs/>
          <w:sz w:val="22"/>
          <w:lang w:val="en-US"/>
        </w:rPr>
        <w:t>, Cambridge, 2005.</w:t>
      </w:r>
    </w:p>
    <w:p w14:paraId="262EDD14" w14:textId="77777777" w:rsidR="00AB4828" w:rsidRPr="005E4434" w:rsidRDefault="00AB4828" w:rsidP="00AB4828">
      <w:pPr>
        <w:jc w:val="both"/>
        <w:rPr>
          <w:b w:val="0"/>
          <w:bCs/>
          <w:sz w:val="22"/>
          <w:lang w:val="en-US"/>
        </w:rPr>
      </w:pPr>
      <w:r w:rsidRPr="005E4434">
        <w:rPr>
          <w:b w:val="0"/>
          <w:bCs/>
          <w:sz w:val="22"/>
          <w:lang w:val="en-US"/>
        </w:rPr>
        <w:t>Collomp, Catherine, </w:t>
      </w:r>
      <w:r w:rsidRPr="005E4434">
        <w:rPr>
          <w:b w:val="0"/>
          <w:bCs/>
          <w:i/>
          <w:iCs/>
          <w:sz w:val="22"/>
          <w:lang w:val="en-US"/>
        </w:rPr>
        <w:t>Résister au nazisme — Le Jewish Labor Committee, New York, 1934-1945</w:t>
      </w:r>
      <w:r w:rsidRPr="005E4434">
        <w:rPr>
          <w:b w:val="0"/>
          <w:bCs/>
          <w:sz w:val="22"/>
          <w:lang w:val="en-US"/>
        </w:rPr>
        <w:t>, Paris, C.N.R.S. Éditions, 2016.</w:t>
      </w:r>
    </w:p>
    <w:p w14:paraId="6EE4022F" w14:textId="77777777" w:rsidR="00AB4828" w:rsidRPr="005E4434" w:rsidRDefault="00AB4828" w:rsidP="00AB4828">
      <w:pPr>
        <w:jc w:val="both"/>
        <w:rPr>
          <w:b w:val="0"/>
          <w:bCs/>
          <w:sz w:val="22"/>
        </w:rPr>
      </w:pPr>
      <w:r w:rsidRPr="005E4434">
        <w:rPr>
          <w:b w:val="0"/>
          <w:bCs/>
          <w:sz w:val="22"/>
        </w:rPr>
        <w:t>Cornil-Frerrot, Sylvain, Oulmont Philippe (dir.), </w:t>
      </w:r>
      <w:r w:rsidRPr="005E4434">
        <w:rPr>
          <w:b w:val="0"/>
          <w:bCs/>
          <w:i/>
          <w:iCs/>
          <w:sz w:val="22"/>
        </w:rPr>
        <w:t>Les Français libres et le monde</w:t>
      </w:r>
      <w:r w:rsidRPr="005E4434">
        <w:rPr>
          <w:b w:val="0"/>
          <w:bCs/>
          <w:sz w:val="22"/>
        </w:rPr>
        <w:t>, Paris, Fondation de la France libre &amp; Nouveau Monde Éditions, 2015.</w:t>
      </w:r>
    </w:p>
    <w:p w14:paraId="3C34AE93" w14:textId="77777777" w:rsidR="00AB4828" w:rsidRPr="005E4434" w:rsidRDefault="00AB4828" w:rsidP="00AB4828">
      <w:pPr>
        <w:jc w:val="both"/>
        <w:rPr>
          <w:b w:val="0"/>
          <w:bCs/>
          <w:sz w:val="22"/>
        </w:rPr>
      </w:pPr>
      <w:r w:rsidRPr="005E4434">
        <w:rPr>
          <w:b w:val="0"/>
          <w:bCs/>
          <w:sz w:val="22"/>
        </w:rPr>
        <w:t xml:space="preserve">Debono, Emmanuel, </w:t>
      </w:r>
      <w:r w:rsidRPr="005E4434">
        <w:rPr>
          <w:b w:val="0"/>
          <w:bCs/>
          <w:i/>
          <w:iCs/>
          <w:sz w:val="22"/>
        </w:rPr>
        <w:t xml:space="preserve">Aux origines de l’antiracisme. La LICA, 1927-1940, </w:t>
      </w:r>
      <w:r w:rsidRPr="005E4434">
        <w:rPr>
          <w:b w:val="0"/>
          <w:bCs/>
          <w:sz w:val="22"/>
        </w:rPr>
        <w:t>CNRS éditions, 2012.</w:t>
      </w:r>
    </w:p>
    <w:p w14:paraId="4C1A0DA6" w14:textId="77777777" w:rsidR="00AB4828" w:rsidRPr="005E4434" w:rsidRDefault="00AB4828" w:rsidP="00AB4828">
      <w:pPr>
        <w:jc w:val="both"/>
        <w:rPr>
          <w:b w:val="0"/>
          <w:bCs/>
          <w:sz w:val="22"/>
        </w:rPr>
      </w:pPr>
      <w:r w:rsidRPr="005E4434">
        <w:rPr>
          <w:b w:val="0"/>
          <w:bCs/>
          <w:sz w:val="22"/>
        </w:rPr>
        <w:t xml:space="preserve">Droz, Jacques, </w:t>
      </w:r>
      <w:r w:rsidRPr="005E4434">
        <w:rPr>
          <w:b w:val="0"/>
          <w:bCs/>
          <w:i/>
          <w:iCs/>
          <w:sz w:val="22"/>
        </w:rPr>
        <w:t xml:space="preserve">Histoire de l’antifascisme en Europe (1923-1939), </w:t>
      </w:r>
      <w:r w:rsidRPr="005E4434">
        <w:rPr>
          <w:b w:val="0"/>
          <w:bCs/>
          <w:sz w:val="22"/>
        </w:rPr>
        <w:t xml:space="preserve">La Découverte, 2001. </w:t>
      </w:r>
    </w:p>
    <w:p w14:paraId="1E8A87C0" w14:textId="77777777" w:rsidR="00AB4828" w:rsidRPr="005E4434" w:rsidRDefault="00AB4828" w:rsidP="00AB4828">
      <w:pPr>
        <w:jc w:val="both"/>
        <w:rPr>
          <w:b w:val="0"/>
          <w:bCs/>
          <w:sz w:val="22"/>
        </w:rPr>
      </w:pPr>
      <w:r w:rsidRPr="005E4434">
        <w:rPr>
          <w:b w:val="0"/>
          <w:bCs/>
          <w:sz w:val="22"/>
        </w:rPr>
        <w:t xml:space="preserve">Eismann Gaël, Martens, Stefan, </w:t>
      </w:r>
      <w:r w:rsidRPr="005E4434">
        <w:rPr>
          <w:b w:val="0"/>
          <w:bCs/>
          <w:i/>
          <w:sz w:val="22"/>
        </w:rPr>
        <w:t>Occupation et répression militaire allemandes. La politique de « maintien de l’ordre » en Europe occupée, 1939-1945</w:t>
      </w:r>
      <w:r w:rsidRPr="005E4434">
        <w:rPr>
          <w:b w:val="0"/>
          <w:bCs/>
          <w:sz w:val="22"/>
        </w:rPr>
        <w:t>, Paris, Autrement, 2007.</w:t>
      </w:r>
    </w:p>
    <w:p w14:paraId="4386A08C" w14:textId="77777777" w:rsidR="00AB4828" w:rsidRPr="005E4434" w:rsidRDefault="00AB4828" w:rsidP="00AB4828">
      <w:pPr>
        <w:jc w:val="both"/>
        <w:rPr>
          <w:b w:val="0"/>
          <w:bCs/>
          <w:sz w:val="22"/>
        </w:rPr>
      </w:pPr>
      <w:r w:rsidRPr="005E4434">
        <w:rPr>
          <w:b w:val="0"/>
          <w:bCs/>
          <w:sz w:val="22"/>
        </w:rPr>
        <w:t xml:space="preserve">Fest, Joachim, </w:t>
      </w:r>
      <w:r w:rsidRPr="005E4434">
        <w:rPr>
          <w:b w:val="0"/>
          <w:bCs/>
          <w:i/>
          <w:sz w:val="22"/>
        </w:rPr>
        <w:t xml:space="preserve">La résistance allemande à Hitler </w:t>
      </w:r>
      <w:r w:rsidRPr="005E4434">
        <w:rPr>
          <w:b w:val="0"/>
          <w:bCs/>
          <w:sz w:val="22"/>
        </w:rPr>
        <w:t>[1994], Paris, Perrin, 2009.</w:t>
      </w:r>
    </w:p>
    <w:p w14:paraId="1ECA05DC" w14:textId="77777777" w:rsidR="00AB4828" w:rsidRPr="005E4434" w:rsidRDefault="00AB4828" w:rsidP="00AB4828">
      <w:pPr>
        <w:jc w:val="both"/>
        <w:rPr>
          <w:b w:val="0"/>
          <w:bCs/>
          <w:sz w:val="22"/>
        </w:rPr>
      </w:pPr>
      <w:r w:rsidRPr="005E4434">
        <w:rPr>
          <w:b w:val="0"/>
          <w:bCs/>
          <w:sz w:val="22"/>
        </w:rPr>
        <w:t xml:space="preserve">Grosser, Pierre, </w:t>
      </w:r>
      <w:r w:rsidRPr="005E4434">
        <w:rPr>
          <w:b w:val="0"/>
          <w:bCs/>
          <w:i/>
          <w:iCs/>
          <w:sz w:val="22"/>
        </w:rPr>
        <w:t>L'Histoire du monde se fait en Asie. Une autre vision du XX</w:t>
      </w:r>
      <w:r w:rsidRPr="005E4434">
        <w:rPr>
          <w:b w:val="0"/>
          <w:bCs/>
          <w:i/>
          <w:iCs/>
          <w:sz w:val="22"/>
          <w:vertAlign w:val="superscript"/>
        </w:rPr>
        <w:t>e</w:t>
      </w:r>
      <w:r w:rsidRPr="005E4434">
        <w:rPr>
          <w:b w:val="0"/>
          <w:bCs/>
          <w:i/>
          <w:iCs/>
          <w:sz w:val="22"/>
        </w:rPr>
        <w:t> siècle</w:t>
      </w:r>
      <w:r w:rsidRPr="005E4434">
        <w:rPr>
          <w:b w:val="0"/>
          <w:bCs/>
          <w:sz w:val="22"/>
        </w:rPr>
        <w:t>, Paris, Odile Jacob, 2017.</w:t>
      </w:r>
    </w:p>
    <w:p w14:paraId="474F8B15" w14:textId="77777777" w:rsidR="00AB4828" w:rsidRPr="005E4434" w:rsidRDefault="00AB4828" w:rsidP="00AB4828">
      <w:pPr>
        <w:jc w:val="both"/>
        <w:rPr>
          <w:b w:val="0"/>
          <w:bCs/>
          <w:sz w:val="22"/>
        </w:rPr>
      </w:pPr>
      <w:r w:rsidRPr="005E4434">
        <w:rPr>
          <w:b w:val="0"/>
          <w:bCs/>
          <w:sz w:val="22"/>
        </w:rPr>
        <w:t xml:space="preserve">Jennings Eric T., </w:t>
      </w:r>
      <w:r w:rsidRPr="005E4434">
        <w:rPr>
          <w:b w:val="0"/>
          <w:bCs/>
          <w:i/>
          <w:iCs/>
          <w:sz w:val="22"/>
        </w:rPr>
        <w:t>La France libre fut africaine</w:t>
      </w:r>
      <w:r w:rsidRPr="005E4434">
        <w:rPr>
          <w:b w:val="0"/>
          <w:bCs/>
          <w:sz w:val="22"/>
        </w:rPr>
        <w:t>, Paris, Perrin, 2014</w:t>
      </w:r>
    </w:p>
    <w:p w14:paraId="51978D61" w14:textId="77777777" w:rsidR="00AB4828" w:rsidRPr="005E4434" w:rsidRDefault="00AB4828" w:rsidP="00AB4828">
      <w:pPr>
        <w:jc w:val="both"/>
        <w:rPr>
          <w:b w:val="0"/>
          <w:bCs/>
          <w:sz w:val="22"/>
          <w:lang w:val="en-GB"/>
        </w:rPr>
      </w:pPr>
      <w:r w:rsidRPr="005E4434">
        <w:rPr>
          <w:b w:val="0"/>
          <w:bCs/>
          <w:sz w:val="22"/>
          <w:lang w:val="en-GB"/>
        </w:rPr>
        <w:t xml:space="preserve">Klemperer, Klemens von, </w:t>
      </w:r>
      <w:r w:rsidRPr="005E4434">
        <w:rPr>
          <w:b w:val="0"/>
          <w:bCs/>
          <w:i/>
          <w:sz w:val="22"/>
          <w:lang w:val="en-GB"/>
        </w:rPr>
        <w:t>German Resistance against Hitler. The Search for Allies Abroad, 1938-1945</w:t>
      </w:r>
      <w:r w:rsidRPr="005E4434">
        <w:rPr>
          <w:b w:val="0"/>
          <w:bCs/>
          <w:sz w:val="22"/>
          <w:lang w:val="en-GB"/>
        </w:rPr>
        <w:t xml:space="preserve">, Oxford, Clarendon Press, 1992. </w:t>
      </w:r>
    </w:p>
    <w:p w14:paraId="3E179988" w14:textId="77777777" w:rsidR="00AB4828" w:rsidRPr="005E4434" w:rsidRDefault="00AB4828" w:rsidP="00AB4828">
      <w:pPr>
        <w:jc w:val="both"/>
        <w:rPr>
          <w:b w:val="0"/>
          <w:bCs/>
          <w:sz w:val="22"/>
        </w:rPr>
      </w:pPr>
      <w:r w:rsidRPr="005E4434">
        <w:rPr>
          <w:b w:val="0"/>
          <w:bCs/>
          <w:sz w:val="22"/>
        </w:rPr>
        <w:t xml:space="preserve">Koehn, Barbara, </w:t>
      </w:r>
      <w:r w:rsidRPr="005E4434">
        <w:rPr>
          <w:b w:val="0"/>
          <w:bCs/>
          <w:i/>
          <w:iCs/>
          <w:sz w:val="22"/>
        </w:rPr>
        <w:t>La Résistance allemande contre Hitler</w:t>
      </w:r>
      <w:r w:rsidRPr="005E4434">
        <w:rPr>
          <w:b w:val="0"/>
          <w:bCs/>
          <w:sz w:val="22"/>
        </w:rPr>
        <w:t>, 1933-1945, PUF – Collection Politique d'Aujourd'hui, 2003.</w:t>
      </w:r>
    </w:p>
    <w:p w14:paraId="2A69C156" w14:textId="77777777" w:rsidR="00AB4828" w:rsidRPr="005E4434" w:rsidRDefault="00AB4828" w:rsidP="00AB4828">
      <w:pPr>
        <w:jc w:val="both"/>
        <w:rPr>
          <w:b w:val="0"/>
          <w:bCs/>
          <w:sz w:val="22"/>
        </w:rPr>
      </w:pPr>
      <w:r w:rsidRPr="005E4434">
        <w:rPr>
          <w:b w:val="0"/>
          <w:bCs/>
          <w:sz w:val="22"/>
        </w:rPr>
        <w:t xml:space="preserve">Lévisse-Touzé, Christine, et Martens, Stefan (dir.), </w:t>
      </w:r>
      <w:r w:rsidRPr="005E4434">
        <w:rPr>
          <w:b w:val="0"/>
          <w:bCs/>
          <w:i/>
          <w:sz w:val="22"/>
        </w:rPr>
        <w:t>Des Allemands contre le nazisme. Oppositions et résistances 1933-1945</w:t>
      </w:r>
      <w:r w:rsidRPr="005E4434">
        <w:rPr>
          <w:b w:val="0"/>
          <w:bCs/>
          <w:sz w:val="22"/>
        </w:rPr>
        <w:t>, Paris, Albin Michel, 1997.</w:t>
      </w:r>
    </w:p>
    <w:p w14:paraId="362ACC4C" w14:textId="77777777" w:rsidR="00AB4828" w:rsidRPr="005E4434" w:rsidRDefault="00AB4828" w:rsidP="00AB4828">
      <w:pPr>
        <w:jc w:val="both"/>
        <w:rPr>
          <w:b w:val="0"/>
          <w:bCs/>
          <w:sz w:val="22"/>
        </w:rPr>
      </w:pPr>
      <w:r w:rsidRPr="005E4434">
        <w:rPr>
          <w:b w:val="0"/>
          <w:bCs/>
          <w:sz w:val="22"/>
        </w:rPr>
        <w:t>Marcot François et Musiedlak Didier (dir.),</w:t>
      </w:r>
      <w:r w:rsidRPr="005E4434">
        <w:rPr>
          <w:b w:val="0"/>
          <w:bCs/>
          <w:i/>
          <w:iCs/>
          <w:sz w:val="22"/>
        </w:rPr>
        <w:t xml:space="preserve"> Les Résistances, miroir des régimes</w:t>
      </w:r>
      <w:r w:rsidRPr="005E4434">
        <w:rPr>
          <w:b w:val="0"/>
          <w:bCs/>
          <w:sz w:val="22"/>
        </w:rPr>
        <w:t xml:space="preserve"> </w:t>
      </w:r>
      <w:r w:rsidRPr="005E4434">
        <w:rPr>
          <w:b w:val="0"/>
          <w:bCs/>
          <w:i/>
          <w:iCs/>
          <w:sz w:val="22"/>
        </w:rPr>
        <w:t>d’oppression Allemagne, France, Italie</w:t>
      </w:r>
      <w:r w:rsidRPr="005E4434">
        <w:rPr>
          <w:b w:val="0"/>
          <w:bCs/>
          <w:sz w:val="22"/>
        </w:rPr>
        <w:t>. Presses Universitaires de Franche Comté 2006</w:t>
      </w:r>
    </w:p>
    <w:p w14:paraId="22EC4119" w14:textId="77777777" w:rsidR="00AB4828" w:rsidRPr="005E4434" w:rsidRDefault="00AB4828" w:rsidP="00AB4828">
      <w:pPr>
        <w:jc w:val="both"/>
        <w:rPr>
          <w:b w:val="0"/>
          <w:bCs/>
          <w:sz w:val="22"/>
        </w:rPr>
      </w:pPr>
      <w:r w:rsidRPr="005E4434">
        <w:rPr>
          <w:b w:val="0"/>
          <w:bCs/>
          <w:sz w:val="22"/>
        </w:rPr>
        <w:t xml:space="preserve">Muracciole, Jean-François, </w:t>
      </w:r>
      <w:r w:rsidRPr="005E4434">
        <w:rPr>
          <w:b w:val="0"/>
          <w:bCs/>
          <w:i/>
          <w:iCs/>
          <w:sz w:val="22"/>
        </w:rPr>
        <w:t>Les français libres, l’autre résistance</w:t>
      </w:r>
      <w:r w:rsidRPr="005E4434">
        <w:rPr>
          <w:b w:val="0"/>
          <w:bCs/>
          <w:sz w:val="22"/>
        </w:rPr>
        <w:t>, Tallandier, 2014.</w:t>
      </w:r>
    </w:p>
    <w:p w14:paraId="5C8A2C7B" w14:textId="77777777" w:rsidR="00AB4828" w:rsidRPr="005E4434" w:rsidRDefault="00AB4828" w:rsidP="00AB4828">
      <w:pPr>
        <w:jc w:val="both"/>
        <w:rPr>
          <w:b w:val="0"/>
          <w:bCs/>
          <w:sz w:val="22"/>
        </w:rPr>
      </w:pPr>
      <w:r w:rsidRPr="005E4434">
        <w:rPr>
          <w:b w:val="0"/>
          <w:bCs/>
          <w:sz w:val="22"/>
        </w:rPr>
        <w:t xml:space="preserve">Salmon Pierre, </w:t>
      </w:r>
      <w:r w:rsidRPr="005E4434">
        <w:rPr>
          <w:b w:val="0"/>
          <w:bCs/>
          <w:i/>
          <w:iCs/>
          <w:sz w:val="22"/>
        </w:rPr>
        <w:t>Un antifascisme de combat. Armer l’Espagne révolutionnaire (1936-1939)</w:t>
      </w:r>
      <w:r w:rsidRPr="005E4434">
        <w:rPr>
          <w:b w:val="0"/>
          <w:bCs/>
          <w:sz w:val="22"/>
        </w:rPr>
        <w:t>, Bordeaux, Éditions du Détour, 2024.</w:t>
      </w:r>
    </w:p>
    <w:p w14:paraId="3BD940B4" w14:textId="77777777" w:rsidR="00AB4828" w:rsidRPr="005E4434" w:rsidRDefault="00AB4828" w:rsidP="00AB4828">
      <w:pPr>
        <w:jc w:val="both"/>
        <w:rPr>
          <w:b w:val="0"/>
          <w:bCs/>
          <w:sz w:val="22"/>
        </w:rPr>
      </w:pPr>
      <w:r w:rsidRPr="005E4434">
        <w:rPr>
          <w:b w:val="0"/>
          <w:bCs/>
          <w:sz w:val="22"/>
        </w:rPr>
        <w:t xml:space="preserve">Semelin, Jacques, </w:t>
      </w:r>
      <w:r w:rsidRPr="005E4434">
        <w:rPr>
          <w:b w:val="0"/>
          <w:bCs/>
          <w:i/>
          <w:sz w:val="22"/>
        </w:rPr>
        <w:t>Sans armes face à Hitler. La résistance civile en Europe 1939-1945</w:t>
      </w:r>
      <w:r w:rsidRPr="005E4434">
        <w:rPr>
          <w:b w:val="0"/>
          <w:bCs/>
          <w:sz w:val="22"/>
        </w:rPr>
        <w:t>, Paris, Payot, 1989</w:t>
      </w:r>
    </w:p>
    <w:p w14:paraId="189400F3" w14:textId="77777777" w:rsidR="00AB4828" w:rsidRPr="005E4434" w:rsidRDefault="00AB4828" w:rsidP="00AB4828">
      <w:pPr>
        <w:jc w:val="both"/>
        <w:rPr>
          <w:b w:val="0"/>
          <w:bCs/>
          <w:sz w:val="22"/>
        </w:rPr>
      </w:pPr>
    </w:p>
    <w:p w14:paraId="00F52FAA" w14:textId="77777777" w:rsidR="00AB4828" w:rsidRPr="005E4434" w:rsidRDefault="00AB4828" w:rsidP="00AB4828">
      <w:pPr>
        <w:jc w:val="both"/>
        <w:rPr>
          <w:b w:val="0"/>
          <w:bCs/>
          <w:sz w:val="22"/>
        </w:rPr>
      </w:pPr>
    </w:p>
    <w:p w14:paraId="593247E0" w14:textId="77777777" w:rsidR="00AB4828" w:rsidRPr="005E4434" w:rsidRDefault="00AB4828" w:rsidP="00AB4828">
      <w:pPr>
        <w:jc w:val="both"/>
        <w:rPr>
          <w:b w:val="0"/>
          <w:bCs/>
          <w:sz w:val="22"/>
        </w:rPr>
      </w:pPr>
    </w:p>
    <w:p w14:paraId="78FC4247" w14:textId="77777777" w:rsidR="00AB4828" w:rsidRPr="005E4434" w:rsidRDefault="00AB4828" w:rsidP="00AB4828">
      <w:pPr>
        <w:rPr>
          <w:b w:val="0"/>
          <w:bCs/>
          <w:sz w:val="22"/>
        </w:rPr>
      </w:pPr>
    </w:p>
    <w:p w14:paraId="3E737288" w14:textId="77777777" w:rsidR="00716B39" w:rsidRPr="005E4434" w:rsidRDefault="00716B39" w:rsidP="00716B39">
      <w:pPr>
        <w:jc w:val="both"/>
        <w:rPr>
          <w:rFonts w:ascii="Cambria" w:hAnsi="Cambria"/>
          <w:b w:val="0"/>
          <w:bCs/>
          <w:sz w:val="22"/>
        </w:rPr>
      </w:pPr>
    </w:p>
    <w:p w14:paraId="6DFD9D00" w14:textId="77777777" w:rsidR="00716B39" w:rsidRPr="005E4434" w:rsidRDefault="00716B39" w:rsidP="00716B39">
      <w:pPr>
        <w:jc w:val="both"/>
        <w:rPr>
          <w:rFonts w:ascii="Cambria" w:hAnsi="Cambria"/>
          <w:b w:val="0"/>
          <w:bCs/>
          <w:sz w:val="22"/>
        </w:rPr>
      </w:pPr>
    </w:p>
    <w:p w14:paraId="357D01C9" w14:textId="77777777" w:rsidR="00716B39" w:rsidRPr="005E4434" w:rsidRDefault="00716B39" w:rsidP="00716B39">
      <w:pPr>
        <w:jc w:val="both"/>
        <w:rPr>
          <w:rFonts w:ascii="Cambria" w:hAnsi="Cambria"/>
          <w:b w:val="0"/>
          <w:bCs/>
          <w:sz w:val="22"/>
        </w:rPr>
      </w:pPr>
    </w:p>
    <w:p w14:paraId="17BA4E5E" w14:textId="77777777" w:rsidR="00716B39" w:rsidRPr="005E4434" w:rsidRDefault="00716B39" w:rsidP="00716B39">
      <w:pPr>
        <w:rPr>
          <w:rFonts w:ascii="Cambria" w:hAnsi="Cambria"/>
          <w:b w:val="0"/>
          <w:bCs/>
          <w:sz w:val="22"/>
        </w:rPr>
      </w:pPr>
    </w:p>
    <w:p w14:paraId="7EEC561C" w14:textId="615D3786" w:rsidR="001E7E49" w:rsidRPr="005E4434" w:rsidRDefault="001E7E49" w:rsidP="00716B39">
      <w:pPr>
        <w:jc w:val="both"/>
        <w:rPr>
          <w:rFonts w:ascii="Cambria" w:hAnsi="Cambria" w:cs="Times New Roman"/>
          <w:b w:val="0"/>
          <w:bCs/>
          <w:sz w:val="22"/>
        </w:rPr>
      </w:pPr>
    </w:p>
    <w:p w14:paraId="4BB05C4B" w14:textId="77777777" w:rsidR="001E7E49" w:rsidRPr="005E4434" w:rsidRDefault="001E7E49" w:rsidP="001E7E49">
      <w:pPr>
        <w:rPr>
          <w:rFonts w:ascii="Cambria" w:hAnsi="Cambria"/>
          <w:b w:val="0"/>
          <w:bCs/>
          <w:sz w:val="22"/>
        </w:rPr>
      </w:pPr>
    </w:p>
    <w:p w14:paraId="47D18748" w14:textId="77777777" w:rsidR="001E7E49" w:rsidRPr="005E4434" w:rsidRDefault="001E7E49" w:rsidP="001E7E49">
      <w:pPr>
        <w:rPr>
          <w:rFonts w:ascii="Cambria" w:hAnsi="Cambria"/>
          <w:b w:val="0"/>
          <w:bCs/>
          <w:sz w:val="22"/>
        </w:rPr>
      </w:pPr>
    </w:p>
    <w:p w14:paraId="4C3FAD6C" w14:textId="77777777" w:rsidR="001E7E49" w:rsidRPr="005E4434" w:rsidRDefault="001E7E49" w:rsidP="001E7E49">
      <w:pPr>
        <w:rPr>
          <w:rFonts w:ascii="Cambria" w:hAnsi="Cambria"/>
          <w:b w:val="0"/>
          <w:bCs/>
          <w:sz w:val="22"/>
        </w:rPr>
      </w:pPr>
    </w:p>
    <w:p w14:paraId="41ECE106" w14:textId="77777777" w:rsidR="001E7E49" w:rsidRPr="005E4434" w:rsidRDefault="001E7E49" w:rsidP="001E7E49">
      <w:pPr>
        <w:rPr>
          <w:rFonts w:ascii="Cambria" w:hAnsi="Cambria"/>
          <w:b w:val="0"/>
          <w:bCs/>
          <w:sz w:val="22"/>
        </w:rPr>
      </w:pPr>
    </w:p>
    <w:p w14:paraId="07A3CD3E" w14:textId="77777777" w:rsidR="00880EB4" w:rsidRPr="005E4434" w:rsidRDefault="00880EB4" w:rsidP="00880EB4">
      <w:pPr>
        <w:jc w:val="both"/>
        <w:rPr>
          <w:rFonts w:ascii="Cambria" w:hAnsi="Cambria" w:cs="Times New Roman"/>
          <w:b w:val="0"/>
          <w:bCs/>
          <w:sz w:val="22"/>
        </w:rPr>
      </w:pPr>
    </w:p>
    <w:p w14:paraId="428494D7" w14:textId="77777777" w:rsidR="001E7E49" w:rsidRPr="005E4434" w:rsidRDefault="001E7E49" w:rsidP="00880EB4">
      <w:pPr>
        <w:jc w:val="both"/>
        <w:rPr>
          <w:rFonts w:ascii="Cambria" w:hAnsi="Cambria" w:cs="Times New Roman"/>
          <w:b w:val="0"/>
          <w:bCs/>
          <w:sz w:val="22"/>
        </w:rPr>
      </w:pPr>
    </w:p>
    <w:p w14:paraId="2F985770" w14:textId="77777777" w:rsidR="001E7E49" w:rsidRPr="005E4434" w:rsidRDefault="001E7E49" w:rsidP="00880EB4">
      <w:pPr>
        <w:jc w:val="both"/>
        <w:rPr>
          <w:rFonts w:ascii="Cambria" w:hAnsi="Cambria" w:cs="Times New Roman"/>
          <w:b w:val="0"/>
          <w:bCs/>
          <w:sz w:val="22"/>
        </w:rPr>
      </w:pPr>
    </w:p>
    <w:p w14:paraId="169AE5D4" w14:textId="77777777" w:rsidR="001E7E49" w:rsidRPr="005E4434" w:rsidRDefault="001E7E49" w:rsidP="00880EB4">
      <w:pPr>
        <w:jc w:val="both"/>
        <w:rPr>
          <w:rFonts w:ascii="Cambria" w:hAnsi="Cambria" w:cs="Times New Roman"/>
          <w:b w:val="0"/>
          <w:bCs/>
          <w:sz w:val="22"/>
        </w:rPr>
      </w:pPr>
    </w:p>
    <w:p w14:paraId="097B72D0" w14:textId="77777777" w:rsidR="001E7E49" w:rsidRPr="005E4434" w:rsidRDefault="001E7E49" w:rsidP="00880EB4">
      <w:pPr>
        <w:jc w:val="both"/>
        <w:rPr>
          <w:rFonts w:ascii="Cambria" w:hAnsi="Cambria" w:cs="Times New Roman"/>
          <w:b w:val="0"/>
          <w:bCs/>
          <w:sz w:val="22"/>
        </w:rPr>
      </w:pPr>
    </w:p>
    <w:p w14:paraId="2350D23A" w14:textId="77777777" w:rsidR="001E7E49" w:rsidRPr="005E4434" w:rsidRDefault="001E7E49" w:rsidP="00880EB4">
      <w:pPr>
        <w:jc w:val="both"/>
        <w:rPr>
          <w:rFonts w:ascii="Cambria" w:hAnsi="Cambria" w:cs="Times New Roman"/>
          <w:b w:val="0"/>
          <w:bCs/>
          <w:sz w:val="22"/>
        </w:rPr>
      </w:pPr>
    </w:p>
    <w:p w14:paraId="3257E15E" w14:textId="77777777" w:rsidR="001E7E49" w:rsidRPr="005E4434" w:rsidRDefault="001E7E49" w:rsidP="00880EB4">
      <w:pPr>
        <w:jc w:val="both"/>
        <w:rPr>
          <w:rFonts w:ascii="Cambria" w:hAnsi="Cambria" w:cs="Times New Roman"/>
          <w:b w:val="0"/>
          <w:bCs/>
          <w:sz w:val="22"/>
        </w:rPr>
      </w:pPr>
    </w:p>
    <w:p w14:paraId="3AB4B608" w14:textId="77777777" w:rsidR="001E7E49" w:rsidRPr="005E4434" w:rsidRDefault="001E7E49" w:rsidP="00880EB4">
      <w:pPr>
        <w:jc w:val="both"/>
        <w:rPr>
          <w:rFonts w:ascii="Cambria" w:hAnsi="Cambria" w:cs="Times New Roman"/>
          <w:b w:val="0"/>
          <w:bCs/>
          <w:sz w:val="22"/>
        </w:rPr>
      </w:pPr>
    </w:p>
    <w:p w14:paraId="4F97C6B7" w14:textId="77777777" w:rsidR="001E7E49" w:rsidRPr="005E4434" w:rsidRDefault="001E7E49" w:rsidP="00880EB4">
      <w:pPr>
        <w:jc w:val="both"/>
        <w:rPr>
          <w:rFonts w:ascii="Cambria" w:hAnsi="Cambria" w:cs="Times New Roman"/>
          <w:b w:val="0"/>
          <w:bCs/>
          <w:sz w:val="22"/>
        </w:rPr>
      </w:pPr>
    </w:p>
    <w:p w14:paraId="3A48AA83" w14:textId="77777777" w:rsidR="001E7E49" w:rsidRPr="005E4434" w:rsidRDefault="001E7E49" w:rsidP="00880EB4">
      <w:pPr>
        <w:jc w:val="both"/>
        <w:rPr>
          <w:rFonts w:ascii="Cambria" w:hAnsi="Cambria" w:cs="Times New Roman"/>
          <w:b w:val="0"/>
          <w:bCs/>
          <w:sz w:val="22"/>
        </w:rPr>
      </w:pPr>
    </w:p>
    <w:p w14:paraId="045A120E" w14:textId="77777777" w:rsidR="001E7E49" w:rsidRPr="005E4434" w:rsidRDefault="001E7E49" w:rsidP="00880EB4">
      <w:pPr>
        <w:jc w:val="both"/>
        <w:rPr>
          <w:rFonts w:ascii="Cambria" w:hAnsi="Cambria" w:cs="Times New Roman"/>
          <w:b w:val="0"/>
          <w:bCs/>
          <w:sz w:val="22"/>
        </w:rPr>
      </w:pPr>
    </w:p>
    <w:p w14:paraId="4893149A" w14:textId="77777777" w:rsidR="005503DD" w:rsidRPr="005E4434" w:rsidRDefault="005503DD" w:rsidP="00880EB4">
      <w:pPr>
        <w:jc w:val="both"/>
        <w:rPr>
          <w:rFonts w:ascii="Cambria" w:hAnsi="Cambria" w:cs="Times New Roman"/>
          <w:b w:val="0"/>
          <w:bCs/>
          <w:sz w:val="22"/>
        </w:rPr>
      </w:pPr>
    </w:p>
    <w:p w14:paraId="4A1088E1" w14:textId="77777777" w:rsidR="005503DD" w:rsidRPr="005E4434" w:rsidRDefault="005503DD" w:rsidP="00880EB4">
      <w:pPr>
        <w:jc w:val="both"/>
        <w:rPr>
          <w:rFonts w:ascii="Cambria" w:hAnsi="Cambria" w:cs="Times New Roman"/>
          <w:b w:val="0"/>
          <w:bCs/>
          <w:sz w:val="22"/>
        </w:rPr>
      </w:pPr>
    </w:p>
    <w:p w14:paraId="38413113" w14:textId="77777777" w:rsidR="005503DD" w:rsidRPr="00CB5007" w:rsidRDefault="005503DD" w:rsidP="00880EB4">
      <w:pPr>
        <w:jc w:val="both"/>
        <w:rPr>
          <w:rFonts w:ascii="Cambria" w:hAnsi="Cambria" w:cs="Times New Roman"/>
          <w:b w:val="0"/>
          <w:bCs/>
          <w:sz w:val="22"/>
        </w:rPr>
      </w:pPr>
    </w:p>
    <w:p w14:paraId="20C4E0C4" w14:textId="77777777" w:rsidR="005503DD" w:rsidRPr="00CB5007" w:rsidRDefault="005503DD" w:rsidP="00880EB4">
      <w:pPr>
        <w:jc w:val="both"/>
        <w:rPr>
          <w:rFonts w:ascii="Cambria" w:hAnsi="Cambria" w:cs="Times New Roman"/>
          <w:b w:val="0"/>
          <w:bCs/>
          <w:sz w:val="22"/>
        </w:rPr>
      </w:pPr>
    </w:p>
    <w:p w14:paraId="6D797E96" w14:textId="77777777" w:rsidR="005503DD" w:rsidRPr="00CB5007" w:rsidRDefault="005503DD" w:rsidP="00880EB4">
      <w:pPr>
        <w:jc w:val="both"/>
        <w:rPr>
          <w:rFonts w:ascii="Cambria" w:hAnsi="Cambria" w:cs="Times New Roman"/>
          <w:b w:val="0"/>
          <w:bCs/>
          <w:sz w:val="22"/>
        </w:rPr>
      </w:pPr>
    </w:p>
    <w:p w14:paraId="606BE29F" w14:textId="77777777" w:rsidR="005503DD" w:rsidRPr="00CB5007" w:rsidRDefault="005503DD" w:rsidP="00880EB4">
      <w:pPr>
        <w:jc w:val="both"/>
        <w:rPr>
          <w:rFonts w:ascii="Cambria" w:hAnsi="Cambria" w:cs="Times New Roman"/>
          <w:b w:val="0"/>
          <w:bCs/>
          <w:sz w:val="22"/>
        </w:rPr>
      </w:pPr>
    </w:p>
    <w:p w14:paraId="63204031" w14:textId="77777777" w:rsidR="005503DD" w:rsidRPr="00CB5007" w:rsidRDefault="005503DD" w:rsidP="00880EB4">
      <w:pPr>
        <w:jc w:val="both"/>
        <w:rPr>
          <w:rFonts w:ascii="Cambria" w:hAnsi="Cambria" w:cs="Times New Roman"/>
          <w:b w:val="0"/>
          <w:bCs/>
          <w:sz w:val="22"/>
        </w:rPr>
      </w:pPr>
    </w:p>
    <w:p w14:paraId="56503B5C" w14:textId="77777777" w:rsidR="005503DD" w:rsidRPr="00CB5007" w:rsidRDefault="005503DD" w:rsidP="00880EB4">
      <w:pPr>
        <w:jc w:val="both"/>
        <w:rPr>
          <w:rFonts w:ascii="Cambria" w:hAnsi="Cambria" w:cs="Times New Roman"/>
          <w:b w:val="0"/>
          <w:bCs/>
          <w:sz w:val="22"/>
        </w:rPr>
      </w:pPr>
    </w:p>
    <w:p w14:paraId="6D5E07B1" w14:textId="77777777" w:rsidR="005503DD" w:rsidRPr="00CB5007" w:rsidRDefault="005503DD" w:rsidP="00880EB4">
      <w:pPr>
        <w:jc w:val="both"/>
        <w:rPr>
          <w:rFonts w:ascii="Cambria" w:hAnsi="Cambria" w:cs="Times New Roman"/>
          <w:b w:val="0"/>
          <w:bCs/>
          <w:sz w:val="22"/>
        </w:rPr>
      </w:pPr>
    </w:p>
    <w:p w14:paraId="55D4DC46" w14:textId="77777777" w:rsidR="005503DD" w:rsidRPr="00CB5007" w:rsidRDefault="005503DD" w:rsidP="00880EB4">
      <w:pPr>
        <w:jc w:val="both"/>
        <w:rPr>
          <w:rFonts w:ascii="Cambria" w:hAnsi="Cambria" w:cs="Times New Roman"/>
          <w:b w:val="0"/>
          <w:bCs/>
          <w:sz w:val="22"/>
        </w:rPr>
      </w:pPr>
    </w:p>
    <w:p w14:paraId="1708AB40" w14:textId="77777777" w:rsidR="005503DD" w:rsidRPr="00CB5007" w:rsidRDefault="005503DD" w:rsidP="00880EB4">
      <w:pPr>
        <w:jc w:val="both"/>
        <w:rPr>
          <w:rFonts w:ascii="Cambria" w:hAnsi="Cambria" w:cs="Times New Roman"/>
          <w:b w:val="0"/>
          <w:bCs/>
          <w:sz w:val="22"/>
        </w:rPr>
      </w:pPr>
    </w:p>
    <w:p w14:paraId="6343E1F7" w14:textId="77777777" w:rsidR="00324339" w:rsidRPr="00CB5007" w:rsidRDefault="00324339" w:rsidP="00880EB4">
      <w:pPr>
        <w:jc w:val="both"/>
        <w:rPr>
          <w:rFonts w:ascii="Cambria" w:hAnsi="Cambria" w:cs="Times New Roman"/>
          <w:b w:val="0"/>
          <w:bCs/>
          <w:sz w:val="22"/>
        </w:rPr>
      </w:pPr>
    </w:p>
    <w:p w14:paraId="5028DCB1" w14:textId="77777777" w:rsidR="00324339" w:rsidRPr="00CB5007" w:rsidRDefault="00324339" w:rsidP="00880EB4">
      <w:pPr>
        <w:jc w:val="both"/>
        <w:rPr>
          <w:rFonts w:ascii="Cambria" w:hAnsi="Cambria" w:cs="Times New Roman"/>
          <w:b w:val="0"/>
          <w:bCs/>
          <w:sz w:val="22"/>
        </w:rPr>
      </w:pPr>
    </w:p>
    <w:p w14:paraId="1103BD07" w14:textId="77777777" w:rsidR="00324339" w:rsidRPr="00CB5007" w:rsidRDefault="00324339" w:rsidP="00880EB4">
      <w:pPr>
        <w:jc w:val="both"/>
        <w:rPr>
          <w:rFonts w:ascii="Cambria" w:hAnsi="Cambria" w:cs="Times New Roman"/>
          <w:b w:val="0"/>
          <w:bCs/>
          <w:sz w:val="22"/>
        </w:rPr>
      </w:pPr>
    </w:p>
    <w:p w14:paraId="1AAE7A5F" w14:textId="77777777" w:rsidR="00324339" w:rsidRPr="00CB5007" w:rsidRDefault="00324339" w:rsidP="00880EB4">
      <w:pPr>
        <w:jc w:val="both"/>
        <w:rPr>
          <w:rFonts w:ascii="Cambria" w:hAnsi="Cambria" w:cs="Times New Roman"/>
          <w:b w:val="0"/>
          <w:bCs/>
          <w:sz w:val="22"/>
        </w:rPr>
      </w:pPr>
    </w:p>
    <w:p w14:paraId="3DBBCA9E" w14:textId="77777777" w:rsidR="00324339" w:rsidRPr="00CB5007" w:rsidRDefault="00324339" w:rsidP="00880EB4">
      <w:pPr>
        <w:jc w:val="both"/>
        <w:rPr>
          <w:rFonts w:ascii="Cambria" w:hAnsi="Cambria" w:cs="Times New Roman"/>
          <w:b w:val="0"/>
          <w:bCs/>
          <w:sz w:val="22"/>
        </w:rPr>
      </w:pPr>
    </w:p>
    <w:p w14:paraId="32720371" w14:textId="77777777" w:rsidR="00324339" w:rsidRPr="00CB5007" w:rsidRDefault="00324339" w:rsidP="00880EB4">
      <w:pPr>
        <w:jc w:val="both"/>
        <w:rPr>
          <w:rFonts w:ascii="Cambria" w:hAnsi="Cambria" w:cs="Times New Roman"/>
          <w:b w:val="0"/>
          <w:bCs/>
          <w:sz w:val="22"/>
        </w:rPr>
      </w:pPr>
    </w:p>
    <w:p w14:paraId="63CE121F" w14:textId="77777777" w:rsidR="00324339" w:rsidRPr="00CB5007" w:rsidRDefault="00324339" w:rsidP="00880EB4">
      <w:pPr>
        <w:jc w:val="both"/>
        <w:rPr>
          <w:rFonts w:ascii="Cambria" w:hAnsi="Cambria" w:cs="Times New Roman"/>
          <w:b w:val="0"/>
          <w:bCs/>
          <w:sz w:val="22"/>
        </w:rPr>
      </w:pPr>
    </w:p>
    <w:p w14:paraId="786DF3C2" w14:textId="77777777" w:rsidR="001E7E49" w:rsidRPr="00CB5007" w:rsidRDefault="001E7E49" w:rsidP="00880EB4">
      <w:pPr>
        <w:jc w:val="both"/>
        <w:rPr>
          <w:rFonts w:ascii="Cambria" w:hAnsi="Cambria" w:cs="Times New Roman"/>
          <w:b w:val="0"/>
          <w:bCs/>
          <w:sz w:val="22"/>
        </w:rPr>
      </w:pPr>
    </w:p>
    <w:p w14:paraId="7FFCB417" w14:textId="77777777" w:rsidR="002B7118" w:rsidRDefault="002B7118" w:rsidP="008631EB">
      <w:pPr>
        <w:rPr>
          <w:color w:val="004F88"/>
          <w:sz w:val="52"/>
          <w:szCs w:val="52"/>
          <w:u w:val="single"/>
        </w:rPr>
      </w:pPr>
    </w:p>
    <w:p w14:paraId="3AF901D6" w14:textId="77777777" w:rsidR="002B7118" w:rsidRDefault="002B7118" w:rsidP="008631EB">
      <w:pPr>
        <w:rPr>
          <w:color w:val="004F88"/>
          <w:sz w:val="52"/>
          <w:szCs w:val="52"/>
          <w:u w:val="single"/>
        </w:rPr>
      </w:pPr>
    </w:p>
    <w:p w14:paraId="055387CD" w14:textId="77777777" w:rsidR="002B7118" w:rsidRDefault="002B7118" w:rsidP="008631EB">
      <w:pPr>
        <w:rPr>
          <w:color w:val="004F88"/>
          <w:sz w:val="52"/>
          <w:szCs w:val="52"/>
          <w:u w:val="single"/>
        </w:rPr>
      </w:pPr>
    </w:p>
    <w:p w14:paraId="37C39466" w14:textId="77777777" w:rsidR="003C4573" w:rsidRDefault="003C4573" w:rsidP="008631EB">
      <w:pPr>
        <w:rPr>
          <w:color w:val="004F88"/>
          <w:sz w:val="52"/>
          <w:szCs w:val="52"/>
          <w:u w:val="single"/>
        </w:rPr>
      </w:pPr>
    </w:p>
    <w:p w14:paraId="1F87BF24" w14:textId="23E04613" w:rsidR="00E31C88" w:rsidRPr="00CB5007" w:rsidRDefault="00FA6082" w:rsidP="00433E2A">
      <w:pPr>
        <w:keepNext/>
        <w:spacing w:after="0" w:line="240" w:lineRule="auto"/>
        <w:jc w:val="both"/>
        <w:outlineLvl w:val="0"/>
        <w:rPr>
          <w:b w:val="0"/>
          <w:sz w:val="22"/>
        </w:rPr>
      </w:pPr>
      <w:r>
        <w:rPr>
          <w:noProof/>
        </w:rPr>
        <mc:AlternateContent>
          <mc:Choice Requires="wps">
            <w:drawing>
              <wp:anchor distT="0" distB="0" distL="114300" distR="114300" simplePos="0" relativeHeight="251659264" behindDoc="0" locked="0" layoutInCell="1" allowOverlap="1" wp14:anchorId="6DED1460" wp14:editId="1A397136">
                <wp:simplePos x="0" y="0"/>
                <wp:positionH relativeFrom="column">
                  <wp:posOffset>0</wp:posOffset>
                </wp:positionH>
                <wp:positionV relativeFrom="paragraph">
                  <wp:posOffset>0</wp:posOffset>
                </wp:positionV>
                <wp:extent cx="9906635" cy="2691130"/>
                <wp:effectExtent l="0" t="0" r="0" b="0"/>
                <wp:wrapSquare wrapText="bothSides"/>
                <wp:docPr id="1042539802" name="Zone de texte 1"/>
                <wp:cNvGraphicFramePr/>
                <a:graphic xmlns:a="http://schemas.openxmlformats.org/drawingml/2006/main">
                  <a:graphicData uri="http://schemas.microsoft.com/office/word/2010/wordprocessingShape">
                    <wps:wsp>
                      <wps:cNvSpPr txBox="1"/>
                      <wps:spPr>
                        <a:xfrm>
                          <a:off x="0" y="0"/>
                          <a:ext cx="9906635" cy="2691130"/>
                        </a:xfrm>
                        <a:prstGeom prst="rect">
                          <a:avLst/>
                        </a:prstGeom>
                        <a:noFill/>
                        <a:ln>
                          <a:noFill/>
                        </a:ln>
                      </wps:spPr>
                      <wps:txbx>
                        <w:txbxContent>
                          <w:p w14:paraId="10BAE050" w14:textId="77777777" w:rsidR="00FA6082" w:rsidRPr="00FA6082" w:rsidRDefault="00FA6082" w:rsidP="00FA6082">
                            <w:pPr>
                              <w:jc w:val="center"/>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UE 2 </w:t>
                            </w:r>
                            <w:r w:rsidRPr="00525A1C">
                              <w:rPr>
                                <w:color w:val="586EA6" w:themeColor="accent5"/>
                                <w:sz w:val="72"/>
                                <w:szCs w:val="7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COMPLEMENTAIRE</w:t>
                            </w:r>
                          </w:p>
                          <w:p w14:paraId="6C3C249E" w14:textId="77777777" w:rsidR="00FA6082" w:rsidRPr="00FA6082" w:rsidRDefault="00FA6082" w:rsidP="00FA6082">
                            <w:pPr>
                              <w:jc w:val="center"/>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 Matières obligatoires au total par semestre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DED1460" id="_x0000_t202" coordsize="21600,21600" o:spt="202" path="m,l,21600r21600,l21600,xe">
                <v:stroke joinstyle="miter"/>
                <v:path gradientshapeok="t" o:connecttype="rect"/>
              </v:shapetype>
              <v:shape id="Zone de texte 1" o:spid="_x0000_s1026" type="#_x0000_t202" style="position:absolute;left:0;text-align:left;margin-left:0;margin-top:0;width:780.05pt;height:211.9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" filled="f" stroked="f">
                <v:textbox style="mso-fit-shape-to-text:t">
                  <w:txbxContent>
                    <w:p w14:paraId="10BAE050" w14:textId="77777777" w:rsidR="00FA6082" w:rsidRPr="00FA6082" w:rsidRDefault="00FA6082" w:rsidP="00FA6082">
                      <w:pPr>
                        <w:jc w:val="center"/>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UE 2 </w:t>
                      </w:r>
                      <w:r w:rsidRPr="00525A1C">
                        <w:rPr>
                          <w:color w:val="586EA6" w:themeColor="accent5"/>
                          <w:sz w:val="72"/>
                          <w:szCs w:val="7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COMPLEMENTAIRE</w:t>
                      </w:r>
                    </w:p>
                    <w:p w14:paraId="6C3C249E" w14:textId="77777777" w:rsidR="00FA6082" w:rsidRPr="00FA6082" w:rsidRDefault="00FA6082" w:rsidP="00FA6082">
                      <w:pPr>
                        <w:jc w:val="center"/>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 Matières obligatoires au total par semestre</w:t>
                      </w:r>
                    </w:p>
                  </w:txbxContent>
                </v:textbox>
                <w10:wrap type="square"/>
              </v:shape>
            </w:pict>
          </mc:Fallback>
        </mc:AlternateContent>
      </w:r>
    </w:p>
    <w:p w14:paraId="35BC7C3B" w14:textId="77777777" w:rsidR="00E31C88" w:rsidRPr="00CB5007" w:rsidRDefault="00E31C88" w:rsidP="00433E2A">
      <w:pPr>
        <w:keepNext/>
        <w:spacing w:after="0" w:line="240" w:lineRule="auto"/>
        <w:jc w:val="both"/>
        <w:outlineLvl w:val="0"/>
        <w:rPr>
          <w:b w:val="0"/>
          <w:sz w:val="22"/>
        </w:rPr>
      </w:pPr>
    </w:p>
    <w:p w14:paraId="1AF6A719" w14:textId="77777777" w:rsidR="001113C8" w:rsidRPr="00CB5007" w:rsidRDefault="001113C8" w:rsidP="00433E2A">
      <w:pPr>
        <w:keepNext/>
        <w:spacing w:after="0" w:line="240" w:lineRule="auto"/>
        <w:jc w:val="both"/>
        <w:outlineLvl w:val="0"/>
        <w:rPr>
          <w:b w:val="0"/>
          <w:sz w:val="22"/>
        </w:rPr>
      </w:pPr>
    </w:p>
    <w:p w14:paraId="03751E63" w14:textId="77777777" w:rsidR="001113C8" w:rsidRPr="00CB5007" w:rsidRDefault="001113C8" w:rsidP="00433E2A">
      <w:pPr>
        <w:keepNext/>
        <w:spacing w:after="0" w:line="240" w:lineRule="auto"/>
        <w:jc w:val="both"/>
        <w:outlineLvl w:val="0"/>
        <w:rPr>
          <w:b w:val="0"/>
          <w:sz w:val="22"/>
        </w:rPr>
      </w:pPr>
    </w:p>
    <w:p w14:paraId="3F1B6733" w14:textId="77777777" w:rsidR="001113C8" w:rsidRPr="00CB5007" w:rsidRDefault="001113C8" w:rsidP="00433E2A">
      <w:pPr>
        <w:keepNext/>
        <w:spacing w:after="0" w:line="240" w:lineRule="auto"/>
        <w:jc w:val="both"/>
        <w:outlineLvl w:val="0"/>
        <w:rPr>
          <w:b w:val="0"/>
          <w:sz w:val="22"/>
        </w:rPr>
      </w:pPr>
    </w:p>
    <w:p w14:paraId="1952E1F3" w14:textId="77777777" w:rsidR="001113C8" w:rsidRPr="00CB5007" w:rsidRDefault="001113C8" w:rsidP="00433E2A">
      <w:pPr>
        <w:keepNext/>
        <w:spacing w:after="0" w:line="240" w:lineRule="auto"/>
        <w:jc w:val="both"/>
        <w:outlineLvl w:val="0"/>
        <w:rPr>
          <w:b w:val="0"/>
          <w:sz w:val="22"/>
        </w:rPr>
      </w:pPr>
    </w:p>
    <w:p w14:paraId="1BB2F9A0" w14:textId="77777777" w:rsidR="001113C8" w:rsidRPr="00CB5007" w:rsidRDefault="001113C8" w:rsidP="00433E2A">
      <w:pPr>
        <w:keepNext/>
        <w:spacing w:after="0" w:line="240" w:lineRule="auto"/>
        <w:jc w:val="both"/>
        <w:outlineLvl w:val="0"/>
        <w:rPr>
          <w:b w:val="0"/>
          <w:sz w:val="22"/>
        </w:rPr>
      </w:pPr>
    </w:p>
    <w:p w14:paraId="3C1F3A81" w14:textId="77777777" w:rsidR="00B63654" w:rsidRPr="00CB5007" w:rsidRDefault="00B63654" w:rsidP="00433E2A">
      <w:pPr>
        <w:keepNext/>
        <w:spacing w:after="0" w:line="240" w:lineRule="auto"/>
        <w:jc w:val="both"/>
        <w:outlineLvl w:val="0"/>
        <w:rPr>
          <w:b w:val="0"/>
          <w:sz w:val="22"/>
        </w:rPr>
      </w:pPr>
    </w:p>
    <w:p w14:paraId="1514365D" w14:textId="77777777" w:rsidR="00B63654" w:rsidRPr="00CB5007" w:rsidRDefault="00B63654" w:rsidP="00433E2A">
      <w:pPr>
        <w:keepNext/>
        <w:spacing w:after="0" w:line="240" w:lineRule="auto"/>
        <w:jc w:val="both"/>
        <w:outlineLvl w:val="0"/>
        <w:rPr>
          <w:b w:val="0"/>
          <w:sz w:val="22"/>
        </w:rPr>
      </w:pPr>
    </w:p>
    <w:p w14:paraId="43765CE9" w14:textId="77777777" w:rsidR="00B63654" w:rsidRPr="00CB5007" w:rsidRDefault="00B63654" w:rsidP="00433E2A">
      <w:pPr>
        <w:keepNext/>
        <w:spacing w:after="0" w:line="240" w:lineRule="auto"/>
        <w:jc w:val="both"/>
        <w:outlineLvl w:val="0"/>
        <w:rPr>
          <w:b w:val="0"/>
          <w:sz w:val="22"/>
        </w:rPr>
      </w:pPr>
    </w:p>
    <w:p w14:paraId="2ED7294B" w14:textId="77777777" w:rsidR="00B63654" w:rsidRPr="00CB5007" w:rsidRDefault="00B63654" w:rsidP="00433E2A">
      <w:pPr>
        <w:keepNext/>
        <w:spacing w:after="0" w:line="240" w:lineRule="auto"/>
        <w:jc w:val="both"/>
        <w:outlineLvl w:val="0"/>
        <w:rPr>
          <w:b w:val="0"/>
          <w:sz w:val="22"/>
        </w:rPr>
      </w:pPr>
    </w:p>
    <w:p w14:paraId="0F57E323" w14:textId="77777777" w:rsidR="008C27E9" w:rsidRPr="00CB5007" w:rsidRDefault="008C27E9" w:rsidP="00433E2A">
      <w:pPr>
        <w:keepNext/>
        <w:spacing w:after="0" w:line="240" w:lineRule="auto"/>
        <w:jc w:val="both"/>
        <w:outlineLvl w:val="0"/>
        <w:rPr>
          <w:b w:val="0"/>
          <w:sz w:val="22"/>
        </w:rPr>
      </w:pPr>
    </w:p>
    <w:p w14:paraId="39B174BB" w14:textId="77777777" w:rsidR="008C27E9" w:rsidRPr="00CB5007" w:rsidRDefault="008C27E9" w:rsidP="00433E2A">
      <w:pPr>
        <w:keepNext/>
        <w:spacing w:after="0" w:line="240" w:lineRule="auto"/>
        <w:jc w:val="both"/>
        <w:outlineLvl w:val="0"/>
        <w:rPr>
          <w:b w:val="0"/>
          <w:sz w:val="22"/>
        </w:rPr>
      </w:pPr>
    </w:p>
    <w:p w14:paraId="67D7FA8E" w14:textId="77777777" w:rsidR="008C27E9" w:rsidRPr="00CB5007" w:rsidRDefault="008C27E9" w:rsidP="00433E2A">
      <w:pPr>
        <w:keepNext/>
        <w:spacing w:after="0" w:line="240" w:lineRule="auto"/>
        <w:jc w:val="both"/>
        <w:outlineLvl w:val="0"/>
        <w:rPr>
          <w:b w:val="0"/>
          <w:sz w:val="22"/>
        </w:rPr>
      </w:pPr>
    </w:p>
    <w:p w14:paraId="63B40482" w14:textId="77777777" w:rsidR="008C27E9" w:rsidRPr="00CB5007" w:rsidRDefault="008C27E9" w:rsidP="00433E2A">
      <w:pPr>
        <w:keepNext/>
        <w:spacing w:after="0" w:line="240" w:lineRule="auto"/>
        <w:jc w:val="both"/>
        <w:outlineLvl w:val="0"/>
        <w:rPr>
          <w:b w:val="0"/>
          <w:sz w:val="22"/>
        </w:rPr>
      </w:pPr>
    </w:p>
    <w:p w14:paraId="0C1DD0C9" w14:textId="77777777" w:rsidR="00963C70" w:rsidRPr="00CB5007" w:rsidRDefault="00963C70" w:rsidP="00433E2A">
      <w:pPr>
        <w:keepNext/>
        <w:spacing w:after="0" w:line="240" w:lineRule="auto"/>
        <w:jc w:val="both"/>
        <w:outlineLvl w:val="0"/>
        <w:rPr>
          <w:b w:val="0"/>
          <w:sz w:val="22"/>
        </w:rPr>
      </w:pPr>
    </w:p>
    <w:p w14:paraId="6EDF7586" w14:textId="77777777" w:rsidR="00963C70" w:rsidRPr="00CB5007" w:rsidRDefault="00963C70" w:rsidP="00433E2A">
      <w:pPr>
        <w:keepNext/>
        <w:spacing w:after="0" w:line="240" w:lineRule="auto"/>
        <w:jc w:val="both"/>
        <w:outlineLvl w:val="0"/>
        <w:rPr>
          <w:b w:val="0"/>
          <w:sz w:val="22"/>
        </w:rPr>
      </w:pPr>
    </w:p>
    <w:p w14:paraId="0DAC92F7" w14:textId="77777777" w:rsidR="00963C70" w:rsidRPr="00CB5007" w:rsidRDefault="00963C70" w:rsidP="00433E2A">
      <w:pPr>
        <w:keepNext/>
        <w:spacing w:after="0" w:line="240" w:lineRule="auto"/>
        <w:jc w:val="both"/>
        <w:outlineLvl w:val="0"/>
        <w:rPr>
          <w:b w:val="0"/>
          <w:sz w:val="22"/>
        </w:rPr>
      </w:pPr>
    </w:p>
    <w:p w14:paraId="308EB5D2" w14:textId="77777777" w:rsidR="00963C70" w:rsidRPr="00CB5007" w:rsidRDefault="00963C70" w:rsidP="00433E2A">
      <w:pPr>
        <w:keepNext/>
        <w:spacing w:after="0" w:line="240" w:lineRule="auto"/>
        <w:jc w:val="both"/>
        <w:outlineLvl w:val="0"/>
        <w:rPr>
          <w:b w:val="0"/>
          <w:sz w:val="22"/>
        </w:rPr>
      </w:pPr>
    </w:p>
    <w:p w14:paraId="6DE1F395" w14:textId="77777777" w:rsidR="00B63654" w:rsidRPr="00CB5007" w:rsidRDefault="00B63654" w:rsidP="00433E2A">
      <w:pPr>
        <w:keepNext/>
        <w:spacing w:after="0" w:line="240" w:lineRule="auto"/>
        <w:jc w:val="both"/>
        <w:outlineLvl w:val="0"/>
        <w:rPr>
          <w:sz w:val="52"/>
          <w:szCs w:val="52"/>
        </w:rPr>
      </w:pPr>
    </w:p>
    <w:p w14:paraId="6D9AB59A" w14:textId="77777777" w:rsidR="0006566E" w:rsidRDefault="0006566E"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14093B9E"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6D4B835D"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40C4063E"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5E5A7670" w14:textId="77777777" w:rsidR="00640569" w:rsidRPr="00CB5007" w:rsidRDefault="00640569" w:rsidP="00433E2A">
      <w:pPr>
        <w:keepNext/>
        <w:spacing w:after="0" w:line="240" w:lineRule="auto"/>
        <w:jc w:val="both"/>
        <w:outlineLvl w:val="0"/>
        <w:rPr>
          <w:b w:val="0"/>
          <w:sz w:val="22"/>
        </w:rPr>
      </w:pPr>
    </w:p>
    <w:p w14:paraId="2067A559" w14:textId="77777777" w:rsidR="0006566E" w:rsidRPr="00CB5007" w:rsidRDefault="0006566E" w:rsidP="00433E2A">
      <w:pPr>
        <w:keepNext/>
        <w:spacing w:after="0" w:line="240" w:lineRule="auto"/>
        <w:jc w:val="both"/>
        <w:outlineLvl w:val="0"/>
        <w:rPr>
          <w:b w:val="0"/>
          <w:sz w:val="22"/>
        </w:rPr>
      </w:pPr>
    </w:p>
    <w:p w14:paraId="6533A5D2" w14:textId="77777777" w:rsidR="0006566E" w:rsidRPr="00CB5007" w:rsidRDefault="0006566E" w:rsidP="00433E2A">
      <w:pPr>
        <w:keepNext/>
        <w:spacing w:after="0" w:line="240" w:lineRule="auto"/>
        <w:jc w:val="both"/>
        <w:outlineLvl w:val="0"/>
        <w:rPr>
          <w:b w:val="0"/>
          <w:sz w:val="22"/>
        </w:rPr>
      </w:pPr>
    </w:p>
    <w:p w14:paraId="065336C1" w14:textId="77777777" w:rsidR="00000543" w:rsidRPr="00CB5007" w:rsidRDefault="00000543" w:rsidP="003B7D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val="0"/>
          <w:sz w:val="22"/>
        </w:rPr>
      </w:pPr>
    </w:p>
    <w:p w14:paraId="41682E27" w14:textId="77777777" w:rsidR="003B7D98" w:rsidRPr="00CB5007" w:rsidRDefault="003B7D98" w:rsidP="003B7D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
          <w:sz w:val="28"/>
          <w:szCs w:val="28"/>
        </w:rPr>
      </w:pPr>
    </w:p>
    <w:p w14:paraId="54BF762B" w14:textId="3A63664B" w:rsidR="00000543" w:rsidRPr="00525A1C" w:rsidRDefault="00001F7A" w:rsidP="003C4573">
      <w:pPr>
        <w:tabs>
          <w:tab w:val="left" w:pos="6521"/>
        </w:tabs>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25A1C">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SOURCES ET METHODES, RECHERCHE </w:t>
      </w:r>
    </w:p>
    <w:p w14:paraId="033E3B80" w14:textId="77777777" w:rsidR="00001F7A" w:rsidRDefault="00001F7A"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472CEAB" w14:textId="77777777" w:rsidR="00001F7A" w:rsidRDefault="00001F7A"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0252DF5" w14:textId="057D56AD"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25A1C">
        <w:rPr>
          <w:rFonts w:ascii="Cambria" w:hAnsi="Cambria"/>
          <w:iCs/>
          <w:color w:val="C00000"/>
          <w:sz w:val="28"/>
          <w:szCs w:val="28"/>
        </w:rPr>
        <w:t>J3011919/J3012019 : Sources mésopotamiennes</w:t>
      </w:r>
    </w:p>
    <w:p w14:paraId="3D60DDC8"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Cs w:val="24"/>
        </w:rPr>
      </w:pPr>
    </w:p>
    <w:p w14:paraId="482909F6" w14:textId="49FD37AA" w:rsidR="00A52062" w:rsidRPr="00CB5007" w:rsidRDefault="0020343F"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Pr>
          <w:rFonts w:ascii="Cambria" w:hAnsi="Cambria" w:cs="Times New Roman"/>
          <w:iCs/>
          <w:sz w:val="22"/>
        </w:rPr>
        <w:t xml:space="preserve">Julien Monerie </w:t>
      </w:r>
    </w:p>
    <w:p w14:paraId="69700712"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color w:val="4F81BD"/>
          <w:sz w:val="22"/>
        </w:rPr>
      </w:pPr>
    </w:p>
    <w:p w14:paraId="09CC1C2D" w14:textId="77777777"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color w:val="C00000"/>
          <w:sz w:val="22"/>
        </w:rPr>
      </w:pPr>
      <w:r w:rsidRPr="00525A1C">
        <w:rPr>
          <w:rFonts w:ascii="Cambria" w:hAnsi="Cambria" w:cs="Times New Roman"/>
          <w:iCs/>
          <w:color w:val="C00000"/>
          <w:sz w:val="22"/>
          <w:u w:val="single"/>
        </w:rPr>
        <w:t>Sujet du cours</w:t>
      </w:r>
      <w:r w:rsidRPr="00525A1C">
        <w:rPr>
          <w:rFonts w:ascii="Cambria" w:hAnsi="Cambria" w:cs="Times New Roman"/>
          <w:iCs/>
          <w:color w:val="C00000"/>
          <w:sz w:val="22"/>
        </w:rPr>
        <w:t> : Initiation à la langue akkadienne et à l’écriture cunéiforme</w:t>
      </w:r>
    </w:p>
    <w:p w14:paraId="7661ADA1"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sz w:val="22"/>
        </w:rPr>
      </w:pPr>
    </w:p>
    <w:p w14:paraId="1C4EFE0A"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w:t>
      </w:r>
      <w:r w:rsidR="004360D6" w:rsidRPr="00CB5007">
        <w:rPr>
          <w:rFonts w:ascii="Cambria" w:hAnsi="Cambria" w:cs="Times New Roman"/>
          <w:b w:val="0"/>
          <w:iCs/>
          <w:sz w:val="22"/>
        </w:rPr>
        <w:t>E</w:t>
      </w:r>
      <w:r w:rsidRPr="00CB5007">
        <w:rPr>
          <w:rFonts w:ascii="Cambria" w:hAnsi="Cambria" w:cs="Times New Roman"/>
          <w:b w:val="0"/>
          <w:iCs/>
          <w:sz w:val="22"/>
        </w:rPr>
        <w:t>nseignement à suivre pour les étudiants qui souhaiteraient continuer en histoire orientale en master)</w:t>
      </w:r>
    </w:p>
    <w:p w14:paraId="1D74858D"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A342361" w14:textId="34172D15" w:rsidR="00A52062" w:rsidRPr="00525A1C" w:rsidRDefault="00A52062"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525A1C">
        <w:rPr>
          <w:rFonts w:ascii="Cambria" w:hAnsi="Cambria" w:cs="Times New Roman"/>
          <w:iCs/>
          <w:color w:val="C00000"/>
          <w:sz w:val="22"/>
          <w:u w:val="single"/>
        </w:rPr>
        <w:t>S</w:t>
      </w:r>
      <w:r w:rsidR="000A6A40" w:rsidRPr="00525A1C">
        <w:rPr>
          <w:rFonts w:ascii="Cambria" w:hAnsi="Cambria" w:cs="Times New Roman"/>
          <w:iCs/>
          <w:color w:val="C00000"/>
          <w:sz w:val="22"/>
          <w:u w:val="single"/>
        </w:rPr>
        <w:t>emestre 1</w:t>
      </w:r>
      <w:r w:rsidRPr="00525A1C">
        <w:rPr>
          <w:rFonts w:ascii="Cambria" w:hAnsi="Cambria" w:cs="Times New Roman"/>
          <w:iCs/>
          <w:color w:val="C00000"/>
          <w:sz w:val="22"/>
        </w:rPr>
        <w:t> : apprentissage de la grammaire de l’akkadien d’époque paléo-babylonienne</w:t>
      </w:r>
    </w:p>
    <w:p w14:paraId="5D3DF9B5"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DA17ACF"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La langue akkadienne présente au 18</w:t>
      </w:r>
      <w:r w:rsidRPr="00CB5007">
        <w:rPr>
          <w:rFonts w:ascii="Cambria" w:hAnsi="Cambria" w:cs="Times New Roman"/>
          <w:b w:val="0"/>
          <w:iCs/>
          <w:sz w:val="22"/>
          <w:vertAlign w:val="superscript"/>
        </w:rPr>
        <w:t>ème</w:t>
      </w:r>
      <w:r w:rsidRPr="00CB5007">
        <w:rPr>
          <w:rFonts w:ascii="Cambria" w:hAnsi="Cambria" w:cs="Times New Roman"/>
          <w:b w:val="0"/>
          <w:iCs/>
          <w:sz w:val="22"/>
        </w:rPr>
        <w:t xml:space="preserve"> siècle av. J.-C., sous le règne de Hammu-rabi de Babylone, un aspect « classique » qui permet un apprentissage relativement aisé. Le cours présente les grands principes grammaticaux du fonctionnement de la langue akkadienne, complétés par des exercices d’application et d’un premier contact avec les sources écrites de cette période.</w:t>
      </w:r>
    </w:p>
    <w:p w14:paraId="26F119D0"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0A780666" w14:textId="03E1FF84" w:rsidR="00A52062" w:rsidRPr="003E0448" w:rsidRDefault="00A52062"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3E0448">
        <w:rPr>
          <w:rFonts w:ascii="Cambria" w:hAnsi="Cambria" w:cs="Times New Roman"/>
          <w:iCs/>
          <w:color w:val="C00000"/>
          <w:sz w:val="22"/>
          <w:u w:val="single"/>
        </w:rPr>
        <w:t>S</w:t>
      </w:r>
      <w:r w:rsidR="000A6A40" w:rsidRPr="003E0448">
        <w:rPr>
          <w:rFonts w:ascii="Cambria" w:hAnsi="Cambria" w:cs="Times New Roman"/>
          <w:iCs/>
          <w:color w:val="C00000"/>
          <w:sz w:val="22"/>
          <w:u w:val="single"/>
        </w:rPr>
        <w:t>emestre 2</w:t>
      </w:r>
      <w:r w:rsidR="000A6A40" w:rsidRPr="003E0448">
        <w:rPr>
          <w:rFonts w:ascii="Cambria" w:hAnsi="Cambria" w:cs="Times New Roman"/>
          <w:iCs/>
          <w:color w:val="C00000"/>
          <w:sz w:val="22"/>
        </w:rPr>
        <w:t xml:space="preserve"> :</w:t>
      </w:r>
      <w:r w:rsidRPr="003E0448">
        <w:rPr>
          <w:rFonts w:ascii="Cambria" w:hAnsi="Cambria" w:cs="Times New Roman"/>
          <w:iCs/>
          <w:color w:val="C00000"/>
          <w:sz w:val="22"/>
        </w:rPr>
        <w:t xml:space="preserve"> apprentissage de la grammaire de l’akkadien d’époque paléo-babylonienne et de l’écriture cunéiforme</w:t>
      </w:r>
    </w:p>
    <w:p w14:paraId="399A359F" w14:textId="77777777" w:rsidR="00A52062" w:rsidRPr="003E0448"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color w:val="C00000"/>
          <w:sz w:val="22"/>
        </w:rPr>
      </w:pPr>
    </w:p>
    <w:p w14:paraId="6C07E1EF"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L’apprentissage de la langue akkadienne est complété à partir du second semestre par celui de l’écriture cunéiforme dans sa version simple de la période paléo-babylonienne (une centaine de signes phonétiques) et des exercices de lecture de textes.</w:t>
      </w:r>
    </w:p>
    <w:p w14:paraId="0573917A"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3DA0AE57"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584D2236"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2264CF5"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Pour ces deux semestres, un polycopié de grammaire et un livret d’exercices seront fournis aux étudiants qui suivent ce cours, qu’il est conseillé de coupler avec une UE d’histoire du Proche-Orient ancien (Histoire de la Mésopotamie ou Bible et Orient).</w:t>
      </w:r>
    </w:p>
    <w:p w14:paraId="3263169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E66728E"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B4560F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FA4CF9A"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0BCF67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2C4779C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D16FB7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5B9E4F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7919E5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87340F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88F749B"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2793F5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07FCF1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237665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25ED78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B8006E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9968F9B"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010218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5E2E0F5"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6BDCD139"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153646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73E7118"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18584BA"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A41B9B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67DD19C"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23DF0F6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F5E07E8" w14:textId="77777777" w:rsidR="00000543"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C413C98" w14:textId="77777777" w:rsidR="00AB006F"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4891834" w14:textId="77777777" w:rsidR="00AB006F"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0BDFF35" w14:textId="77777777" w:rsidR="00AB006F" w:rsidRPr="00CB5007"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6F6377DE" w14:textId="77777777" w:rsidR="00000543" w:rsidRPr="00CB5007" w:rsidRDefault="00000543" w:rsidP="00193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8"/>
          <w:szCs w:val="28"/>
        </w:rPr>
      </w:pPr>
    </w:p>
    <w:p w14:paraId="3EB7769D" w14:textId="77777777" w:rsidR="000C6555" w:rsidRPr="00CB5007" w:rsidRDefault="000C6555"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iCs/>
          <w:szCs w:val="24"/>
        </w:rPr>
      </w:pPr>
    </w:p>
    <w:p w14:paraId="1F4E4A0A" w14:textId="77777777"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25A1C">
        <w:rPr>
          <w:rFonts w:ascii="Cambria" w:hAnsi="Cambria"/>
          <w:iCs/>
          <w:color w:val="C00000"/>
          <w:sz w:val="28"/>
          <w:szCs w:val="28"/>
        </w:rPr>
        <w:t>J3012119/J3012219 : Histoire grecque</w:t>
      </w:r>
    </w:p>
    <w:p w14:paraId="197B35C8" w14:textId="77777777" w:rsidR="00A52062" w:rsidRPr="00CB5007" w:rsidRDefault="00A52062" w:rsidP="000F46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26CAEC76" w14:textId="22D518EE" w:rsidR="000F469C" w:rsidRPr="00CB5007" w:rsidRDefault="00AC2B8F" w:rsidP="000F46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 xml:space="preserve">Romain Guicharrousse, Stéphanie Wackenier </w:t>
      </w:r>
    </w:p>
    <w:p w14:paraId="51DE2430" w14:textId="77777777" w:rsidR="000F469C" w:rsidRPr="00CB5007" w:rsidRDefault="000F469C" w:rsidP="00771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521F1D8D" w14:textId="53710FC7" w:rsidR="00143866" w:rsidRPr="003E0448" w:rsidRDefault="00143866"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lang w:eastAsia="en-US"/>
        </w:rPr>
      </w:pPr>
      <w:r w:rsidRPr="003E0448">
        <w:rPr>
          <w:rFonts w:ascii="Cambria" w:hAnsi="Cambria" w:cs="Times New Roman"/>
          <w:iCs/>
          <w:color w:val="C00000"/>
          <w:sz w:val="22"/>
          <w:u w:val="single"/>
          <w:lang w:eastAsia="en-US"/>
        </w:rPr>
        <w:t>S</w:t>
      </w:r>
      <w:r w:rsidR="000A6A40" w:rsidRPr="003E0448">
        <w:rPr>
          <w:rFonts w:ascii="Cambria" w:hAnsi="Cambria" w:cs="Times New Roman"/>
          <w:iCs/>
          <w:color w:val="C00000"/>
          <w:sz w:val="22"/>
          <w:u w:val="single"/>
          <w:lang w:eastAsia="en-US"/>
        </w:rPr>
        <w:t>emestre 1</w:t>
      </w:r>
      <w:r w:rsidRPr="003E0448">
        <w:rPr>
          <w:rFonts w:ascii="Cambria" w:hAnsi="Cambria" w:cs="Times New Roman"/>
          <w:iCs/>
          <w:color w:val="C00000"/>
          <w:sz w:val="22"/>
          <w:lang w:eastAsia="en-US"/>
        </w:rPr>
        <w:t> : « Initiation à l’épigraphie grecque »</w:t>
      </w:r>
    </w:p>
    <w:p w14:paraId="0EBD9B71" w14:textId="77777777"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color w:val="B71E42" w:themeColor="accent1"/>
          <w:sz w:val="22"/>
          <w:lang w:eastAsia="en-US"/>
        </w:rPr>
      </w:pPr>
    </w:p>
    <w:p w14:paraId="1B010323" w14:textId="5F27402E"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 xml:space="preserve">L'épigraphie est la discipline qui étudie les documents inscrits sur un support durable comme la pierre, le bronze ou le plomb. Ces textes, des sources primaires, constituent (avec les papyrus) pour l'Antiquité la seule documentation écrite qui se renouvelle régulièrement. Le cours a pour but de donner les bases nécessaires à l'étude de ce type de documents, de donner un aperçu de leur grande variété (documents publics et privés, lettres, décrets, inventaires, comptes, poèmes, épitaphes, dédicaces…) et de montrer qu'ils peuvent concerner tous les aspects étudiés par les historiens de l'Antiquité (histoire sociale, religieuse et culturelle, histoire institutionnelle et militaire, histoire des relations internationales, histoire économique). De ce fait, l’étude des écritures épigraphiques des époques archaïque, classique et, plus spécifiquement, hellénistique sera couplée à l’analyse de monuments épigraphiques relatifs aux institutions politiques, militaires et fiscales des cités grecques, de même qu’à la vie culturelle et religieuse de ces dernières. En complément des CM et TD, des ateliers pratiques de description, déchiffrement et transcription des inscriptions grecques conservées au Musée du Louvre seront organisés au cours du semestre. </w:t>
      </w:r>
    </w:p>
    <w:p w14:paraId="10E21B54" w14:textId="7FD618EC"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Vous trouverez ci-après une bibliographie d’introduction à la discipline qui vous permettra de vous familiariser avec les problématiques qui feront l’objet de ce cours et d’apprécier l’apport de l’épigraphie grecque à la connaissance des sociétés antiques ; il convient de prendre connaissance des articles signalés par un (*) avant le début de nos cours.</w:t>
      </w:r>
    </w:p>
    <w:p w14:paraId="7EE1EA07" w14:textId="77777777" w:rsidR="00624776" w:rsidRDefault="0062477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719AEA9B" w14:textId="77777777" w:rsidR="003E0448" w:rsidRPr="00CB5007" w:rsidRDefault="003E0448"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07360AE4" w14:textId="77777777"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lang w:eastAsia="en-US"/>
        </w:rPr>
      </w:pPr>
      <w:r w:rsidRPr="00CB5007">
        <w:rPr>
          <w:rFonts w:ascii="Cambria" w:hAnsi="Cambria" w:cs="Times New Roman"/>
          <w:iCs/>
          <w:sz w:val="22"/>
          <w:lang w:eastAsia="en-US"/>
        </w:rPr>
        <w:t>Bibliographie</w:t>
      </w:r>
    </w:p>
    <w:p w14:paraId="3F4C82A1" w14:textId="77777777" w:rsidR="00143866" w:rsidRPr="00CB5007" w:rsidRDefault="00143866" w:rsidP="00143866">
      <w:pPr>
        <w:jc w:val="both"/>
        <w:rPr>
          <w:rFonts w:ascii="Cambria" w:eastAsia="Times New Roman" w:hAnsi="Cambria" w:cs="Times New Roman"/>
          <w:iCs/>
          <w:sz w:val="22"/>
        </w:rPr>
      </w:pPr>
      <w:r w:rsidRPr="00CB5007">
        <w:rPr>
          <w:rFonts w:ascii="Cambria" w:hAnsi="Cambria" w:cs="Times New Roman"/>
          <w:b w:val="0"/>
          <w:iCs/>
          <w:sz w:val="22"/>
          <w:vertAlign w:val="superscript"/>
          <w:lang w:eastAsia="en-US"/>
        </w:rPr>
        <w:t xml:space="preserve">(*) </w:t>
      </w:r>
      <w:r w:rsidRPr="00CB5007">
        <w:rPr>
          <w:rFonts w:ascii="Cambria" w:hAnsi="Cambria" w:cs="Times New Roman"/>
          <w:b w:val="0"/>
          <w:iCs/>
          <w:sz w:val="22"/>
          <w:lang w:eastAsia="en-US"/>
        </w:rPr>
        <w:t>Robert L., « Les épigraphies et l’épigraphie grecque et romaine », dans L’histoire et ses méthodes, Encyclopédie </w:t>
      </w:r>
      <w:r w:rsidR="00FE6E40" w:rsidRPr="00CB5007">
        <w:rPr>
          <w:rFonts w:ascii="Cambria" w:hAnsi="Cambria" w:cs="Times New Roman"/>
          <w:b w:val="0"/>
          <w:iCs/>
          <w:sz w:val="22"/>
          <w:lang w:eastAsia="en-US"/>
        </w:rPr>
        <w:t xml:space="preserve"> </w:t>
      </w:r>
      <w:r w:rsidRPr="00CB5007">
        <w:rPr>
          <w:rFonts w:ascii="Cambria" w:hAnsi="Cambria" w:cs="Times New Roman"/>
          <w:b w:val="0"/>
          <w:iCs/>
          <w:sz w:val="22"/>
          <w:lang w:eastAsia="en-US"/>
        </w:rPr>
        <w:t xml:space="preserve">de  la  Pléiade, Paris, 1961,  p. 453-497  (repris  dans  le  recueil  posthume d’articles : Louis Robert, Choix d’écrits, Paris, 2007, p. 87-114). Accessible en ligne : </w:t>
      </w:r>
      <w:hyperlink r:id="rId25" w:history="1">
        <w:r w:rsidRPr="00CB5007">
          <w:rPr>
            <w:rStyle w:val="Lienhypertexte"/>
            <w:rFonts w:ascii="Cambria" w:hAnsi="Cambria" w:cs="Times New Roman"/>
            <w:iCs/>
            <w:sz w:val="22"/>
          </w:rPr>
          <w:t>http://web.philo.ulg.ac.be/antiquite/wp-content/uploads/sites/5/2017/04/LRobert.pdf</w:t>
        </w:r>
      </w:hyperlink>
    </w:p>
    <w:p w14:paraId="468B8580" w14:textId="48FF6ADE" w:rsidR="00A74A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val="en-US" w:eastAsia="en-US"/>
        </w:rPr>
      </w:pPr>
      <w:r w:rsidRPr="00CB5007">
        <w:rPr>
          <w:rFonts w:ascii="Cambria" w:hAnsi="Cambria" w:cs="Times New Roman"/>
          <w:b w:val="0"/>
          <w:iCs/>
          <w:sz w:val="22"/>
          <w:vertAlign w:val="superscript"/>
          <w:lang w:val="en-US" w:eastAsia="en-US"/>
        </w:rPr>
        <w:t xml:space="preserve">(*) </w:t>
      </w:r>
      <w:r w:rsidRPr="00CB5007">
        <w:rPr>
          <w:rFonts w:ascii="Cambria" w:hAnsi="Cambria" w:cs="Times New Roman"/>
          <w:b w:val="0"/>
          <w:iCs/>
          <w:sz w:val="22"/>
          <w:lang w:val="en-US" w:eastAsia="en-US"/>
        </w:rPr>
        <w:t>McLean B.H., An Introduction to Greek Epigraphy of the Hellenistic and Roman Periods from Alexander the Great down to the Reign of Constantine, Ann Arbor, 2002, lntroduction, p. 1-23.</w:t>
      </w:r>
    </w:p>
    <w:p w14:paraId="25706369" w14:textId="6834A42F"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Remy B. et Kayser Fr., Initiation à l'épigraphie grecque et latine, Paris, 1999.</w:t>
      </w:r>
    </w:p>
    <w:p w14:paraId="3A9434A7" w14:textId="77777777" w:rsidR="00143866" w:rsidRPr="00CB5007" w:rsidRDefault="00143866" w:rsidP="00A74A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004E9A"/>
          <w:sz w:val="22"/>
        </w:rPr>
      </w:pPr>
    </w:p>
    <w:p w14:paraId="49C71936" w14:textId="151ECA39" w:rsidR="00143866" w:rsidRPr="003E0448" w:rsidRDefault="00143866"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3E0448">
        <w:rPr>
          <w:rFonts w:ascii="Cambria" w:hAnsi="Cambria" w:cs="Times New Roman"/>
          <w:iCs/>
          <w:color w:val="C00000"/>
          <w:sz w:val="22"/>
          <w:u w:val="single"/>
        </w:rPr>
        <w:t>S</w:t>
      </w:r>
      <w:r w:rsidR="000A6A40" w:rsidRPr="003E0448">
        <w:rPr>
          <w:rFonts w:ascii="Cambria" w:hAnsi="Cambria" w:cs="Times New Roman"/>
          <w:iCs/>
          <w:color w:val="C00000"/>
          <w:sz w:val="22"/>
          <w:u w:val="single"/>
        </w:rPr>
        <w:t xml:space="preserve">emestre </w:t>
      </w:r>
      <w:r w:rsidR="00C75599" w:rsidRPr="003E0448">
        <w:rPr>
          <w:rFonts w:ascii="Cambria" w:hAnsi="Cambria" w:cs="Times New Roman"/>
          <w:iCs/>
          <w:color w:val="C00000"/>
          <w:sz w:val="22"/>
          <w:u w:val="single"/>
        </w:rPr>
        <w:t>2</w:t>
      </w:r>
      <w:r w:rsidR="00C75599" w:rsidRPr="003E0448">
        <w:rPr>
          <w:rFonts w:ascii="Cambria" w:hAnsi="Cambria" w:cs="Times New Roman"/>
          <w:iCs/>
          <w:color w:val="C00000"/>
          <w:sz w:val="22"/>
        </w:rPr>
        <w:t xml:space="preserve"> :</w:t>
      </w:r>
      <w:r w:rsidRPr="003E0448">
        <w:rPr>
          <w:rFonts w:ascii="Cambria" w:hAnsi="Cambria" w:cs="Times New Roman"/>
          <w:iCs/>
          <w:color w:val="C00000"/>
          <w:sz w:val="22"/>
        </w:rPr>
        <w:t xml:space="preserve"> « Initiation à la papyrologie grecque »</w:t>
      </w:r>
    </w:p>
    <w:p w14:paraId="746E6724" w14:textId="77777777" w:rsidR="003E0448" w:rsidRPr="003E0448" w:rsidRDefault="003E0448"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p>
    <w:p w14:paraId="4087B1C0" w14:textId="53870B5F" w:rsidR="001935A2" w:rsidRPr="003E0448"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La papyrologie a pour objet l’étude des papyrus, supports d’écriture d’origine végétale qui dans l’Antiquité furent employés dans tout le bassin oriental de la Méditerranée mais qui, pour des raisons de conservation, ont pour l’essentiel été retrouvés en Égypte. Aujourd’hui, plus de 30 000 papyrus grecs sont publiés et leur nombre s’accroît régulièrement. Le cours se propose de poser les bases du déchiffrement de tels documents, tout en montrant leur apport à des domaines très divers de l’histoire grecque. Le papyrus était utilisé pour tous les usages de l’écriture, comme le papier aujourd’hui, pour la vie publique et la vie privée. Les cours porteront sur l’étude de documents d’époque ptolémaïque (affiche placée sur la maison d’un prêtre, plainte d’une femme contre son mari, contrat de mariage, testament, compte de livraison de briques de construction…). Les papyrus de Zénon (III</w:t>
      </w:r>
      <w:r w:rsidRPr="00525A1C">
        <w:rPr>
          <w:rFonts w:ascii="Cambria" w:hAnsi="Cambria"/>
          <w:b w:val="0"/>
          <w:color w:val="000000"/>
          <w:kern w:val="0"/>
          <w:sz w:val="14"/>
          <w:vertAlign w:val="superscript"/>
        </w:rPr>
        <w:t>e</w:t>
      </w:r>
      <w:r w:rsidRPr="00525A1C">
        <w:rPr>
          <w:rFonts w:ascii="Cambria" w:hAnsi="Cambria"/>
          <w:b w:val="0"/>
          <w:color w:val="000000"/>
          <w:kern w:val="0"/>
          <w:sz w:val="22"/>
        </w:rPr>
        <w:t xml:space="preserve"> siècle av. n.è.) seront particulièrement sollicités. </w:t>
      </w:r>
    </w:p>
    <w:p w14:paraId="0F637F66" w14:textId="5C675833" w:rsidR="001935A2" w:rsidRPr="003E0448"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Bold" w:hAnsi="Cambria-Bold" w:hint="eastAsia"/>
          <w:b w:val="0"/>
          <w:color w:val="000000"/>
          <w:kern w:val="0"/>
          <w:sz w:val="22"/>
        </w:rPr>
      </w:pPr>
      <w:r w:rsidRPr="003E0448">
        <w:rPr>
          <w:rFonts w:ascii="Cambria-Bold" w:hAnsi="Cambria-Bold"/>
          <w:color w:val="000000"/>
          <w:kern w:val="0"/>
          <w:sz w:val="22"/>
        </w:rPr>
        <w:t>Bibliographie</w:t>
      </w:r>
    </w:p>
    <w:p w14:paraId="771B2FA3"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lang w:val="en-US"/>
        </w:rPr>
      </w:pPr>
      <w:r w:rsidRPr="00525A1C">
        <w:rPr>
          <w:rFonts w:ascii="Cambria" w:hAnsi="Cambria"/>
          <w:b w:val="0"/>
          <w:color w:val="000000"/>
          <w:kern w:val="0"/>
          <w:sz w:val="22"/>
          <w:lang w:val="en-US"/>
        </w:rPr>
        <w:t>BAGNALL R.S. (éd.), The Oxford Handbook of Papyrology, Oxford, New York, Oxford University Press, 2009.</w:t>
      </w:r>
    </w:p>
    <w:p w14:paraId="68FF7A45"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CLARYSSE, W., VANDORPE, K., Zénon, un homme d’affaire grec à l’ombre des pyramides, Louvain, Presses universitaires de Louvain, 1995.</w:t>
      </w:r>
    </w:p>
    <w:p w14:paraId="2C02A539"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 xml:space="preserve">FOURNET J.-L. (dir.), </w:t>
      </w:r>
      <w:r w:rsidRPr="00525A1C">
        <w:rPr>
          <w:rFonts w:ascii="Cambria" w:hAnsi="Cambria"/>
          <w:b w:val="0"/>
          <w:i/>
          <w:iCs/>
          <w:color w:val="000000"/>
          <w:kern w:val="0"/>
          <w:sz w:val="22"/>
        </w:rPr>
        <w:t>Le papyrus dans tous ses états, de Cléopâtre à Clovis</w:t>
      </w:r>
      <w:r w:rsidRPr="00525A1C">
        <w:rPr>
          <w:rFonts w:ascii="Cambria" w:hAnsi="Cambria"/>
          <w:b w:val="0"/>
          <w:color w:val="000000"/>
          <w:kern w:val="0"/>
          <w:sz w:val="22"/>
        </w:rPr>
        <w:t>, Paris, Collège de France, 2021.</w:t>
      </w:r>
    </w:p>
    <w:p w14:paraId="7C8954B8"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LEGRAS, B., Lire en Égypte d’Alexandre à l’Islam, Paris, Picard, collection Antiqua, 2002.</w:t>
      </w:r>
    </w:p>
    <w:p w14:paraId="3B840EF4"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ORRIEUX, P., Les papyrus de Zénon : l'horizon d'un Grec en Égypte au IIIe siècle avant J.-C., Paris, Macula, 1983.</w:t>
      </w:r>
    </w:p>
    <w:p w14:paraId="7DD0B4F9" w14:textId="4128FC64"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SCHUBERT, P.  (dir.), Vivre en Egypte gréco-romaine, Vevey, éd. de l’Aire, 2000.</w:t>
      </w:r>
    </w:p>
    <w:p w14:paraId="4ABBA2D3"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NB : les cours d’initiation à l’épigraphie et à la papyrologie grecques sont étroitement liés et doivent obligatoirement être associés à un apprentissage de la langue grecque. Vous pouvez commencer à vous y initier avec la méthode suivante :</w:t>
      </w:r>
    </w:p>
    <w:p w14:paraId="1B6267EC" w14:textId="77777777" w:rsidR="001935A2"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 xml:space="preserve">VERNHES J.-V., </w:t>
      </w:r>
      <w:r w:rsidRPr="00525A1C">
        <w:rPr>
          <w:rFonts w:ascii="IFAO-Grec Unicode" w:hAnsi="IFAO-Grec Unicode"/>
          <w:b w:val="0"/>
          <w:color w:val="000000"/>
          <w:kern w:val="0"/>
          <w:sz w:val="22"/>
        </w:rPr>
        <w:t xml:space="preserve">Ἕρμαιον. </w:t>
      </w:r>
      <w:r w:rsidRPr="00525A1C">
        <w:rPr>
          <w:rFonts w:ascii="Cambria" w:hAnsi="Cambria"/>
          <w:b w:val="0"/>
          <w:i/>
          <w:iCs/>
          <w:color w:val="000000"/>
          <w:kern w:val="0"/>
          <w:sz w:val="22"/>
        </w:rPr>
        <w:t>Initiation au grec ancien</w:t>
      </w:r>
      <w:r w:rsidRPr="00525A1C">
        <w:rPr>
          <w:rFonts w:ascii="Cambria" w:hAnsi="Cambria"/>
          <w:b w:val="0"/>
          <w:color w:val="000000"/>
          <w:kern w:val="0"/>
          <w:sz w:val="22"/>
        </w:rPr>
        <w:t>, Smilkov, éd. Ophrys, 2023.</w:t>
      </w:r>
    </w:p>
    <w:p w14:paraId="71950AF8" w14:textId="77777777" w:rsidR="00AB006F" w:rsidRDefault="00AB006F"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2FC71B" w14:textId="77777777" w:rsidR="003C4573" w:rsidRDefault="003C4573"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B14F91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3971D66"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4B6568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191E5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5AF1363"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05645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671890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625891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312999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010B52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BA048A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CE273F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B3190F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581856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8C306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B61F0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CF24B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5F653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021CBE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F8F7C0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65AB5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2240FA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E6FCD3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A02E2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489401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2477A0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BF7CA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C97210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6E1AA3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16A8CA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F20E0C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58933C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1740AD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1ED0D1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21167A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598F90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A06956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175117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2D195D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559CA2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90E1F5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5BD3F5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5F63C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D287C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02CC00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9337B6"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E2D47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AB0504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86E097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3C9AFE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F0E48D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930D6A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CC7B31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997A34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1FA39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E8B8CCB"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79F7BD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76B440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A43C18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FD86ED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C11B08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3C2EBA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A71A6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FA5C2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8ADCBB"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F6F60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DD40D8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BBF338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C041A91" w14:textId="77777777" w:rsidR="003C4573" w:rsidRDefault="003C4573"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2E7C67" w14:textId="6391F5F1" w:rsidR="00BC0CFC" w:rsidRPr="003E0448" w:rsidRDefault="0040261E"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3E0448">
        <w:rPr>
          <w:rFonts w:ascii="Cambria" w:hAnsi="Cambria"/>
          <w:iCs/>
          <w:color w:val="C00000"/>
          <w:sz w:val="28"/>
          <w:szCs w:val="28"/>
        </w:rPr>
        <w:t>J301231</w:t>
      </w:r>
      <w:r w:rsidR="000D026A" w:rsidRPr="003E0448">
        <w:rPr>
          <w:rFonts w:ascii="Cambria" w:hAnsi="Cambria"/>
          <w:iCs/>
          <w:color w:val="C00000"/>
          <w:sz w:val="28"/>
          <w:szCs w:val="28"/>
        </w:rPr>
        <w:t>9</w:t>
      </w:r>
      <w:r w:rsidRPr="003E0448">
        <w:rPr>
          <w:rFonts w:ascii="Cambria" w:hAnsi="Cambria"/>
          <w:iCs/>
          <w:color w:val="C00000"/>
          <w:sz w:val="28"/>
          <w:szCs w:val="28"/>
        </w:rPr>
        <w:t>/J301241</w:t>
      </w:r>
      <w:r w:rsidR="000D026A" w:rsidRPr="003E0448">
        <w:rPr>
          <w:rFonts w:ascii="Cambria" w:hAnsi="Cambria"/>
          <w:iCs/>
          <w:color w:val="C00000"/>
          <w:sz w:val="28"/>
          <w:szCs w:val="28"/>
        </w:rPr>
        <w:t>9</w:t>
      </w:r>
      <w:r w:rsidRPr="003E0448">
        <w:rPr>
          <w:rFonts w:ascii="Cambria" w:hAnsi="Cambria"/>
          <w:iCs/>
          <w:color w:val="C00000"/>
          <w:sz w:val="28"/>
          <w:szCs w:val="28"/>
        </w:rPr>
        <w:t xml:space="preserve"> : </w:t>
      </w:r>
      <w:r w:rsidR="00BC0CFC" w:rsidRPr="003E0448">
        <w:rPr>
          <w:rFonts w:ascii="Cambria" w:hAnsi="Cambria"/>
          <w:iCs/>
          <w:color w:val="C00000"/>
          <w:sz w:val="28"/>
          <w:szCs w:val="28"/>
        </w:rPr>
        <w:t>Histoire romaine</w:t>
      </w:r>
    </w:p>
    <w:p w14:paraId="066732D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Cs w:val="24"/>
        </w:rPr>
      </w:pPr>
    </w:p>
    <w:p w14:paraId="40173202" w14:textId="6FD72CC1"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r w:rsidRPr="00CB5007">
        <w:rPr>
          <w:rFonts w:ascii="Cambria" w:hAnsi="Cambria"/>
          <w:iCs/>
          <w:szCs w:val="24"/>
        </w:rPr>
        <w:t>F</w:t>
      </w:r>
      <w:r w:rsidR="00190233">
        <w:rPr>
          <w:rFonts w:ascii="Cambria" w:hAnsi="Cambria"/>
          <w:iCs/>
          <w:szCs w:val="24"/>
        </w:rPr>
        <w:t xml:space="preserve">rançois </w:t>
      </w:r>
      <w:r w:rsidRPr="00CB5007">
        <w:rPr>
          <w:rFonts w:ascii="Cambria" w:hAnsi="Cambria"/>
          <w:iCs/>
          <w:szCs w:val="24"/>
        </w:rPr>
        <w:t>Chausson,</w:t>
      </w:r>
      <w:r w:rsidR="00B77971" w:rsidRPr="00CB5007">
        <w:rPr>
          <w:rFonts w:ascii="Cambria" w:hAnsi="Cambria"/>
          <w:iCs/>
          <w:szCs w:val="24"/>
        </w:rPr>
        <w:t xml:space="preserve"> </w:t>
      </w:r>
      <w:r w:rsidR="00190233">
        <w:rPr>
          <w:rFonts w:ascii="Cambria" w:hAnsi="Cambria"/>
          <w:iCs/>
          <w:szCs w:val="24"/>
        </w:rPr>
        <w:t>Anne-Florence</w:t>
      </w:r>
      <w:r w:rsidR="00B77971" w:rsidRPr="00CB5007">
        <w:rPr>
          <w:rFonts w:ascii="Cambria" w:hAnsi="Cambria"/>
          <w:iCs/>
          <w:szCs w:val="24"/>
        </w:rPr>
        <w:t xml:space="preserve"> Baroni</w:t>
      </w:r>
    </w:p>
    <w:p w14:paraId="54E65BE1"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17B691D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Cs w:val="24"/>
        </w:rPr>
      </w:pPr>
    </w:p>
    <w:p w14:paraId="52052E7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Cette UE comporte deux enseignements qui sont complémentaires :</w:t>
      </w:r>
    </w:p>
    <w:p w14:paraId="2BD514ED"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un enseignement de </w:t>
      </w:r>
      <w:r w:rsidRPr="00CB5007">
        <w:rPr>
          <w:rFonts w:ascii="Cambria" w:hAnsi="Cambria" w:cs="Times New Roman"/>
          <w:bCs/>
          <w:iCs/>
          <w:sz w:val="22"/>
        </w:rPr>
        <w:t>latin</w:t>
      </w:r>
      <w:r w:rsidRPr="00CB5007">
        <w:rPr>
          <w:rFonts w:ascii="Cambria" w:hAnsi="Cambria" w:cs="Times New Roman"/>
          <w:b w:val="0"/>
          <w:iCs/>
          <w:sz w:val="22"/>
        </w:rPr>
        <w:t>, organisé par le département des langues de l'Université. Il permet l'initiation ou le perfectionnement des étudiants. Il est obligatoire !</w:t>
      </w:r>
    </w:p>
    <w:p w14:paraId="2890A5A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un enseignement d'</w:t>
      </w:r>
      <w:r w:rsidRPr="00CB5007">
        <w:rPr>
          <w:rFonts w:ascii="Cambria" w:hAnsi="Cambria" w:cs="Times New Roman"/>
          <w:bCs/>
          <w:iCs/>
          <w:sz w:val="22"/>
        </w:rPr>
        <w:t>épigraphie</w:t>
      </w:r>
      <w:r w:rsidRPr="00CB5007">
        <w:rPr>
          <w:rFonts w:ascii="Cambria" w:hAnsi="Cambria" w:cs="Times New Roman"/>
          <w:b w:val="0"/>
          <w:iCs/>
          <w:sz w:val="22"/>
        </w:rPr>
        <w:t xml:space="preserve"> latine </w:t>
      </w:r>
      <w:r w:rsidRPr="00CB5007">
        <w:rPr>
          <w:rFonts w:ascii="Cambria" w:hAnsi="Cambria" w:cs="Times New Roman"/>
          <w:iCs/>
          <w:sz w:val="22"/>
        </w:rPr>
        <w:t>échelonné pendant toute l’année</w:t>
      </w:r>
    </w:p>
    <w:p w14:paraId="5030FF6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02C290D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sz w:val="22"/>
        </w:rPr>
      </w:pPr>
      <w:r w:rsidRPr="00CB5007">
        <w:rPr>
          <w:rFonts w:ascii="Cambria" w:hAnsi="Cambria" w:cs="Times New Roman"/>
          <w:sz w:val="22"/>
        </w:rPr>
        <w:t xml:space="preserve">- </w:t>
      </w:r>
      <w:bookmarkStart w:id="39" w:name="_Hlk202443595"/>
      <w:r w:rsidRPr="00CB5007">
        <w:rPr>
          <w:rFonts w:ascii="Cambria" w:hAnsi="Cambria" w:cs="Times New Roman"/>
          <w:sz w:val="22"/>
        </w:rPr>
        <w:t>Il est nécessaire de connaître déjà un peu de latin ; cet enseignement n’est pas pour les débutants absolus en latin.</w:t>
      </w:r>
    </w:p>
    <w:p w14:paraId="7D3B8F6C"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sz w:val="22"/>
        </w:rPr>
      </w:pPr>
      <w:r w:rsidRPr="00CB5007">
        <w:rPr>
          <w:rFonts w:ascii="Cambria" w:hAnsi="Cambria" w:cs="Times New Roman"/>
          <w:sz w:val="22"/>
        </w:rPr>
        <w:t>- Il est obligatoire d’avoir suivi l’enseignement du S1 pour suivre celui du S2 qui en est la continuité</w:t>
      </w:r>
      <w:bookmarkEnd w:id="39"/>
      <w:r w:rsidRPr="00CB5007">
        <w:rPr>
          <w:rFonts w:ascii="Cambria" w:hAnsi="Cambria" w:cs="Times New Roman"/>
          <w:sz w:val="22"/>
        </w:rPr>
        <w:t>.</w:t>
      </w:r>
    </w:p>
    <w:p w14:paraId="70FA2416"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747488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L'épigraphie latine est la science qui traite des inscriptions latines sur pierre ou sur d'autres supports durables. La langue, stéréotypée, en est le plus souvent simple : une connaissance moyenne du latin est suffisante. Les inscriptions sont les grandes pourvoyeuses d'informations premières sur le monde romain, et chaque année, au fil de nouvelles découvertes archéologiques, leur nombre s'accroît. Les étudier donne un accès direct et vivant aux réalités quotidiennes, institutionnelles, religieuses, politiques, culturelles du monde romain. L'initiation à cette discipline est fondée sur l'examen progressif de pierres inscrites.</w:t>
      </w:r>
    </w:p>
    <w:p w14:paraId="14B5D8C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F4A288E"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S1 : François Chausson, Anne-Florence Baroni</w:t>
      </w:r>
    </w:p>
    <w:p w14:paraId="7B02966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D506D1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Au premier semestre, on commencera par s’initier aux techniques de lecture et de transcription des textes épigraphiques et à l’utilisation des ouvrages de référence. L’étude des inscriptions permettra d’aborder les différents groupes sociaux et politiques qui structurent l’Empire romain. On verra successivement les dénominations des personnes (citoyens, pérégrins, hommes libres, affranchis, esclaves, femmes etc.) ; puis on passera aux sommets du pouvoir (l'empereur, les sénateurs, les chevaliers), et enfin à l'armée.</w:t>
      </w:r>
    </w:p>
    <w:p w14:paraId="0176FC3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CB71F3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2F37CAE"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9861D8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B2F6D8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3259A2"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DC04C0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A0D2455"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8405122" w14:textId="3F175925"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CB5007">
        <w:rPr>
          <w:rFonts w:ascii="Cambria" w:hAnsi="Cambria"/>
          <w:iCs/>
          <w:sz w:val="22"/>
        </w:rPr>
        <w:t>S2 : François Chausson</w:t>
      </w:r>
    </w:p>
    <w:p w14:paraId="1DE342B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1D8048E0" w14:textId="4675524E"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iCs/>
          <w:sz w:val="22"/>
        </w:rPr>
      </w:pPr>
      <w:r w:rsidRPr="00CB5007">
        <w:rPr>
          <w:rFonts w:ascii="Cambria" w:hAnsi="Cambria" w:cs="Times New Roman"/>
          <w:b w:val="0"/>
          <w:bCs/>
          <w:sz w:val="22"/>
        </w:rPr>
        <w:t>Cet enseignement mettra l'accent sur l'épigraphie municipale et religieuse du Haut-Empire puis sur l’épigraphie du Bas-Empire (ou Antiquité tardive) pour les aspects institutionnels et municipaux. Dans le prolongement du travail du premier semestre, il s'agira d'aborder la vie des habitants de l'Empire à travers une confrontation directe avec les sources, étudiées dans toute leur richesse et leur diversité thématique, institutionnelle et sociale. Les changements culturels du Bas-Empire seront particulièrement étudiés à travers les documents épigraphiques des III</w:t>
      </w:r>
      <w:r w:rsidRPr="00CB5007">
        <w:rPr>
          <w:rFonts w:ascii="Cambria" w:hAnsi="Cambria" w:cs="Times New Roman"/>
          <w:b w:val="0"/>
          <w:bCs/>
          <w:sz w:val="22"/>
          <w:vertAlign w:val="superscript"/>
        </w:rPr>
        <w:t>e</w:t>
      </w:r>
      <w:r w:rsidRPr="00CB5007">
        <w:rPr>
          <w:rFonts w:ascii="Cambria" w:hAnsi="Cambria" w:cs="Times New Roman"/>
          <w:b w:val="0"/>
          <w:bCs/>
          <w:sz w:val="22"/>
        </w:rPr>
        <w:t>-V</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siècles. L’exemple d’une cité d’Afrique Proconsulaire, </w:t>
      </w:r>
      <w:r w:rsidRPr="00CB5007">
        <w:rPr>
          <w:rFonts w:ascii="Cambria" w:hAnsi="Cambria" w:cs="Times New Roman"/>
          <w:b w:val="0"/>
          <w:bCs/>
          <w:i/>
          <w:iCs/>
          <w:sz w:val="22"/>
        </w:rPr>
        <w:t>Lepcis Magna</w:t>
      </w:r>
      <w:r w:rsidRPr="00CB5007">
        <w:rPr>
          <w:rFonts w:ascii="Cambria" w:hAnsi="Cambria" w:cs="Times New Roman"/>
          <w:b w:val="0"/>
          <w:bCs/>
          <w:sz w:val="22"/>
        </w:rPr>
        <w:t xml:space="preserve"> (actuelle Libye), sera privilégié en raison de sa richesse documentaire.</w:t>
      </w:r>
    </w:p>
    <w:p w14:paraId="5D786D26"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000385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537E9D9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M. Cébeillac-Gervasoni, M. L. Caldelli, F. Zevi, </w:t>
      </w:r>
      <w:r w:rsidRPr="00CB5007">
        <w:rPr>
          <w:rFonts w:ascii="Cambria" w:hAnsi="Cambria" w:cs="Times New Roman"/>
          <w:b w:val="0"/>
          <w:i/>
          <w:sz w:val="22"/>
        </w:rPr>
        <w:t>Epigraphie latine</w:t>
      </w:r>
      <w:r w:rsidRPr="00CB5007">
        <w:rPr>
          <w:rFonts w:ascii="Cambria" w:hAnsi="Cambria" w:cs="Times New Roman"/>
          <w:b w:val="0"/>
          <w:iCs/>
          <w:sz w:val="22"/>
        </w:rPr>
        <w:t>, Paris, Armand Colin, 2006.</w:t>
      </w:r>
    </w:p>
    <w:p w14:paraId="3B70ECB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R. Cagnat, </w:t>
      </w:r>
      <w:r w:rsidRPr="00CB5007">
        <w:rPr>
          <w:rFonts w:ascii="Cambria" w:hAnsi="Cambria" w:cs="Times New Roman"/>
          <w:b w:val="0"/>
          <w:i/>
          <w:sz w:val="22"/>
        </w:rPr>
        <w:t>Manuel d'épigraphie latine</w:t>
      </w:r>
      <w:r w:rsidRPr="00CB5007">
        <w:rPr>
          <w:rFonts w:ascii="Cambria" w:hAnsi="Cambria" w:cs="Times New Roman"/>
          <w:b w:val="0"/>
          <w:iCs/>
          <w:sz w:val="22"/>
        </w:rPr>
        <w:t>, Paris, 1914 (plusieurs réimpressions anastatiques).</w:t>
      </w:r>
    </w:p>
    <w:p w14:paraId="76372005"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J.-M. Lassère, </w:t>
      </w:r>
      <w:r w:rsidRPr="00CB5007">
        <w:rPr>
          <w:rFonts w:ascii="Cambria" w:hAnsi="Cambria" w:cs="Times New Roman"/>
          <w:b w:val="0"/>
          <w:i/>
          <w:sz w:val="22"/>
        </w:rPr>
        <w:t>Manuel d'épigraphie romaine</w:t>
      </w:r>
      <w:r w:rsidRPr="00CB5007">
        <w:rPr>
          <w:rFonts w:ascii="Cambria" w:hAnsi="Cambria" w:cs="Times New Roman"/>
          <w:b w:val="0"/>
          <w:iCs/>
          <w:sz w:val="22"/>
        </w:rPr>
        <w:t>, Paris, Picard, 2005.</w:t>
      </w:r>
    </w:p>
    <w:p w14:paraId="3BD4485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F. Bérard et alii, </w:t>
      </w:r>
      <w:r w:rsidRPr="00CB5007">
        <w:rPr>
          <w:rFonts w:ascii="Cambria" w:hAnsi="Cambria" w:cs="Times New Roman"/>
          <w:b w:val="0"/>
          <w:i/>
          <w:sz w:val="22"/>
        </w:rPr>
        <w:t>Guide de l'épigraphiste</w:t>
      </w:r>
      <w:r w:rsidRPr="00CB5007">
        <w:rPr>
          <w:rFonts w:ascii="Cambria" w:hAnsi="Cambria" w:cs="Times New Roman"/>
          <w:b w:val="0"/>
          <w:iCs/>
          <w:sz w:val="22"/>
        </w:rPr>
        <w:t>, 3</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édition, Paris, 2000.</w:t>
      </w:r>
    </w:p>
    <w:p w14:paraId="607DFC5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5C478FF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6BE80D" w14:textId="77777777" w:rsidR="00517094" w:rsidRPr="00CB5007" w:rsidRDefault="00517094" w:rsidP="000D1757">
      <w:pPr>
        <w:rPr>
          <w:rFonts w:ascii="Cambria" w:hAnsi="Cambria"/>
          <w:iCs/>
        </w:rPr>
      </w:pPr>
    </w:p>
    <w:p w14:paraId="06B22054" w14:textId="77777777" w:rsidR="00517094" w:rsidRPr="00CB5007" w:rsidRDefault="00517094" w:rsidP="000D1757">
      <w:pPr>
        <w:rPr>
          <w:rFonts w:ascii="Cambria" w:hAnsi="Cambria"/>
          <w:iCs/>
        </w:rPr>
      </w:pPr>
    </w:p>
    <w:p w14:paraId="7A8EF5AD" w14:textId="77777777" w:rsidR="00517094" w:rsidRPr="00CB5007" w:rsidRDefault="00517094" w:rsidP="001E5C0B">
      <w:pPr>
        <w:tabs>
          <w:tab w:val="left" w:pos="1843"/>
        </w:tabs>
        <w:rPr>
          <w:rFonts w:ascii="Cambria" w:hAnsi="Cambria"/>
          <w:iCs/>
        </w:rPr>
      </w:pPr>
    </w:p>
    <w:p w14:paraId="6FF5BFC8" w14:textId="77777777" w:rsidR="0006566E" w:rsidRDefault="0006566E" w:rsidP="000D1757">
      <w:pPr>
        <w:rPr>
          <w:rFonts w:ascii="Cambria" w:hAnsi="Cambria"/>
          <w:iCs/>
        </w:rPr>
      </w:pPr>
    </w:p>
    <w:p w14:paraId="229D43F3" w14:textId="77777777" w:rsidR="003C4573" w:rsidRPr="00CB5007" w:rsidRDefault="003C4573" w:rsidP="000D1757">
      <w:pPr>
        <w:rPr>
          <w:rFonts w:ascii="Cambria" w:hAnsi="Cambria"/>
          <w:iCs/>
        </w:rPr>
      </w:pPr>
    </w:p>
    <w:p w14:paraId="0622AEF8" w14:textId="77777777" w:rsidR="00CC34B3" w:rsidRPr="00CB5007" w:rsidRDefault="00CC34B3" w:rsidP="000D1757">
      <w:pPr>
        <w:keepNext/>
        <w:spacing w:after="0" w:line="240" w:lineRule="auto"/>
        <w:jc w:val="both"/>
        <w:outlineLvl w:val="0"/>
        <w:rPr>
          <w:rFonts w:ascii="Cambria" w:hAnsi="Cambria"/>
          <w:bCs/>
          <w:iCs/>
          <w:sz w:val="22"/>
        </w:rPr>
      </w:pPr>
    </w:p>
    <w:p w14:paraId="2350157D" w14:textId="77777777" w:rsidR="00AB006F" w:rsidRDefault="00AB006F"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25D357AE" w14:textId="77777777" w:rsidR="00AB006F" w:rsidRDefault="00AB006F"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9A239D9" w14:textId="52551A00" w:rsidR="00CC34B3" w:rsidRPr="003E044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FF0000"/>
          <w:sz w:val="28"/>
          <w:szCs w:val="28"/>
        </w:rPr>
      </w:pPr>
      <w:r w:rsidRPr="003E0448">
        <w:rPr>
          <w:rFonts w:ascii="Cambria" w:hAnsi="Cambria"/>
          <w:iCs/>
          <w:color w:val="C00000"/>
          <w:sz w:val="28"/>
          <w:szCs w:val="28"/>
        </w:rPr>
        <w:t>J3012325/J3011425 : Orientalismes et invention de l’Orient</w:t>
      </w:r>
    </w:p>
    <w:p w14:paraId="1F921B2B"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p>
    <w:p w14:paraId="4328F239" w14:textId="663CD1C1"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2B7118">
        <w:rPr>
          <w:rFonts w:ascii="Cambria" w:hAnsi="Cambria" w:cs="Times New Roman"/>
          <w:iCs/>
          <w:sz w:val="22"/>
        </w:rPr>
        <w:t>Annelise Nef</w:t>
      </w:r>
      <w:r>
        <w:rPr>
          <w:rFonts w:ascii="Cambria" w:hAnsi="Cambria" w:cs="Times New Roman"/>
          <w:iCs/>
          <w:sz w:val="22"/>
        </w:rPr>
        <w:t xml:space="preserve">, </w:t>
      </w:r>
      <w:r w:rsidR="00261515">
        <w:rPr>
          <w:rFonts w:ascii="Cambria" w:hAnsi="Cambria" w:cs="Times New Roman"/>
          <w:iCs/>
          <w:sz w:val="22"/>
        </w:rPr>
        <w:t>Guillaume Bidaut, Giulia D’Albenzio</w:t>
      </w:r>
      <w:r>
        <w:rPr>
          <w:rFonts w:ascii="Cambria" w:hAnsi="Cambria" w:cs="Times New Roman"/>
          <w:iCs/>
          <w:sz w:val="22"/>
        </w:rPr>
        <w:t xml:space="preserve"> </w:t>
      </w:r>
    </w:p>
    <w:p w14:paraId="14E157FD" w14:textId="77777777"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sz w:val="22"/>
        </w:rPr>
      </w:pPr>
    </w:p>
    <w:p w14:paraId="23F9523D" w14:textId="77777777"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2ED4B305" w14:textId="77777777" w:rsidR="00CC34B3" w:rsidRPr="003E044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color w:val="C00000"/>
          <w:sz w:val="22"/>
        </w:rPr>
      </w:pPr>
      <w:r w:rsidRPr="00D87E98">
        <w:rPr>
          <w:rFonts w:ascii="Cambria" w:eastAsia="ArialNarrow,Bold" w:hAnsi="Cambria" w:cs="Times New Roman"/>
          <w:bCs/>
          <w:iCs/>
          <w:color w:val="C00000"/>
          <w:sz w:val="22"/>
          <w:u w:val="single"/>
        </w:rPr>
        <w:t>Sujet du cours</w:t>
      </w:r>
      <w:r w:rsidRPr="003E0448">
        <w:rPr>
          <w:rFonts w:ascii="Cambria" w:eastAsia="ArialNarrow,Bold" w:hAnsi="Cambria" w:cs="Times New Roman"/>
          <w:bCs/>
          <w:iCs/>
          <w:color w:val="C00000"/>
          <w:sz w:val="22"/>
        </w:rPr>
        <w:t xml:space="preserve"> : </w:t>
      </w:r>
      <w:r w:rsidRPr="003E0448">
        <w:rPr>
          <w:rFonts w:ascii="Cambria" w:hAnsi="Cambria" w:cs="Times New Roman"/>
          <w:iCs/>
          <w:color w:val="C00000"/>
          <w:sz w:val="22"/>
        </w:rPr>
        <w:t>Comment l’Europe a découvert et étudié l’Orient médiéval</w:t>
      </w:r>
    </w:p>
    <w:p w14:paraId="30E49DE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4D89C37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L’Orient médiéval – Empire byzantin, pays d’Islam, Etats croisés – représente tour à tour pour l’Europe un motif de fascination, un objet d’étude, la peur de l’Autre, une part de son histoire.</w:t>
      </w:r>
    </w:p>
    <w:p w14:paraId="391D6AD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Par quelles voies l’Europe a-t-elle découvert et étudié l’Orient médiéval ? Sur quelles bases a-t-elle construit un savoir sur l’Orient médiéval ?</w:t>
      </w:r>
    </w:p>
    <w:p w14:paraId="3898076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Le cours traite :</w:t>
      </w:r>
    </w:p>
    <w:p w14:paraId="3B5FEF3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au premier semestre, de la découverte progressive de « l’Orient », qui s’accompagne d’une justification croissante de la « supériorité du monde occidental » par rapport à l’Autre oriental, à partir de l’époque moderne.</w:t>
      </w:r>
    </w:p>
    <w:p w14:paraId="6A6864F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color w:val="008000"/>
          <w:sz w:val="22"/>
        </w:rPr>
      </w:pPr>
      <w:r w:rsidRPr="00CB5007">
        <w:rPr>
          <w:rFonts w:ascii="Cambria" w:hAnsi="Cambria" w:cs="Times New Roman"/>
          <w:b w:val="0"/>
          <w:iCs/>
          <w:sz w:val="22"/>
        </w:rPr>
        <w:t>- au second semestre, des débats sur l’étude de l’Orient qui ont traversé le XX</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siècle, en se concentrant sur la manière dont a été appréhendée la notion d’« empire », déclinée en byzantin et islamique. On insistera en particulier sur les différences entre ces deux constructions impériales telles qu’elles ont été mises en lumière par les historiens au cours des dernières décennies</w:t>
      </w:r>
      <w:r w:rsidRPr="00CB5007">
        <w:rPr>
          <w:rFonts w:ascii="Cambria" w:hAnsi="Cambria" w:cs="Times New Roman"/>
          <w:b w:val="0"/>
          <w:iCs/>
          <w:color w:val="008000"/>
          <w:sz w:val="22"/>
        </w:rPr>
        <w:t>.</w:t>
      </w:r>
    </w:p>
    <w:p w14:paraId="41F772F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D01350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Cursus :</w:t>
      </w:r>
    </w:p>
    <w:p w14:paraId="425C579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6B97F91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Cet enseignement est un complément utile aux modules d’histoire médiévale de l’Orient (Byzance, Islam, Méditerranée).</w:t>
      </w:r>
    </w:p>
    <w:p w14:paraId="403CCA8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773202E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Pour les étudiants qui choisiront le parcours recherche, il est vivement conseillé de suivre les cours de langue des sources (arabe, grec, latin, etc.), mais ce n’est en aucune manière obligatoire.</w:t>
      </w:r>
    </w:p>
    <w:p w14:paraId="54A5D5F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790E6FB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Cet enseignement peut être suivi de manière autonome par les étudiants intéressés et ne requiert aucune compétence linguistique spécifique.</w:t>
      </w:r>
    </w:p>
    <w:p w14:paraId="39E0E3E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392CFE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323FC93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5416D7BC"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B5F2D3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5D55D89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16200C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67C3A9E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585AE3A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Pour une première approche, lire</w:t>
      </w:r>
    </w:p>
    <w:p w14:paraId="31DD6A5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6458D89"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Jack </w:t>
      </w:r>
      <w:r w:rsidRPr="00CB5007">
        <w:rPr>
          <w:rFonts w:ascii="Cambria" w:hAnsi="Cambria" w:cs="Times New Roman"/>
          <w:b w:val="0"/>
          <w:iCs/>
          <w:smallCaps/>
          <w:sz w:val="22"/>
        </w:rPr>
        <w:t>Goody</w:t>
      </w:r>
      <w:r w:rsidRPr="00CB5007">
        <w:rPr>
          <w:rFonts w:ascii="Cambria" w:hAnsi="Cambria" w:cs="Times New Roman"/>
          <w:b w:val="0"/>
          <w:iCs/>
          <w:sz w:val="22"/>
        </w:rPr>
        <w:t>, Le vol de l’histoire. Comment l’Europe a imposé le récit de son passé au reste du monde, Paris, 2010 (1ere éd. en anglais 2006)</w:t>
      </w:r>
    </w:p>
    <w:p w14:paraId="055372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Henri </w:t>
      </w:r>
      <w:r w:rsidRPr="00CB5007">
        <w:rPr>
          <w:rFonts w:ascii="Cambria" w:hAnsi="Cambria" w:cs="Times New Roman"/>
          <w:b w:val="0"/>
          <w:iCs/>
          <w:smallCaps/>
          <w:sz w:val="22"/>
        </w:rPr>
        <w:t>Laurens</w:t>
      </w:r>
      <w:r w:rsidRPr="00CB5007">
        <w:rPr>
          <w:rFonts w:ascii="Cambria" w:hAnsi="Cambria" w:cs="Times New Roman"/>
          <w:b w:val="0"/>
          <w:iCs/>
          <w:sz w:val="22"/>
        </w:rPr>
        <w:t xml:space="preserve">, John </w:t>
      </w:r>
      <w:r w:rsidRPr="00CB5007">
        <w:rPr>
          <w:rFonts w:ascii="Cambria" w:hAnsi="Cambria" w:cs="Times New Roman"/>
          <w:b w:val="0"/>
          <w:iCs/>
          <w:smallCaps/>
          <w:sz w:val="22"/>
        </w:rPr>
        <w:t>Tolan</w:t>
      </w:r>
      <w:r w:rsidRPr="00CB5007">
        <w:rPr>
          <w:rFonts w:ascii="Cambria" w:hAnsi="Cambria" w:cs="Times New Roman"/>
          <w:b w:val="0"/>
          <w:iCs/>
          <w:sz w:val="22"/>
        </w:rPr>
        <w:t xml:space="preserve">, Gilles </w:t>
      </w:r>
      <w:r w:rsidRPr="00CB5007">
        <w:rPr>
          <w:rFonts w:ascii="Cambria" w:hAnsi="Cambria" w:cs="Times New Roman"/>
          <w:b w:val="0"/>
          <w:iCs/>
          <w:smallCaps/>
          <w:sz w:val="22"/>
        </w:rPr>
        <w:t>Veinstein</w:t>
      </w:r>
      <w:r w:rsidRPr="00CB5007">
        <w:rPr>
          <w:rFonts w:ascii="Cambria" w:hAnsi="Cambria" w:cs="Times New Roman"/>
          <w:b w:val="0"/>
          <w:iCs/>
          <w:sz w:val="22"/>
        </w:rPr>
        <w:t>, L’Europe et l’Islam. Quinze siècles d’histoire, Paris 2009</w:t>
      </w:r>
    </w:p>
    <w:p w14:paraId="6D6BA8E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Évelyne </w:t>
      </w:r>
      <w:r w:rsidRPr="00CB5007">
        <w:rPr>
          <w:rFonts w:ascii="Cambria" w:hAnsi="Cambria" w:cs="Times New Roman"/>
          <w:b w:val="0"/>
          <w:iCs/>
          <w:smallCaps/>
          <w:sz w:val="22"/>
        </w:rPr>
        <w:t>Patlagean</w:t>
      </w:r>
      <w:r w:rsidRPr="00CB5007">
        <w:rPr>
          <w:rFonts w:ascii="Cambria" w:hAnsi="Cambria" w:cs="Times New Roman"/>
          <w:b w:val="0"/>
          <w:iCs/>
          <w:sz w:val="22"/>
        </w:rPr>
        <w:t>, Un Moyen Âge grec. Byzance IX</w:t>
      </w:r>
      <w:r w:rsidRPr="00CB5007">
        <w:rPr>
          <w:rFonts w:ascii="Cambria" w:hAnsi="Cambria" w:cs="Times New Roman"/>
          <w:b w:val="0"/>
          <w:iCs/>
          <w:sz w:val="22"/>
          <w:vertAlign w:val="superscript"/>
        </w:rPr>
        <w:t>e</w:t>
      </w:r>
      <w:r w:rsidRPr="00CB5007">
        <w:rPr>
          <w:rFonts w:ascii="Cambria" w:hAnsi="Cambria" w:cs="Times New Roman"/>
          <w:b w:val="0"/>
          <w:iCs/>
          <w:sz w:val="22"/>
        </w:rPr>
        <w:t>-XV</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siècle, Paris 2007</w:t>
      </w:r>
    </w:p>
    <w:p w14:paraId="563AE34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bCs/>
          <w:iCs/>
          <w:sz w:val="22"/>
        </w:rPr>
        <w:t>Maxime R</w:t>
      </w:r>
      <w:r w:rsidRPr="00CB5007">
        <w:rPr>
          <w:rFonts w:ascii="Cambria" w:hAnsi="Cambria" w:cs="Times New Roman"/>
          <w:b w:val="0"/>
          <w:bCs/>
          <w:iCs/>
          <w:smallCaps/>
          <w:sz w:val="22"/>
        </w:rPr>
        <w:t>odinson</w:t>
      </w:r>
      <w:r w:rsidRPr="00CB5007">
        <w:rPr>
          <w:rFonts w:ascii="Cambria" w:hAnsi="Cambria" w:cs="Times New Roman"/>
          <w:b w:val="0"/>
          <w:iCs/>
          <w:sz w:val="22"/>
        </w:rPr>
        <w:t>, La fascination de l’Islam, Paris 1982</w:t>
      </w:r>
    </w:p>
    <w:p w14:paraId="2C2F154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Edward </w:t>
      </w:r>
      <w:r w:rsidRPr="00CB5007">
        <w:rPr>
          <w:rFonts w:ascii="Cambria" w:eastAsia="ArialNarrow,Bold" w:hAnsi="Cambria" w:cs="Times New Roman"/>
          <w:b w:val="0"/>
          <w:bCs/>
          <w:iCs/>
          <w:smallCaps/>
          <w:sz w:val="22"/>
        </w:rPr>
        <w:t>Said</w:t>
      </w:r>
      <w:r w:rsidRPr="00CB5007">
        <w:rPr>
          <w:rFonts w:ascii="Cambria" w:hAnsi="Cambria" w:cs="Times New Roman"/>
          <w:b w:val="0"/>
          <w:iCs/>
          <w:sz w:val="22"/>
        </w:rPr>
        <w:t>, L’orientalisme. L’Orient créé par l’Occident, nouvelle éd. Paris 2005</w:t>
      </w:r>
    </w:p>
    <w:p w14:paraId="254F4A5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6DE48C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Une bibliographie complète sera donnée durant les cours.</w:t>
      </w:r>
    </w:p>
    <w:p w14:paraId="73FE5FD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0AED655"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E6122AA"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F7BBE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957A5D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282281C"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6498F7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F10B0A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5E55BEE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A895B4B"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228008A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24D83E7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6E2231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C6A0A5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B1BA0A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DEEA94A"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E1637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CB07436" w14:textId="77777777" w:rsidR="00CC34B3"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E33DFC7" w14:textId="77777777" w:rsidR="003C4573"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B33B0B3" w14:textId="77777777" w:rsidR="003C4573"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DB963F2" w14:textId="77777777" w:rsidR="003C4573" w:rsidRPr="00CB5007"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E0F52D3" w14:textId="77777777" w:rsidR="00CC34B3" w:rsidRDefault="00CC34B3"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7623EFE4" w14:textId="77777777" w:rsidR="005D3047" w:rsidRPr="00E2047E"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E2047E">
        <w:rPr>
          <w:rFonts w:ascii="Cambria" w:hAnsi="Cambria"/>
          <w:iCs/>
          <w:color w:val="C00000"/>
          <w:sz w:val="28"/>
          <w:szCs w:val="28"/>
        </w:rPr>
        <w:t>J3012125-J3011225- Arabe pour historiens. Du codex au texte</w:t>
      </w:r>
    </w:p>
    <w:p w14:paraId="5BB6F7A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547F5B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 xml:space="preserve">Sébastien Garnier </w:t>
      </w:r>
    </w:p>
    <w:p w14:paraId="1C04A44E"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79200944" w14:textId="77777777" w:rsidR="005D3047" w:rsidRPr="00CB5007" w:rsidRDefault="005D3047" w:rsidP="005D3047">
      <w:pPr>
        <w:spacing w:line="276" w:lineRule="auto"/>
        <w:jc w:val="both"/>
        <w:rPr>
          <w:rFonts w:ascii="Cambria" w:hAnsi="Cambria" w:cs="Times New Roman"/>
          <w:b w:val="0"/>
          <w:bCs/>
          <w:color w:val="000000" w:themeColor="text1"/>
          <w:sz w:val="22"/>
        </w:rPr>
      </w:pPr>
      <w:r w:rsidRPr="00CB5007">
        <w:rPr>
          <w:rFonts w:ascii="Cambria" w:hAnsi="Cambria" w:cs="Times New Roman"/>
          <w:b w:val="0"/>
          <w:bCs/>
          <w:sz w:val="22"/>
        </w:rPr>
        <w:t xml:space="preserve">Ce cours annuel est ouvert aux étudiants ayant un niveau N4 ou N5 (pour les N3, contacter l’enseignant). Il vise à les accompagner dans leur approche des documents en arabe produits avant la période contemporaine, publiés ou non. La priorité est accordée aux manuscrits, sans exclure pour autant des actes de la pratique quotidienne. Une partie des séances se déroule </w:t>
      </w:r>
      <w:r w:rsidRPr="00CB5007">
        <w:rPr>
          <w:rFonts w:ascii="Cambria" w:hAnsi="Cambria" w:cs="Times New Roman"/>
          <w:b w:val="0"/>
          <w:bCs/>
          <w:color w:val="000000" w:themeColor="text1"/>
          <w:sz w:val="22"/>
        </w:rPr>
        <w:t>dans les lieux de conservation des documents (BULAC).</w:t>
      </w:r>
    </w:p>
    <w:p w14:paraId="5D107A1A"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sym w:font="Wingdings" w:char="F0E8"/>
      </w:r>
      <w:r w:rsidRPr="00CB5007">
        <w:rPr>
          <w:rFonts w:ascii="Cambria" w:hAnsi="Cambria" w:cs="Times New Roman"/>
          <w:b w:val="0"/>
          <w:bCs/>
          <w:sz w:val="22"/>
        </w:rPr>
        <w:t xml:space="preserve"> Les étudiants doivent impérativement s’inscrire à la BULAC dès la rentrée universitaire : </w:t>
      </w:r>
      <w:hyperlink r:id="rId26" w:history="1">
        <w:r w:rsidRPr="00CB5007">
          <w:rPr>
            <w:rStyle w:val="Lienhypertexte"/>
            <w:rFonts w:ascii="Cambria" w:hAnsi="Cambria" w:cs="Times New Roman"/>
            <w:b w:val="0"/>
            <w:bCs/>
            <w:sz w:val="22"/>
          </w:rPr>
          <w:t>https://www.bulac.fr/sinscrire</w:t>
        </w:r>
      </w:hyperlink>
      <w:r w:rsidRPr="00CB5007">
        <w:rPr>
          <w:rFonts w:ascii="Cambria" w:hAnsi="Cambria" w:cs="Times New Roman"/>
          <w:b w:val="0"/>
          <w:bCs/>
          <w:sz w:val="22"/>
        </w:rPr>
        <w:t>. Ils auront rapidement besoin d’utiliser leur carte de bibliothèque.</w:t>
      </w:r>
    </w:p>
    <w:p w14:paraId="5C290FC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iCs/>
          <w:sz w:val="22"/>
        </w:rPr>
      </w:pPr>
    </w:p>
    <w:p w14:paraId="2E4F71C7"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r w:rsidRPr="00CB5007">
        <w:rPr>
          <w:rFonts w:ascii="Cambria" w:hAnsi="Cambria" w:cs="Times New Roman"/>
          <w:b w:val="0"/>
          <w:bCs/>
          <w:sz w:val="22"/>
        </w:rPr>
        <w:t xml:space="preserve">Le premier semestre sensibilise les étudiants aux écrits pré-modernes avec pour fil conducteur </w:t>
      </w:r>
      <w:r w:rsidRPr="00CB5007">
        <w:rPr>
          <w:rFonts w:ascii="Cambria" w:hAnsi="Cambria" w:cs="Times New Roman"/>
          <w:b w:val="0"/>
          <w:bCs/>
          <w:i/>
          <w:iCs/>
          <w:sz w:val="22"/>
        </w:rPr>
        <w:t>l’identification</w:t>
      </w:r>
      <w:r w:rsidRPr="00CB5007">
        <w:rPr>
          <w:rFonts w:ascii="Cambria" w:hAnsi="Cambria" w:cs="Times New Roman"/>
          <w:b w:val="0"/>
          <w:bCs/>
          <w:sz w:val="22"/>
        </w:rPr>
        <w:t xml:space="preserve"> </w:t>
      </w:r>
      <w:r w:rsidRPr="00CB5007">
        <w:rPr>
          <w:rFonts w:ascii="Cambria" w:hAnsi="Cambria" w:cs="Times New Roman"/>
          <w:b w:val="0"/>
          <w:bCs/>
          <w:color w:val="000000" w:themeColor="text1"/>
          <w:sz w:val="22"/>
        </w:rPr>
        <w:t>des documents</w:t>
      </w:r>
      <w:r w:rsidRPr="00CB5007">
        <w:rPr>
          <w:rFonts w:ascii="Cambria" w:hAnsi="Cambria" w:cs="Times New Roman"/>
          <w:b w:val="0"/>
          <w:bCs/>
          <w:sz w:val="22"/>
        </w:rPr>
        <w:t>. Un panorama initial des fonds accessibles fournit une mesure indicative de collections variées et des enjeux qui s’y rattachent, afin d’en dresser une typologie. Les étudiants apprendront à se servir des usuels et des principaux sites Internet spécialisés pour repérer les manuscrits. Ils s’entraîneront à décrire des exemplaires en suivant une méthode codicologique simple, « de l’extérieur vers l’intérieur » : reliure, papier, graphie, inscriptions. Les étudiants seront ensuite invités à rédiger eux-</w:t>
      </w:r>
      <w:r w:rsidRPr="00CB5007">
        <w:rPr>
          <w:rFonts w:ascii="Cambria" w:hAnsi="Cambria" w:cs="Times New Roman"/>
          <w:b w:val="0"/>
          <w:bCs/>
          <w:sz w:val="22"/>
          <w:lang w:val="x-none"/>
        </w:rPr>
        <w:t>mêmes de brèves fiches à partir d’artefacts authentiques</w:t>
      </w:r>
      <w:r w:rsidRPr="00CB5007">
        <w:rPr>
          <w:rFonts w:ascii="Cambria" w:hAnsi="Cambria" w:cs="Times New Roman"/>
          <w:b w:val="0"/>
          <w:bCs/>
          <w:sz w:val="22"/>
        </w:rPr>
        <w:t>.</w:t>
      </w:r>
    </w:p>
    <w:p w14:paraId="38CCBE61"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21B055F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r w:rsidRPr="00CB5007">
        <w:rPr>
          <w:rFonts w:ascii="Cambria" w:hAnsi="Cambria" w:cs="Times New Roman"/>
          <w:b w:val="0"/>
          <w:bCs/>
          <w:sz w:val="22"/>
        </w:rPr>
        <w:t>Le second semestre poursuit ce parcours en privilégiant le déchiffrement. Désormais les contenus priment. Il s’agit tout d’abord de comprendre un texte à différents niveaux, du global vers le détail ; en insistant sur la capacité qu’a un arabisant faux-débutant à repérer le sujet et ses articulations. A cette fin, des extraits représentatifs de grands genres littéraire sont soumis à l’analyse et des passages clefs traduits. Le dernier volet de la formation se focalise sur l’édition scientifique en exposant quelques règles à suivre tout en soulignant les choix auxquels les chercheuses se trouvent immanquablement confrontés.</w:t>
      </w:r>
    </w:p>
    <w:p w14:paraId="04DEF6EB"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8B35774"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7C96273F"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276C8DB4"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0A8508F0" w14:textId="77777777" w:rsidR="005D3047" w:rsidRPr="00CB5007" w:rsidRDefault="005D3047" w:rsidP="005D3047">
      <w:pPr>
        <w:spacing w:line="276" w:lineRule="auto"/>
        <w:jc w:val="both"/>
        <w:rPr>
          <w:rFonts w:ascii="Cambria" w:hAnsi="Cambria" w:cs="Times New Roman"/>
          <w:b w:val="0"/>
          <w:bCs/>
          <w:sz w:val="22"/>
          <w:u w:val="single"/>
        </w:rPr>
      </w:pPr>
      <w:r w:rsidRPr="00CB5007">
        <w:rPr>
          <w:rFonts w:ascii="Cambria" w:hAnsi="Cambria" w:cs="Times New Roman"/>
          <w:b w:val="0"/>
          <w:bCs/>
          <w:sz w:val="22"/>
          <w:u w:val="single"/>
        </w:rPr>
        <w:t>Usuels</w:t>
      </w:r>
    </w:p>
    <w:p w14:paraId="2CB48ACC"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Carl Brockelmann, </w:t>
      </w:r>
      <w:r w:rsidRPr="00CB5007">
        <w:rPr>
          <w:rFonts w:ascii="Cambria" w:hAnsi="Cambria" w:cs="Times New Roman"/>
          <w:b w:val="0"/>
          <w:bCs/>
          <w:i/>
          <w:iCs/>
          <w:sz w:val="22"/>
        </w:rPr>
        <w:t>Geschichte der arabischen Litteratur</w:t>
      </w:r>
      <w:r w:rsidRPr="00CB5007">
        <w:rPr>
          <w:rFonts w:ascii="Cambria" w:hAnsi="Cambria" w:cs="Times New Roman"/>
          <w:b w:val="0"/>
          <w:bCs/>
          <w:sz w:val="22"/>
        </w:rPr>
        <w:t>, Leyde, Brill, 1996 (nouvelle édition en 6 vols, préfacée par J.J. Witkam ; anc. 2 vols + 3 suppl.)</w:t>
      </w:r>
    </w:p>
    <w:p w14:paraId="253D8303" w14:textId="77777777" w:rsidR="005D3047" w:rsidRPr="00CB5007" w:rsidRDefault="00000000" w:rsidP="005D3047">
      <w:pPr>
        <w:spacing w:line="276" w:lineRule="auto"/>
        <w:jc w:val="both"/>
        <w:rPr>
          <w:rFonts w:ascii="Cambria" w:hAnsi="Cambria" w:cs="Times New Roman"/>
          <w:b w:val="0"/>
          <w:bCs/>
          <w:sz w:val="22"/>
        </w:rPr>
      </w:pPr>
      <w:hyperlink r:id="rId27" w:history="1">
        <w:r w:rsidR="005D3047" w:rsidRPr="00CB5007">
          <w:rPr>
            <w:rStyle w:val="Lienhypertexte"/>
            <w:rFonts w:ascii="Cambria" w:hAnsi="Cambria" w:cs="Times New Roman"/>
            <w:b w:val="0"/>
            <w:bCs/>
            <w:sz w:val="22"/>
          </w:rPr>
          <w:t>https://referenceworks.brill.com/display/db/broo</w:t>
        </w:r>
      </w:hyperlink>
    </w:p>
    <w:p w14:paraId="43D7C7D5"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Adam Gacek, </w:t>
      </w:r>
      <w:r w:rsidRPr="00CB5007">
        <w:rPr>
          <w:rFonts w:ascii="Cambria" w:hAnsi="Cambria" w:cs="Times New Roman"/>
          <w:b w:val="0"/>
          <w:bCs/>
          <w:i/>
          <w:iCs/>
          <w:sz w:val="22"/>
          <w:lang w:val="en-US"/>
        </w:rPr>
        <w:t>Arabic Manuscripts. A Vademecum for Readers</w:t>
      </w:r>
      <w:r w:rsidRPr="00CB5007">
        <w:rPr>
          <w:rFonts w:ascii="Cambria" w:hAnsi="Cambria" w:cs="Times New Roman"/>
          <w:b w:val="0"/>
          <w:bCs/>
          <w:sz w:val="22"/>
          <w:lang w:val="en-US"/>
        </w:rPr>
        <w:t>, Leyde, Brill, 2012.</w:t>
      </w:r>
    </w:p>
    <w:p w14:paraId="481A03A1"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Adam Gacek, </w:t>
      </w:r>
      <w:r w:rsidRPr="00CB5007">
        <w:rPr>
          <w:rFonts w:ascii="Cambria" w:hAnsi="Cambria" w:cs="Times New Roman"/>
          <w:b w:val="0"/>
          <w:bCs/>
          <w:i/>
          <w:iCs/>
          <w:sz w:val="22"/>
          <w:lang w:val="en-US"/>
        </w:rPr>
        <w:t>The Arabic Manuscript Tradition. A Glossary of Technical Terms and Bibliography</w:t>
      </w:r>
      <w:r w:rsidRPr="00CB5007">
        <w:rPr>
          <w:rFonts w:ascii="Cambria" w:hAnsi="Cambria" w:cs="Times New Roman"/>
          <w:b w:val="0"/>
          <w:bCs/>
          <w:sz w:val="22"/>
          <w:lang w:val="en-US"/>
        </w:rPr>
        <w:t>, Leyde, Brill, 2012 [+ Supplement].</w:t>
      </w:r>
    </w:p>
    <w:p w14:paraId="290A1BBE"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Fuat Sezgin, </w:t>
      </w:r>
      <w:r w:rsidRPr="00CB5007">
        <w:rPr>
          <w:rFonts w:ascii="Cambria" w:hAnsi="Cambria" w:cs="Times New Roman"/>
          <w:b w:val="0"/>
          <w:bCs/>
          <w:i/>
          <w:iCs/>
          <w:sz w:val="22"/>
        </w:rPr>
        <w:t>Geschichte des arabischen Schrifttums</w:t>
      </w:r>
      <w:r w:rsidRPr="00CB5007">
        <w:rPr>
          <w:rFonts w:ascii="Cambria" w:hAnsi="Cambria" w:cs="Times New Roman"/>
          <w:b w:val="0"/>
          <w:bCs/>
          <w:sz w:val="22"/>
        </w:rPr>
        <w:t>, Leyde, Brill, 1974-1996.</w:t>
      </w:r>
    </w:p>
    <w:p w14:paraId="03D72337" w14:textId="77777777" w:rsidR="005D3047" w:rsidRPr="00CB5007" w:rsidRDefault="00000000" w:rsidP="005D3047">
      <w:pPr>
        <w:spacing w:line="276" w:lineRule="auto"/>
        <w:jc w:val="both"/>
        <w:rPr>
          <w:rFonts w:ascii="Cambria" w:hAnsi="Cambria" w:cs="Times New Roman"/>
          <w:b w:val="0"/>
          <w:bCs/>
          <w:sz w:val="22"/>
        </w:rPr>
      </w:pPr>
      <w:hyperlink r:id="rId28" w:history="1">
        <w:r w:rsidR="005D3047" w:rsidRPr="00CB5007">
          <w:rPr>
            <w:rStyle w:val="Lienhypertexte"/>
            <w:rFonts w:ascii="Cambria" w:hAnsi="Cambria" w:cs="Times New Roman"/>
            <w:b w:val="0"/>
            <w:bCs/>
            <w:sz w:val="22"/>
          </w:rPr>
          <w:t>https://brill.com/display/serial/GAS</w:t>
        </w:r>
      </w:hyperlink>
      <w:r w:rsidR="005D3047" w:rsidRPr="00CB5007">
        <w:rPr>
          <w:rFonts w:ascii="Cambria" w:hAnsi="Cambria" w:cs="Times New Roman"/>
          <w:b w:val="0"/>
          <w:bCs/>
          <w:sz w:val="22"/>
        </w:rPr>
        <w:t xml:space="preserve">  </w:t>
      </w:r>
    </w:p>
    <w:p w14:paraId="6F6EAAA0" w14:textId="77777777" w:rsidR="005D3047" w:rsidRPr="00CB5007" w:rsidRDefault="005D3047" w:rsidP="005D3047">
      <w:pPr>
        <w:spacing w:line="276" w:lineRule="auto"/>
        <w:jc w:val="both"/>
        <w:rPr>
          <w:rFonts w:ascii="Cambria" w:hAnsi="Cambria" w:cs="Times New Roman"/>
          <w:b w:val="0"/>
          <w:bCs/>
          <w:sz w:val="22"/>
        </w:rPr>
      </w:pPr>
    </w:p>
    <w:p w14:paraId="0394BE6E" w14:textId="77777777" w:rsidR="005D3047" w:rsidRPr="00CB5007" w:rsidRDefault="005D3047" w:rsidP="005D3047">
      <w:pPr>
        <w:spacing w:line="276" w:lineRule="auto"/>
        <w:jc w:val="both"/>
        <w:rPr>
          <w:rFonts w:ascii="Cambria" w:hAnsi="Cambria" w:cs="Times New Roman"/>
          <w:b w:val="0"/>
          <w:bCs/>
          <w:sz w:val="22"/>
          <w:u w:val="single"/>
        </w:rPr>
      </w:pPr>
      <w:r w:rsidRPr="00CB5007">
        <w:rPr>
          <w:rFonts w:ascii="Cambria" w:hAnsi="Cambria" w:cs="Times New Roman"/>
          <w:b w:val="0"/>
          <w:bCs/>
          <w:sz w:val="22"/>
          <w:u w:val="single"/>
        </w:rPr>
        <w:t>Références</w:t>
      </w:r>
    </w:p>
    <w:p w14:paraId="7C5A30A3"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François Déroche, </w:t>
      </w:r>
      <w:r w:rsidRPr="00CB5007">
        <w:rPr>
          <w:rFonts w:ascii="Cambria" w:hAnsi="Cambria" w:cs="Times New Roman"/>
          <w:b w:val="0"/>
          <w:bCs/>
          <w:i/>
          <w:iCs/>
          <w:sz w:val="22"/>
        </w:rPr>
        <w:t>Le livre manuscrit arabe. Préludes à une histoire</w:t>
      </w:r>
      <w:r w:rsidRPr="00CB5007">
        <w:rPr>
          <w:rFonts w:ascii="Cambria" w:hAnsi="Cambria" w:cs="Times New Roman"/>
          <w:b w:val="0"/>
          <w:bCs/>
          <w:sz w:val="22"/>
        </w:rPr>
        <w:t>, Paris, BnF, 2004.</w:t>
      </w:r>
    </w:p>
    <w:p w14:paraId="2B08E3A3"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François Déroche, </w:t>
      </w:r>
      <w:r w:rsidRPr="00CB5007">
        <w:rPr>
          <w:rFonts w:ascii="Cambria" w:hAnsi="Cambria" w:cs="Times New Roman"/>
          <w:b w:val="0"/>
          <w:bCs/>
          <w:i/>
          <w:iCs/>
          <w:sz w:val="22"/>
          <w:lang w:val="en-US"/>
        </w:rPr>
        <w:t>Islamic Codicology. An Introduction to the Study of Manuscripts in Arabic Script</w:t>
      </w:r>
      <w:r w:rsidRPr="00CB5007">
        <w:rPr>
          <w:rFonts w:ascii="Cambria" w:hAnsi="Cambria" w:cs="Times New Roman"/>
          <w:b w:val="0"/>
          <w:bCs/>
          <w:sz w:val="22"/>
          <w:lang w:val="en-US"/>
        </w:rPr>
        <w:t>, Londres, Al-Furqān Islamic Heritage Foundation [English translation], 2006.</w:t>
      </w:r>
    </w:p>
    <w:p w14:paraId="0F11B8F6"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Jan Just Witkam, </w:t>
      </w:r>
      <w:r w:rsidRPr="00CB5007">
        <w:rPr>
          <w:rFonts w:ascii="Cambria" w:hAnsi="Cambria" w:cs="Times New Roman"/>
          <w:b w:val="0"/>
          <w:bCs/>
          <w:i/>
          <w:iCs/>
          <w:sz w:val="22"/>
          <w:lang w:val="en-US"/>
        </w:rPr>
        <w:t>From codicology to the history of the Islamic book</w:t>
      </w:r>
      <w:r w:rsidRPr="00CB5007">
        <w:rPr>
          <w:rFonts w:ascii="Cambria" w:hAnsi="Cambria" w:cs="Times New Roman"/>
          <w:b w:val="0"/>
          <w:bCs/>
          <w:sz w:val="22"/>
          <w:lang w:val="en-US"/>
        </w:rPr>
        <w:t>, Leyde, Ter Lugt Press, 2021.</w:t>
      </w:r>
    </w:p>
    <w:p w14:paraId="35F1798E" w14:textId="77777777" w:rsidR="005D304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bCs/>
          <w:iCs/>
          <w:sz w:val="22"/>
          <w:lang w:val="en-US"/>
        </w:rPr>
      </w:pPr>
    </w:p>
    <w:p w14:paraId="0BD0FB4E"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bCs/>
          <w:iCs/>
          <w:sz w:val="22"/>
          <w:lang w:val="en-US"/>
        </w:rPr>
      </w:pPr>
    </w:p>
    <w:p w14:paraId="6B459415"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lang w:val="en-US"/>
        </w:rPr>
      </w:pPr>
    </w:p>
    <w:p w14:paraId="2B4B0EB3" w14:textId="77777777" w:rsidR="00AB006F" w:rsidRDefault="00AB006F" w:rsidP="005D3047">
      <w:pPr>
        <w:jc w:val="both"/>
        <w:rPr>
          <w:rFonts w:ascii="Cambria" w:hAnsi="Cambria" w:cs="Times New Roman"/>
          <w:iCs/>
          <w:sz w:val="22"/>
          <w:lang w:val="en-US"/>
        </w:rPr>
      </w:pPr>
    </w:p>
    <w:p w14:paraId="677C4737" w14:textId="77777777" w:rsidR="003C4573" w:rsidRPr="003C4573" w:rsidRDefault="003C4573" w:rsidP="005D3047">
      <w:pPr>
        <w:jc w:val="both"/>
        <w:rPr>
          <w:rFonts w:ascii="Cambria" w:hAnsi="Cambria" w:cs="Times New Roman"/>
          <w:iCs/>
          <w:sz w:val="22"/>
          <w:lang w:val="en-US"/>
        </w:rPr>
      </w:pPr>
    </w:p>
    <w:p w14:paraId="2347337A" w14:textId="202F92FF" w:rsidR="005D3047" w:rsidRPr="00525A1C" w:rsidRDefault="005D3047" w:rsidP="005D3047">
      <w:pPr>
        <w:jc w:val="both"/>
        <w:rPr>
          <w:rFonts w:ascii="Cambria" w:hAnsi="Cambria" w:cs="Times New Roman"/>
          <w:iCs/>
          <w:sz w:val="22"/>
        </w:rPr>
      </w:pPr>
      <w:r w:rsidRPr="00525A1C">
        <w:rPr>
          <w:rFonts w:ascii="Cambria" w:hAnsi="Cambria" w:cs="Times New Roman"/>
          <w:iCs/>
          <w:sz w:val="22"/>
        </w:rPr>
        <w:t>L’étudiant choisit l’enseignement de paléographie française ou l’enseignement de paléographie latine.</w:t>
      </w:r>
    </w:p>
    <w:p w14:paraId="2C79631D" w14:textId="77777777" w:rsidR="000D2980" w:rsidRDefault="005D3047" w:rsidP="00E2047E">
      <w:pPr>
        <w:jc w:val="center"/>
        <w:rPr>
          <w:rFonts w:ascii="Cambria" w:hAnsi="Cambria" w:cs="Times New Roman"/>
          <w:iCs/>
          <w:color w:val="C00000"/>
          <w:sz w:val="28"/>
          <w:szCs w:val="28"/>
        </w:rPr>
      </w:pPr>
      <w:r w:rsidRPr="00E2047E">
        <w:rPr>
          <w:rFonts w:ascii="Cambria" w:hAnsi="Cambria" w:cs="Times New Roman"/>
          <w:iCs/>
          <w:color w:val="C00000"/>
          <w:sz w:val="28"/>
          <w:szCs w:val="28"/>
        </w:rPr>
        <w:t xml:space="preserve">J3015125/J3015225 Paléographie latine </w:t>
      </w:r>
    </w:p>
    <w:p w14:paraId="63FC8713" w14:textId="25D30BD3" w:rsidR="005D3047" w:rsidRPr="000D2980" w:rsidRDefault="005D3047" w:rsidP="00E2047E">
      <w:pPr>
        <w:jc w:val="center"/>
        <w:rPr>
          <w:rFonts w:ascii="Cambria" w:hAnsi="Cambria" w:cs="Times New Roman"/>
          <w:iCs/>
          <w:color w:val="C00000"/>
          <w:szCs w:val="24"/>
        </w:rPr>
      </w:pPr>
      <w:r w:rsidRPr="000D2980">
        <w:rPr>
          <w:rFonts w:ascii="Cambria" w:hAnsi="Cambria" w:cs="Times New Roman"/>
          <w:iCs/>
          <w:szCs w:val="24"/>
        </w:rPr>
        <w:t>(</w:t>
      </w:r>
      <w:r w:rsidR="00BC3B10" w:rsidRPr="000D2980">
        <w:rPr>
          <w:rFonts w:ascii="Cambria" w:hAnsi="Cambria" w:cs="Times New Roman"/>
          <w:iCs/>
          <w:szCs w:val="24"/>
        </w:rPr>
        <w:t>E. Schmit</w:t>
      </w:r>
      <w:r w:rsidRPr="000D2980">
        <w:rPr>
          <w:rFonts w:ascii="Cambria" w:hAnsi="Cambria" w:cs="Times New Roman"/>
          <w:iCs/>
          <w:szCs w:val="24"/>
        </w:rPr>
        <w:t xml:space="preserve">) </w:t>
      </w:r>
    </w:p>
    <w:p w14:paraId="69D6D2DE" w14:textId="77777777" w:rsidR="005D3047" w:rsidRPr="00525A1C" w:rsidRDefault="005D3047" w:rsidP="005D3047">
      <w:pPr>
        <w:spacing w:after="0" w:line="240" w:lineRule="auto"/>
        <w:rPr>
          <w:rFonts w:ascii="Cambria" w:hAnsi="Cambria" w:cs="Times New Roman"/>
          <w:bCs/>
          <w:sz w:val="22"/>
        </w:rPr>
      </w:pPr>
      <w:r w:rsidRPr="00525A1C">
        <w:rPr>
          <w:rFonts w:ascii="Cambria" w:hAnsi="Cambria" w:cs="Times New Roman"/>
          <w:bCs/>
          <w:sz w:val="22"/>
        </w:rPr>
        <w:t>Lundi 13 h-14 h, salle Perroy</w:t>
      </w:r>
    </w:p>
    <w:p w14:paraId="71648F39" w14:textId="317DFC81" w:rsidR="005D3047" w:rsidRPr="00525A1C" w:rsidRDefault="005D3047" w:rsidP="005D3047">
      <w:pPr>
        <w:spacing w:after="0" w:line="240" w:lineRule="auto"/>
        <w:jc w:val="both"/>
        <w:rPr>
          <w:rFonts w:ascii="Cambria" w:hAnsi="Cambria" w:cs="Times New Roman"/>
          <w:b w:val="0"/>
          <w:sz w:val="22"/>
        </w:rPr>
      </w:pPr>
      <w:r w:rsidRPr="00525A1C">
        <w:rPr>
          <w:rFonts w:ascii="Cambria" w:hAnsi="Cambria" w:cs="Times New Roman"/>
          <w:b w:val="0"/>
          <w:sz w:val="22"/>
        </w:rPr>
        <w:br/>
        <w:t xml:space="preserve">L'enseignement de paléographie s'adresse aux étudiants de L3 qui ont l'intention de faire un master en histoire du Moyen Âge, à partir de sources manuscrites latines. Mais il est ouvert à d'autres étudiants dont le projet de recherche futur, s'il y en a un, n'est pas encore arrêté. Il accueille aussi des étudiants de M1. Il accueille aussi des étudiants de M1 et du Master Patrimoine et Musées, option Archives. La connaissance du latin est nécessaire. Sa finalité est avant tout pratique : initier les étudiants aux écritures des </w:t>
      </w:r>
      <w:r w:rsidRPr="00525A1C">
        <w:rPr>
          <w:rFonts w:ascii="Cambria" w:hAnsi="Cambria" w:cs="Times New Roman"/>
          <w:b w:val="0"/>
          <w:smallCaps/>
          <w:sz w:val="22"/>
        </w:rPr>
        <w:t>ix</w:t>
      </w:r>
      <w:r w:rsidRPr="00525A1C">
        <w:rPr>
          <w:rFonts w:ascii="Cambria" w:hAnsi="Cambria" w:cs="Times New Roman"/>
          <w:b w:val="0"/>
          <w:sz w:val="22"/>
          <w:vertAlign w:val="superscript"/>
        </w:rPr>
        <w:t>e</w:t>
      </w:r>
      <w:r w:rsidRPr="00525A1C">
        <w:rPr>
          <w:rFonts w:ascii="Cambria" w:hAnsi="Cambria" w:cs="Times New Roman"/>
          <w:b w:val="0"/>
          <w:sz w:val="22"/>
        </w:rPr>
        <w:t>-</w:t>
      </w:r>
      <w:r w:rsidRPr="00525A1C">
        <w:rPr>
          <w:rFonts w:ascii="Cambria" w:hAnsi="Cambria" w:cs="Times New Roman"/>
          <w:b w:val="0"/>
          <w:smallCaps/>
          <w:sz w:val="22"/>
        </w:rPr>
        <w:t>xi</w:t>
      </w:r>
      <w:r w:rsidR="00201316" w:rsidRPr="00525A1C">
        <w:rPr>
          <w:rFonts w:ascii="Cambria" w:hAnsi="Cambria" w:cs="Times New Roman"/>
          <w:b w:val="0"/>
          <w:smallCaps/>
          <w:sz w:val="22"/>
        </w:rPr>
        <w:t>v</w:t>
      </w:r>
      <w:r w:rsidRPr="00525A1C">
        <w:rPr>
          <w:rFonts w:ascii="Cambria" w:hAnsi="Cambria" w:cs="Times New Roman"/>
          <w:b w:val="0"/>
          <w:sz w:val="22"/>
          <w:vertAlign w:val="superscript"/>
        </w:rPr>
        <w:t>e</w:t>
      </w:r>
      <w:r w:rsidRPr="00525A1C">
        <w:rPr>
          <w:rFonts w:ascii="Cambria" w:hAnsi="Cambria" w:cs="Times New Roman"/>
          <w:b w:val="0"/>
          <w:sz w:val="22"/>
        </w:rPr>
        <w:t xml:space="preserve"> siècles. Les actes de la pratique sont privilégiés (chartes ; actes seigneuriaux, princiers et royaux ; documents de nature financière et judiciaire). Des documents de nature littéraire et religieuse, issus de manuscrits, sont aussi donnés à l'apprentissage de la lecture. </w:t>
      </w:r>
    </w:p>
    <w:p w14:paraId="39D77239" w14:textId="77777777" w:rsidR="005D3047" w:rsidRPr="00525A1C" w:rsidRDefault="005D3047" w:rsidP="005D3047">
      <w:pPr>
        <w:rPr>
          <w:rFonts w:ascii="Cambria" w:hAnsi="Cambria" w:cs="Times New Roman"/>
          <w:b w:val="0"/>
          <w:sz w:val="22"/>
        </w:rPr>
      </w:pPr>
    </w:p>
    <w:p w14:paraId="1945B992" w14:textId="77777777" w:rsidR="005D3047" w:rsidRPr="00525A1C" w:rsidRDefault="005D3047" w:rsidP="005D3047">
      <w:pPr>
        <w:rPr>
          <w:rFonts w:ascii="Cambria" w:hAnsi="Cambria" w:cs="Times New Roman"/>
          <w:bCs/>
          <w:sz w:val="22"/>
        </w:rPr>
      </w:pPr>
      <w:r w:rsidRPr="00525A1C">
        <w:rPr>
          <w:rFonts w:ascii="Cambria" w:hAnsi="Cambria" w:cs="Times New Roman"/>
          <w:bCs/>
          <w:sz w:val="22"/>
        </w:rPr>
        <w:t>Bibliographie de base</w:t>
      </w:r>
    </w:p>
    <w:p w14:paraId="22ECC6BF"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Michel </w:t>
      </w:r>
      <w:r w:rsidRPr="00525A1C">
        <w:rPr>
          <w:rFonts w:ascii="Cambria" w:hAnsi="Cambria" w:cs="Times New Roman"/>
          <w:b w:val="0"/>
          <w:smallCaps/>
          <w:sz w:val="22"/>
        </w:rPr>
        <w:t>Parisse</w:t>
      </w:r>
      <w:r w:rsidRPr="00525A1C">
        <w:rPr>
          <w:rFonts w:ascii="Cambria" w:hAnsi="Cambria" w:cs="Times New Roman"/>
          <w:b w:val="0"/>
          <w:sz w:val="22"/>
        </w:rPr>
        <w:t>, Manuel de paléographie médiévale. Manuel pour grands débutants, Paris, Picard, 2006.</w:t>
      </w:r>
    </w:p>
    <w:p w14:paraId="70914368"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Bernhard </w:t>
      </w:r>
      <w:r w:rsidRPr="00525A1C">
        <w:rPr>
          <w:rFonts w:ascii="Cambria" w:hAnsi="Cambria" w:cs="Times New Roman"/>
          <w:b w:val="0"/>
          <w:smallCaps/>
          <w:sz w:val="22"/>
        </w:rPr>
        <w:t>Bischoff</w:t>
      </w:r>
      <w:r w:rsidRPr="00525A1C">
        <w:rPr>
          <w:rFonts w:ascii="Cambria" w:hAnsi="Cambria" w:cs="Times New Roman"/>
          <w:b w:val="0"/>
          <w:sz w:val="22"/>
        </w:rPr>
        <w:t xml:space="preserve">, </w:t>
      </w:r>
      <w:r w:rsidRPr="00525A1C">
        <w:rPr>
          <w:rFonts w:ascii="Cambria" w:hAnsi="Cambria" w:cs="Times New Roman"/>
          <w:b w:val="0"/>
          <w:i/>
          <w:iCs/>
          <w:sz w:val="22"/>
        </w:rPr>
        <w:t>Paléographie de l'Antiquité romaine et du Moyen Âge occidental</w:t>
      </w:r>
      <w:r w:rsidRPr="00525A1C">
        <w:rPr>
          <w:rFonts w:ascii="Cambria" w:hAnsi="Cambria" w:cs="Times New Roman"/>
          <w:b w:val="0"/>
          <w:sz w:val="22"/>
        </w:rPr>
        <w:t xml:space="preserve">, Paris, Picard, 1985 (pour la trad. française). </w:t>
      </w:r>
    </w:p>
    <w:p w14:paraId="0FD3EB90"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Jacques </w:t>
      </w:r>
      <w:r w:rsidRPr="00525A1C">
        <w:rPr>
          <w:rFonts w:ascii="Cambria" w:hAnsi="Cambria" w:cs="Times New Roman"/>
          <w:b w:val="0"/>
          <w:smallCaps/>
          <w:sz w:val="22"/>
        </w:rPr>
        <w:t>Stiennon</w:t>
      </w:r>
      <w:r w:rsidRPr="00525A1C">
        <w:rPr>
          <w:rFonts w:ascii="Cambria" w:hAnsi="Cambria" w:cs="Times New Roman"/>
          <w:b w:val="0"/>
          <w:sz w:val="22"/>
        </w:rPr>
        <w:t xml:space="preserve">, </w:t>
      </w:r>
      <w:r w:rsidRPr="00525A1C">
        <w:rPr>
          <w:rFonts w:ascii="Cambria" w:hAnsi="Cambria" w:cs="Times New Roman"/>
          <w:b w:val="0"/>
          <w:i/>
          <w:sz w:val="22"/>
        </w:rPr>
        <w:t>Paléographie du Moyen Âge</w:t>
      </w:r>
      <w:r w:rsidRPr="00525A1C">
        <w:rPr>
          <w:rFonts w:ascii="Cambria" w:hAnsi="Cambria" w:cs="Times New Roman"/>
          <w:b w:val="0"/>
          <w:sz w:val="22"/>
        </w:rPr>
        <w:t>, Paris, Armand Colin, Collection U, 1973.</w:t>
      </w:r>
    </w:p>
    <w:p w14:paraId="45F9CED0" w14:textId="0096BBE4" w:rsidR="005D3047" w:rsidRPr="00525A1C" w:rsidRDefault="005D3047" w:rsidP="005D3047">
      <w:pPr>
        <w:rPr>
          <w:rFonts w:ascii="Cambria" w:hAnsi="Cambria" w:cs="Times New Roman"/>
          <w:b w:val="0"/>
          <w:sz w:val="22"/>
        </w:rPr>
      </w:pPr>
      <w:r w:rsidRPr="00525A1C">
        <w:rPr>
          <w:rFonts w:ascii="Cambria" w:hAnsi="Cambria" w:cs="Times New Roman"/>
          <w:b w:val="0"/>
          <w:sz w:val="22"/>
        </w:rPr>
        <w:t>Ces deux derniers ouvrages sont davantage des histoires de l'écriture au Moyen Âge que des manuels d’apprentissage.</w:t>
      </w:r>
    </w:p>
    <w:p w14:paraId="1B7FC8AC"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et Benoît-Michel </w:t>
      </w:r>
      <w:r w:rsidRPr="00525A1C">
        <w:rPr>
          <w:rFonts w:ascii="Cambria" w:hAnsi="Cambria" w:cs="Times New Roman"/>
          <w:b w:val="0"/>
          <w:smallCaps/>
          <w:sz w:val="22"/>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 L’Atelier du médiéviste », 2), 1993.</w:t>
      </w:r>
    </w:p>
    <w:p w14:paraId="544A8C8A" w14:textId="76055AEE" w:rsidR="005D3047" w:rsidRPr="000D2980" w:rsidRDefault="005D3047" w:rsidP="000D2980">
      <w:pPr>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Le Livre de poche, 1998.</w:t>
      </w:r>
    </w:p>
    <w:p w14:paraId="7F04CDAA" w14:textId="77777777" w:rsidR="00AD6F87" w:rsidRDefault="00AD6F87" w:rsidP="00E2047E">
      <w:pPr>
        <w:jc w:val="center"/>
        <w:rPr>
          <w:rFonts w:ascii="Cambria" w:hAnsi="Cambria" w:cs="Times New Roman"/>
          <w:iCs/>
          <w:color w:val="C00000"/>
          <w:sz w:val="28"/>
          <w:szCs w:val="28"/>
        </w:rPr>
      </w:pPr>
    </w:p>
    <w:p w14:paraId="609CE28B" w14:textId="77777777" w:rsidR="000D2980" w:rsidRDefault="005D3047" w:rsidP="00E2047E">
      <w:pPr>
        <w:jc w:val="center"/>
        <w:rPr>
          <w:rFonts w:ascii="Cambria" w:hAnsi="Cambria" w:cs="Times New Roman"/>
          <w:iCs/>
          <w:color w:val="C00000"/>
          <w:sz w:val="28"/>
          <w:szCs w:val="28"/>
        </w:rPr>
      </w:pPr>
      <w:r w:rsidRPr="00E2047E">
        <w:rPr>
          <w:rFonts w:ascii="Cambria" w:hAnsi="Cambria" w:cs="Times New Roman"/>
          <w:iCs/>
          <w:color w:val="C00000"/>
          <w:sz w:val="28"/>
          <w:szCs w:val="28"/>
        </w:rPr>
        <w:t xml:space="preserve">J3015125/J3015225 Paléographie française </w:t>
      </w:r>
    </w:p>
    <w:p w14:paraId="45DFFDD8" w14:textId="4D590996" w:rsidR="00E2047E" w:rsidRDefault="005D3047" w:rsidP="00462F45">
      <w:pPr>
        <w:jc w:val="center"/>
        <w:rPr>
          <w:rFonts w:ascii="Cambria" w:hAnsi="Cambria" w:cs="Times New Roman"/>
          <w:iCs/>
          <w:color w:val="C00000"/>
          <w:szCs w:val="24"/>
        </w:rPr>
      </w:pPr>
      <w:r w:rsidRPr="000D2980">
        <w:rPr>
          <w:rFonts w:ascii="Cambria" w:hAnsi="Cambria" w:cs="Times New Roman"/>
          <w:iCs/>
          <w:szCs w:val="24"/>
        </w:rPr>
        <w:t>(</w:t>
      </w:r>
      <w:r w:rsidR="00BC3B10" w:rsidRPr="000D2980">
        <w:rPr>
          <w:rFonts w:ascii="Cambria" w:hAnsi="Cambria" w:cs="Times New Roman"/>
          <w:iCs/>
          <w:szCs w:val="24"/>
        </w:rPr>
        <w:t>E. Schmit)</w:t>
      </w:r>
    </w:p>
    <w:p w14:paraId="617B947E" w14:textId="77777777" w:rsidR="00462F45" w:rsidRPr="00462F45" w:rsidRDefault="00462F45" w:rsidP="00462F45">
      <w:pPr>
        <w:jc w:val="center"/>
        <w:rPr>
          <w:rFonts w:ascii="Cambria" w:hAnsi="Cambria" w:cs="Times New Roman"/>
          <w:iCs/>
          <w:color w:val="C00000"/>
          <w:szCs w:val="24"/>
        </w:rPr>
      </w:pPr>
    </w:p>
    <w:p w14:paraId="75531714" w14:textId="77777777" w:rsidR="005D3047" w:rsidRDefault="005D3047" w:rsidP="005D3047">
      <w:pPr>
        <w:spacing w:after="0" w:line="240" w:lineRule="auto"/>
        <w:jc w:val="both"/>
        <w:rPr>
          <w:rFonts w:ascii="Cambria" w:hAnsi="Cambria" w:cs="Times New Roman"/>
          <w:bCs/>
          <w:sz w:val="22"/>
        </w:rPr>
      </w:pPr>
      <w:r w:rsidRPr="00525A1C">
        <w:rPr>
          <w:rFonts w:ascii="Cambria" w:hAnsi="Cambria" w:cs="Times New Roman"/>
          <w:bCs/>
          <w:sz w:val="22"/>
        </w:rPr>
        <w:t>Lundi 12 h-13 h, salle Perroy</w:t>
      </w:r>
    </w:p>
    <w:p w14:paraId="5AB58406" w14:textId="77777777" w:rsidR="00E2047E" w:rsidRPr="00525A1C" w:rsidRDefault="00E2047E" w:rsidP="005D3047">
      <w:pPr>
        <w:spacing w:after="0" w:line="240" w:lineRule="auto"/>
        <w:jc w:val="both"/>
        <w:rPr>
          <w:rFonts w:ascii="Cambria" w:hAnsi="Cambria" w:cs="Times New Roman"/>
          <w:bCs/>
          <w:sz w:val="22"/>
        </w:rPr>
      </w:pPr>
    </w:p>
    <w:p w14:paraId="0FA93EBF" w14:textId="38ADA44C" w:rsidR="005D3047" w:rsidRPr="00525A1C" w:rsidRDefault="005D3047" w:rsidP="005D3047">
      <w:pPr>
        <w:spacing w:after="0" w:line="240" w:lineRule="auto"/>
        <w:jc w:val="both"/>
        <w:rPr>
          <w:rFonts w:ascii="Cambria" w:hAnsi="Cambria" w:cs="Times New Roman"/>
          <w:b w:val="0"/>
          <w:sz w:val="22"/>
        </w:rPr>
      </w:pPr>
      <w:r w:rsidRPr="00525A1C">
        <w:rPr>
          <w:rFonts w:ascii="Cambria" w:hAnsi="Cambria" w:cs="Times New Roman"/>
          <w:b w:val="0"/>
          <w:sz w:val="22"/>
        </w:rPr>
        <w:t xml:space="preserve">L'enseignement de paléographie s'adresse aux étudiants de L3 qui ont l'intention de faire un master en histoire du Moyen Âge français. Mais il est ouvert à d'autres étudiants dont le projet de recherche futur, s'il y en a un, n'est pas encore arrêté. Il accueille aussi des étudiants de M1 et du Master Patrimoine et Musées, option Archives. La finalité du cours est avant tout pratique : initier les étudiants aux écritures des </w:t>
      </w:r>
      <w:r w:rsidRPr="00525A1C">
        <w:rPr>
          <w:rFonts w:ascii="Cambria" w:hAnsi="Cambria" w:cs="Times New Roman"/>
          <w:b w:val="0"/>
          <w:smallCaps/>
          <w:sz w:val="22"/>
        </w:rPr>
        <w:t>xiii</w:t>
      </w:r>
      <w:r w:rsidRPr="00525A1C">
        <w:rPr>
          <w:rFonts w:ascii="Cambria" w:hAnsi="Cambria" w:cs="Times New Roman"/>
          <w:b w:val="0"/>
          <w:sz w:val="22"/>
          <w:vertAlign w:val="superscript"/>
        </w:rPr>
        <w:t>e</w:t>
      </w:r>
      <w:r w:rsidRPr="00525A1C">
        <w:rPr>
          <w:rFonts w:ascii="Cambria" w:hAnsi="Cambria" w:cs="Times New Roman"/>
          <w:b w:val="0"/>
          <w:sz w:val="22"/>
        </w:rPr>
        <w:t>-</w:t>
      </w:r>
      <w:r w:rsidRPr="00525A1C">
        <w:rPr>
          <w:rFonts w:ascii="Cambria" w:hAnsi="Cambria" w:cs="Times New Roman"/>
          <w:b w:val="0"/>
          <w:smallCaps/>
          <w:sz w:val="22"/>
        </w:rPr>
        <w:t>xv</w:t>
      </w:r>
      <w:r w:rsidRPr="00525A1C">
        <w:rPr>
          <w:rFonts w:ascii="Cambria" w:hAnsi="Cambria" w:cs="Times New Roman"/>
          <w:b w:val="0"/>
          <w:sz w:val="22"/>
          <w:vertAlign w:val="superscript"/>
        </w:rPr>
        <w:t>e</w:t>
      </w:r>
      <w:r w:rsidRPr="00525A1C">
        <w:rPr>
          <w:rFonts w:ascii="Cambria" w:hAnsi="Cambria" w:cs="Times New Roman"/>
          <w:b w:val="0"/>
          <w:sz w:val="22"/>
        </w:rPr>
        <w:t xml:space="preserve"> siècles. Les actes de la pratique sont privilégiés (chartes ; actes seigneuriaux, princiers et royaux ; documents de nature financière et judiciaire). Des documents de nature littéraire et issus de manuscrits sont aussi donnés à l'apprentissage de la lecture.</w:t>
      </w:r>
    </w:p>
    <w:p w14:paraId="6AD8EF30" w14:textId="77777777" w:rsidR="005D3047" w:rsidRPr="00525A1C" w:rsidRDefault="005D3047" w:rsidP="005D3047">
      <w:pPr>
        <w:spacing w:after="0" w:line="240" w:lineRule="auto"/>
        <w:jc w:val="both"/>
        <w:rPr>
          <w:rFonts w:ascii="Cambria" w:hAnsi="Cambria" w:cs="Times New Roman"/>
          <w:b w:val="0"/>
          <w:sz w:val="22"/>
        </w:rPr>
      </w:pPr>
    </w:p>
    <w:p w14:paraId="1F5D016C" w14:textId="77777777" w:rsidR="005D3047" w:rsidRPr="00525A1C" w:rsidRDefault="005D3047" w:rsidP="005D3047">
      <w:pPr>
        <w:rPr>
          <w:rFonts w:ascii="Cambria" w:hAnsi="Cambria" w:cs="Times New Roman"/>
          <w:bCs/>
          <w:sz w:val="22"/>
        </w:rPr>
      </w:pPr>
      <w:r w:rsidRPr="00525A1C">
        <w:rPr>
          <w:rFonts w:ascii="Cambria" w:hAnsi="Cambria" w:cs="Times New Roman"/>
          <w:bCs/>
          <w:sz w:val="22"/>
        </w:rPr>
        <w:t>Bibliographie de base</w:t>
      </w:r>
    </w:p>
    <w:p w14:paraId="4E0C3ECF"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Michel </w:t>
      </w:r>
      <w:r w:rsidRPr="00525A1C">
        <w:rPr>
          <w:rFonts w:ascii="Cambria" w:hAnsi="Cambria" w:cs="Times New Roman"/>
          <w:b w:val="0"/>
          <w:smallCaps/>
          <w:sz w:val="22"/>
        </w:rPr>
        <w:t>Parisse</w:t>
      </w:r>
      <w:r w:rsidRPr="00525A1C">
        <w:rPr>
          <w:rFonts w:ascii="Cambria" w:hAnsi="Cambria" w:cs="Times New Roman"/>
          <w:b w:val="0"/>
          <w:sz w:val="22"/>
        </w:rPr>
        <w:t>, Manuel de paléographie médiévale. Manuel pour grands débutants, Paris, Picard, 2006.</w:t>
      </w:r>
    </w:p>
    <w:p w14:paraId="46D27C57"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Bernhard </w:t>
      </w:r>
      <w:r w:rsidRPr="00525A1C">
        <w:rPr>
          <w:rFonts w:ascii="Cambria" w:hAnsi="Cambria" w:cs="Times New Roman"/>
          <w:b w:val="0"/>
          <w:smallCaps/>
          <w:sz w:val="22"/>
        </w:rPr>
        <w:t>Bischoff</w:t>
      </w:r>
      <w:r w:rsidRPr="00525A1C">
        <w:rPr>
          <w:rFonts w:ascii="Cambria" w:hAnsi="Cambria" w:cs="Times New Roman"/>
          <w:b w:val="0"/>
          <w:sz w:val="22"/>
        </w:rPr>
        <w:t xml:space="preserve">, </w:t>
      </w:r>
      <w:r w:rsidRPr="00525A1C">
        <w:rPr>
          <w:rFonts w:ascii="Cambria" w:hAnsi="Cambria" w:cs="Times New Roman"/>
          <w:b w:val="0"/>
          <w:i/>
          <w:iCs/>
          <w:sz w:val="22"/>
        </w:rPr>
        <w:t>Paléographie de l'Antiquité romaine et du Moyen Âge occidental</w:t>
      </w:r>
      <w:r w:rsidRPr="00525A1C">
        <w:rPr>
          <w:rFonts w:ascii="Cambria" w:hAnsi="Cambria" w:cs="Times New Roman"/>
          <w:b w:val="0"/>
          <w:sz w:val="22"/>
        </w:rPr>
        <w:t xml:space="preserve">, Paris, Picard, 1985 (pour la trad. française). </w:t>
      </w:r>
    </w:p>
    <w:p w14:paraId="13F8FA16"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Jacques </w:t>
      </w:r>
      <w:r w:rsidRPr="00525A1C">
        <w:rPr>
          <w:rFonts w:ascii="Cambria" w:hAnsi="Cambria" w:cs="Times New Roman"/>
          <w:b w:val="0"/>
          <w:smallCaps/>
          <w:sz w:val="22"/>
        </w:rPr>
        <w:t>Stiennon</w:t>
      </w:r>
      <w:r w:rsidRPr="00525A1C">
        <w:rPr>
          <w:rFonts w:ascii="Cambria" w:hAnsi="Cambria" w:cs="Times New Roman"/>
          <w:b w:val="0"/>
          <w:sz w:val="22"/>
        </w:rPr>
        <w:t xml:space="preserve">, </w:t>
      </w:r>
      <w:r w:rsidRPr="00525A1C">
        <w:rPr>
          <w:rFonts w:ascii="Cambria" w:hAnsi="Cambria" w:cs="Times New Roman"/>
          <w:b w:val="0"/>
          <w:i/>
          <w:sz w:val="22"/>
        </w:rPr>
        <w:t>Paléographie du Moyen Âge</w:t>
      </w:r>
      <w:r w:rsidRPr="00525A1C">
        <w:rPr>
          <w:rFonts w:ascii="Cambria" w:hAnsi="Cambria" w:cs="Times New Roman"/>
          <w:b w:val="0"/>
          <w:sz w:val="22"/>
        </w:rPr>
        <w:t>, Paris, Armand Colin, Collection U, 1973.</w:t>
      </w:r>
    </w:p>
    <w:p w14:paraId="519EE7B9"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Ces deux derniers ouvrages sont davantage des histoires de l'écriture au Moyen Âge que des manuels d’apprentissage.</w:t>
      </w:r>
    </w:p>
    <w:p w14:paraId="582C73DB"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et Benoît-Michel </w:t>
      </w:r>
      <w:r w:rsidRPr="00525A1C">
        <w:rPr>
          <w:rFonts w:ascii="Cambria" w:hAnsi="Cambria" w:cs="Times New Roman"/>
          <w:b w:val="0"/>
          <w:smallCaps/>
          <w:sz w:val="22"/>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 L’Atelier du médiéviste », 2), 1993.</w:t>
      </w:r>
    </w:p>
    <w:p w14:paraId="3C65759F"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Le Livre de poche, 1998.</w:t>
      </w:r>
    </w:p>
    <w:p w14:paraId="1B5E1F2B" w14:textId="77777777" w:rsidR="005D3047" w:rsidRPr="00525A1C" w:rsidRDefault="005D3047" w:rsidP="005D3047">
      <w:pPr>
        <w:rPr>
          <w:rFonts w:ascii="Cambria" w:eastAsia="Times New Roman" w:hAnsi="Cambria" w:cs="Times New Roman"/>
          <w:b w:val="0"/>
          <w:iCs/>
          <w:kern w:val="0"/>
          <w:sz w:val="22"/>
          <w:lang w:eastAsia="fr-FR"/>
        </w:rPr>
      </w:pPr>
    </w:p>
    <w:p w14:paraId="04DE7643" w14:textId="5CFEED88" w:rsidR="005D3047" w:rsidRPr="00D87E98" w:rsidRDefault="005D3047" w:rsidP="005D3047">
      <w:pPr>
        <w:spacing w:after="0" w:line="240" w:lineRule="auto"/>
        <w:jc w:val="center"/>
        <w:rPr>
          <w:rFonts w:ascii="Cambria" w:eastAsia="Times New Roman" w:hAnsi="Cambria" w:cs="Times New Roman"/>
          <w:iCs/>
          <w:color w:val="C00000"/>
          <w:kern w:val="0"/>
          <w:sz w:val="28"/>
          <w:szCs w:val="28"/>
          <w:lang w:eastAsia="fr-FR"/>
        </w:rPr>
      </w:pPr>
      <w:r w:rsidRPr="00D87E98">
        <w:rPr>
          <w:rFonts w:ascii="Cambria" w:eastAsia="Times New Roman" w:hAnsi="Cambria" w:cs="Times New Roman"/>
          <w:iCs/>
          <w:color w:val="C00000"/>
          <w:kern w:val="0"/>
          <w:sz w:val="28"/>
          <w:szCs w:val="28"/>
          <w:lang w:eastAsia="fr-FR"/>
        </w:rPr>
        <w:t>J302</w:t>
      </w:r>
      <w:r w:rsidR="008F1FF2" w:rsidRPr="00D87E98">
        <w:rPr>
          <w:rFonts w:ascii="Cambria" w:eastAsia="Times New Roman" w:hAnsi="Cambria" w:cs="Times New Roman"/>
          <w:iCs/>
          <w:color w:val="C00000"/>
          <w:kern w:val="0"/>
          <w:sz w:val="28"/>
          <w:szCs w:val="28"/>
          <w:lang w:eastAsia="fr-FR"/>
        </w:rPr>
        <w:t>4719</w:t>
      </w:r>
      <w:r w:rsidRPr="00D87E98">
        <w:rPr>
          <w:rFonts w:ascii="Cambria" w:eastAsia="Times New Roman" w:hAnsi="Cambria" w:cs="Times New Roman"/>
          <w:iCs/>
          <w:color w:val="C00000"/>
          <w:kern w:val="0"/>
          <w:sz w:val="28"/>
          <w:szCs w:val="28"/>
          <w:lang w:eastAsia="fr-FR"/>
        </w:rPr>
        <w:t>/J3024</w:t>
      </w:r>
      <w:r w:rsidR="008F1FF2" w:rsidRPr="00D87E98">
        <w:rPr>
          <w:rFonts w:ascii="Cambria" w:eastAsia="Times New Roman" w:hAnsi="Cambria" w:cs="Times New Roman"/>
          <w:iCs/>
          <w:color w:val="C00000"/>
          <w:kern w:val="0"/>
          <w:sz w:val="28"/>
          <w:szCs w:val="28"/>
          <w:lang w:eastAsia="fr-FR"/>
        </w:rPr>
        <w:t>819</w:t>
      </w:r>
      <w:r w:rsidRPr="00D87E98">
        <w:rPr>
          <w:rFonts w:ascii="Cambria" w:eastAsia="Times New Roman" w:hAnsi="Cambria" w:cs="Times New Roman"/>
          <w:iCs/>
          <w:color w:val="C00000"/>
          <w:kern w:val="0"/>
          <w:sz w:val="28"/>
          <w:szCs w:val="28"/>
          <w:lang w:eastAsia="fr-FR"/>
        </w:rPr>
        <w:t xml:space="preserve"> Latin médiéval, niveau confirmé </w:t>
      </w:r>
      <w:r w:rsidRPr="00462F45">
        <w:rPr>
          <w:rFonts w:ascii="Cambria" w:eastAsia="Times New Roman" w:hAnsi="Cambria" w:cs="Times New Roman"/>
          <w:iCs/>
          <w:kern w:val="0"/>
          <w:szCs w:val="24"/>
          <w:lang w:eastAsia="fr-FR"/>
        </w:rPr>
        <w:t>(M. Dejoux)</w:t>
      </w:r>
    </w:p>
    <w:p w14:paraId="656BA04F" w14:textId="77777777" w:rsidR="005D3047" w:rsidRPr="00525A1C" w:rsidRDefault="005D3047" w:rsidP="005D3047">
      <w:pPr>
        <w:spacing w:after="0" w:line="240" w:lineRule="auto"/>
        <w:jc w:val="center"/>
        <w:rPr>
          <w:rFonts w:ascii="Cambria" w:eastAsia="Times New Roman" w:hAnsi="Cambria" w:cs="Times New Roman"/>
          <w:iCs/>
          <w:color w:val="0070C0"/>
          <w:kern w:val="0"/>
          <w:sz w:val="22"/>
          <w:lang w:eastAsia="fr-FR"/>
        </w:rPr>
      </w:pPr>
    </w:p>
    <w:p w14:paraId="6CF1EAD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Mercredi 12h-13h</w:t>
      </w:r>
      <w:r w:rsidRPr="00525A1C">
        <w:rPr>
          <w:rFonts w:ascii="Cambria" w:eastAsia="Times New Roman" w:hAnsi="Cambria" w:cs="Times New Roman"/>
          <w:b w:val="0"/>
          <w:iCs/>
          <w:kern w:val="0"/>
          <w:sz w:val="22"/>
          <w:lang w:eastAsia="fr-FR"/>
        </w:rPr>
        <w:t xml:space="preserve"> </w:t>
      </w:r>
    </w:p>
    <w:p w14:paraId="17CB026A"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Le niveau confirmé est ouvert aux étudiants ayant déjà fait du latin (classique ou médiéval) puisqu’il s’agit d’un cours/TD de traduction. Il permet aux étudiants d’aborder les problèmes de syntaxe et de morphologie au travers d’un choix de documents et de textes représentatifs des principaux genres qui ont cours dans le Moyen Âge occidental latin. L’objectif est d’explorer les différents genres de l’écrit au Moyen Âge.</w:t>
      </w:r>
    </w:p>
    <w:p w14:paraId="62285AEC"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p>
    <w:p w14:paraId="4134F55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Bibliographie indicative</w:t>
      </w:r>
      <w:r w:rsidRPr="00525A1C">
        <w:rPr>
          <w:rFonts w:ascii="Cambria" w:eastAsia="Times New Roman" w:hAnsi="Cambria" w:cs="Times New Roman"/>
          <w:b w:val="0"/>
          <w:iCs/>
          <w:kern w:val="0"/>
          <w:sz w:val="22"/>
          <w:lang w:eastAsia="fr-FR"/>
        </w:rPr>
        <w:t> :</w:t>
      </w:r>
    </w:p>
    <w:p w14:paraId="27B4C9C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-Monique Goullet et Michel Paisse, Traduire le latin médiéval, paru aux éditions Picard ;</w:t>
      </w:r>
    </w:p>
    <w:p w14:paraId="5DAD6920"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-Pascale Bourgain, Le latin médiéval, dans la collection « L’Atelier du médiéviste, 10 » (Brepols)</w:t>
      </w:r>
    </w:p>
    <w:p w14:paraId="60A6D34E"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p>
    <w:p w14:paraId="7B0539A3" w14:textId="77777777" w:rsidR="005D3047" w:rsidRPr="00525A1C" w:rsidRDefault="005D3047" w:rsidP="005D3047">
      <w:pPr>
        <w:keepNext/>
        <w:spacing w:after="0" w:line="240" w:lineRule="auto"/>
        <w:jc w:val="both"/>
        <w:outlineLvl w:val="0"/>
        <w:rPr>
          <w:rFonts w:ascii="Cambria" w:hAnsi="Cambria" w:cs="Times New Roman"/>
          <w:b w:val="0"/>
          <w:iCs/>
          <w:sz w:val="22"/>
        </w:rPr>
      </w:pPr>
    </w:p>
    <w:p w14:paraId="12812E69" w14:textId="77777777" w:rsidR="005D3047" w:rsidRPr="00525A1C" w:rsidRDefault="005D3047" w:rsidP="005D3047">
      <w:pPr>
        <w:keepNext/>
        <w:spacing w:after="0" w:line="240" w:lineRule="auto"/>
        <w:jc w:val="both"/>
        <w:outlineLvl w:val="0"/>
        <w:rPr>
          <w:rFonts w:ascii="Cambria" w:hAnsi="Cambria" w:cs="Times New Roman"/>
          <w:b w:val="0"/>
          <w:iCs/>
          <w:sz w:val="22"/>
        </w:rPr>
      </w:pPr>
    </w:p>
    <w:p w14:paraId="00DE1FEE" w14:textId="77777777" w:rsidR="005D3047" w:rsidRPr="00462F45" w:rsidRDefault="005D3047" w:rsidP="005D3047">
      <w:pPr>
        <w:spacing w:after="0" w:line="240" w:lineRule="auto"/>
        <w:jc w:val="center"/>
        <w:rPr>
          <w:rFonts w:ascii="Cambria" w:eastAsia="Times New Roman" w:hAnsi="Cambria" w:cs="Times New Roman"/>
          <w:iCs/>
          <w:kern w:val="0"/>
          <w:szCs w:val="24"/>
          <w:lang w:eastAsia="fr-FR"/>
        </w:rPr>
      </w:pPr>
      <w:r w:rsidRPr="00D87E98">
        <w:rPr>
          <w:rFonts w:ascii="Cambria" w:eastAsia="Times New Roman" w:hAnsi="Cambria" w:cs="Times New Roman"/>
          <w:iCs/>
          <w:color w:val="C00000"/>
          <w:kern w:val="0"/>
          <w:sz w:val="28"/>
          <w:szCs w:val="28"/>
          <w:lang w:eastAsia="fr-FR"/>
        </w:rPr>
        <w:t xml:space="preserve">J3024519/J3024619 Latin médiéval, niveau débutant </w:t>
      </w:r>
      <w:r w:rsidRPr="00462F45">
        <w:rPr>
          <w:rFonts w:ascii="Cambria" w:eastAsia="Times New Roman" w:hAnsi="Cambria" w:cs="Times New Roman"/>
          <w:iCs/>
          <w:kern w:val="0"/>
          <w:szCs w:val="24"/>
          <w:lang w:eastAsia="fr-FR"/>
        </w:rPr>
        <w:t>(M. Dejoux)</w:t>
      </w:r>
    </w:p>
    <w:p w14:paraId="647BA043" w14:textId="77777777" w:rsidR="005D3047" w:rsidRPr="00525A1C" w:rsidRDefault="005D3047" w:rsidP="005D3047">
      <w:pPr>
        <w:spacing w:after="0" w:line="240" w:lineRule="auto"/>
        <w:jc w:val="center"/>
        <w:rPr>
          <w:rFonts w:ascii="Cambria" w:eastAsia="Times New Roman" w:hAnsi="Cambria" w:cs="Times New Roman"/>
          <w:iCs/>
          <w:color w:val="0070C0"/>
          <w:kern w:val="0"/>
          <w:sz w:val="22"/>
          <w:lang w:eastAsia="fr-FR"/>
        </w:rPr>
      </w:pPr>
    </w:p>
    <w:p w14:paraId="75C00A05"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 xml:space="preserve"> Mercredi 13h-15h</w:t>
      </w:r>
      <w:r w:rsidRPr="00525A1C">
        <w:rPr>
          <w:rFonts w:ascii="Cambria" w:eastAsia="Times New Roman" w:hAnsi="Cambria" w:cs="Times New Roman"/>
          <w:b w:val="0"/>
          <w:iCs/>
          <w:kern w:val="0"/>
          <w:sz w:val="22"/>
          <w:lang w:eastAsia="fr-FR"/>
        </w:rPr>
        <w:t xml:space="preserve"> </w:t>
      </w:r>
    </w:p>
    <w:p w14:paraId="634D6BC2" w14:textId="77777777" w:rsidR="005D3047" w:rsidRPr="00CB5007"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Le niveau débutant est ouvert aux étudiants n’ayant jamais fait du latin (classique ou médiéval). Son objectif est l’acquisition des bases grammaticales pour permettre aux étudiants de traduire et de comprendre des documents médiévaux. Il aborde dix siècles d’histoire linguistique (V e siècle-XV e siècle) et s’appuie sur les 21 leçons du manuel de Monique Goullet et Michel Parisse, Apprendre le latin médiéval, publié aux éditions Picard</w:t>
      </w:r>
    </w:p>
    <w:p w14:paraId="2C2BDAC1"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973D97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C6A31F2"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10B05F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EF030D7"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F8E81CB"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91632D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3A96A19"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55834EC"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3F314AE"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F6D33F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B6FAC5A"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633CAE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BFB70A2"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81CCE97"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42E6B9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3E27FE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351D161"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4DA57E0"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769D37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1E3353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47D0114"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A9F396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969F5CB"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1072A44"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AED2B0C"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7995BFA"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16A5FE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8ED47A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1E3AB3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62D128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A2BECC6"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227692F" w14:textId="77777777" w:rsidR="005D3047" w:rsidRDefault="005D3047" w:rsidP="005D3047">
      <w:pPr>
        <w:spacing w:after="0" w:line="240" w:lineRule="auto"/>
        <w:jc w:val="center"/>
        <w:rPr>
          <w:rFonts w:ascii="Cambria" w:eastAsia="Calibri" w:hAnsi="Cambria"/>
          <w:iCs/>
          <w:kern w:val="0"/>
          <w:sz w:val="22"/>
          <w:lang w:eastAsia="fr-FR"/>
        </w:rPr>
      </w:pPr>
    </w:p>
    <w:p w14:paraId="101E42DB" w14:textId="77777777" w:rsidR="003C4573" w:rsidRDefault="003C4573" w:rsidP="005D3047">
      <w:pPr>
        <w:spacing w:after="0" w:line="240" w:lineRule="auto"/>
        <w:jc w:val="center"/>
        <w:rPr>
          <w:rFonts w:ascii="Cambria" w:eastAsia="Calibri" w:hAnsi="Cambria"/>
          <w:iCs/>
          <w:kern w:val="0"/>
          <w:sz w:val="22"/>
          <w:lang w:eastAsia="fr-FR"/>
        </w:rPr>
      </w:pPr>
    </w:p>
    <w:p w14:paraId="7B9FED9B" w14:textId="77777777" w:rsidR="003C4573" w:rsidRDefault="003C4573" w:rsidP="005D3047">
      <w:pPr>
        <w:spacing w:after="0" w:line="240" w:lineRule="auto"/>
        <w:jc w:val="center"/>
        <w:rPr>
          <w:rFonts w:ascii="Cambria" w:eastAsia="Calibri" w:hAnsi="Cambria"/>
          <w:iCs/>
          <w:kern w:val="0"/>
          <w:sz w:val="22"/>
          <w:lang w:eastAsia="fr-FR"/>
        </w:rPr>
      </w:pPr>
    </w:p>
    <w:p w14:paraId="4E33118B" w14:textId="77777777" w:rsidR="003C4573" w:rsidRDefault="003C4573" w:rsidP="005D3047">
      <w:pPr>
        <w:spacing w:after="0" w:line="240" w:lineRule="auto"/>
        <w:jc w:val="center"/>
        <w:rPr>
          <w:rFonts w:ascii="Cambria" w:eastAsia="Calibri" w:hAnsi="Cambria"/>
          <w:iCs/>
          <w:kern w:val="0"/>
          <w:sz w:val="22"/>
          <w:lang w:eastAsia="fr-FR"/>
        </w:rPr>
      </w:pPr>
    </w:p>
    <w:p w14:paraId="3E08ECD7" w14:textId="77777777" w:rsidR="003C4573" w:rsidRDefault="003C4573" w:rsidP="005D3047">
      <w:pPr>
        <w:spacing w:after="0" w:line="240" w:lineRule="auto"/>
        <w:jc w:val="center"/>
        <w:rPr>
          <w:rFonts w:ascii="Cambria" w:eastAsia="Calibri" w:hAnsi="Cambria"/>
          <w:iCs/>
          <w:kern w:val="0"/>
          <w:sz w:val="22"/>
          <w:lang w:eastAsia="fr-FR"/>
        </w:rPr>
      </w:pPr>
    </w:p>
    <w:p w14:paraId="06E1164B" w14:textId="77777777" w:rsidR="003C4573" w:rsidRDefault="003C4573" w:rsidP="005D3047">
      <w:pPr>
        <w:spacing w:after="0" w:line="240" w:lineRule="auto"/>
        <w:jc w:val="center"/>
        <w:rPr>
          <w:rFonts w:ascii="Cambria" w:eastAsia="Calibri" w:hAnsi="Cambria"/>
          <w:iCs/>
          <w:kern w:val="0"/>
          <w:sz w:val="22"/>
          <w:lang w:eastAsia="fr-FR"/>
        </w:rPr>
      </w:pPr>
    </w:p>
    <w:p w14:paraId="7E4502F2" w14:textId="77777777" w:rsidR="003C4573" w:rsidRDefault="003C4573" w:rsidP="005D3047">
      <w:pPr>
        <w:spacing w:after="0" w:line="240" w:lineRule="auto"/>
        <w:jc w:val="center"/>
        <w:rPr>
          <w:rFonts w:ascii="Cambria" w:eastAsia="Calibri" w:hAnsi="Cambria"/>
          <w:iCs/>
          <w:kern w:val="0"/>
          <w:sz w:val="22"/>
          <w:lang w:eastAsia="fr-FR"/>
        </w:rPr>
      </w:pPr>
    </w:p>
    <w:p w14:paraId="5F086A0B" w14:textId="77777777" w:rsidR="003C4573" w:rsidRDefault="003C4573" w:rsidP="005D3047">
      <w:pPr>
        <w:spacing w:after="0" w:line="240" w:lineRule="auto"/>
        <w:jc w:val="center"/>
        <w:rPr>
          <w:rFonts w:ascii="Cambria" w:eastAsia="Calibri" w:hAnsi="Cambria"/>
          <w:iCs/>
          <w:kern w:val="0"/>
          <w:sz w:val="22"/>
          <w:lang w:eastAsia="fr-FR"/>
        </w:rPr>
      </w:pPr>
    </w:p>
    <w:p w14:paraId="2A025659" w14:textId="77777777" w:rsidR="000817A9" w:rsidRDefault="000817A9" w:rsidP="005D3047">
      <w:pPr>
        <w:spacing w:after="0" w:line="240" w:lineRule="auto"/>
        <w:jc w:val="center"/>
        <w:rPr>
          <w:rFonts w:ascii="Cambria" w:eastAsia="Calibri" w:hAnsi="Cambria"/>
          <w:iCs/>
          <w:kern w:val="0"/>
          <w:sz w:val="22"/>
          <w:lang w:eastAsia="fr-FR"/>
        </w:rPr>
      </w:pPr>
    </w:p>
    <w:p w14:paraId="354F8810" w14:textId="77777777" w:rsidR="000817A9" w:rsidRDefault="000817A9" w:rsidP="005D3047">
      <w:pPr>
        <w:spacing w:after="0" w:line="240" w:lineRule="auto"/>
        <w:jc w:val="center"/>
        <w:rPr>
          <w:rFonts w:ascii="Cambria" w:eastAsia="Calibri" w:hAnsi="Cambria"/>
          <w:iCs/>
          <w:kern w:val="0"/>
          <w:sz w:val="22"/>
          <w:lang w:eastAsia="fr-FR"/>
        </w:rPr>
      </w:pPr>
    </w:p>
    <w:p w14:paraId="3DB86548" w14:textId="77777777" w:rsidR="000817A9" w:rsidRDefault="000817A9" w:rsidP="005D3047">
      <w:pPr>
        <w:spacing w:after="0" w:line="240" w:lineRule="auto"/>
        <w:jc w:val="center"/>
        <w:rPr>
          <w:rFonts w:ascii="Cambria" w:eastAsia="Calibri" w:hAnsi="Cambria"/>
          <w:iCs/>
          <w:kern w:val="0"/>
          <w:sz w:val="22"/>
          <w:lang w:eastAsia="fr-FR"/>
        </w:rPr>
      </w:pPr>
    </w:p>
    <w:p w14:paraId="660646D2" w14:textId="77777777" w:rsidR="000817A9" w:rsidRDefault="000817A9" w:rsidP="005D3047">
      <w:pPr>
        <w:spacing w:after="0" w:line="240" w:lineRule="auto"/>
        <w:jc w:val="center"/>
        <w:rPr>
          <w:rFonts w:ascii="Cambria" w:eastAsia="Calibri" w:hAnsi="Cambria"/>
          <w:iCs/>
          <w:kern w:val="0"/>
          <w:sz w:val="22"/>
          <w:lang w:eastAsia="fr-FR"/>
        </w:rPr>
      </w:pPr>
    </w:p>
    <w:p w14:paraId="0500E304" w14:textId="77777777" w:rsidR="000817A9" w:rsidRDefault="000817A9" w:rsidP="005D3047">
      <w:pPr>
        <w:spacing w:after="0" w:line="240" w:lineRule="auto"/>
        <w:jc w:val="center"/>
        <w:rPr>
          <w:rFonts w:ascii="Cambria" w:eastAsia="Calibri" w:hAnsi="Cambria"/>
          <w:iCs/>
          <w:kern w:val="0"/>
          <w:sz w:val="22"/>
          <w:lang w:eastAsia="fr-FR"/>
        </w:rPr>
      </w:pPr>
    </w:p>
    <w:p w14:paraId="011ACEBA" w14:textId="77777777" w:rsidR="00CC34B3" w:rsidRDefault="00CC34B3"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0941593C" w14:textId="77777777" w:rsidR="00CC34B3" w:rsidRDefault="00CC34B3"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630AB199" w14:textId="77777777" w:rsidR="00B722A0" w:rsidRPr="00D87E98" w:rsidRDefault="00B722A0" w:rsidP="00B722A0">
      <w:pPr>
        <w:spacing w:after="0" w:line="240" w:lineRule="auto"/>
        <w:jc w:val="center"/>
        <w:rPr>
          <w:rFonts w:ascii="Cambria" w:eastAsia="Calibri" w:hAnsi="Cambria"/>
          <w:iCs/>
          <w:color w:val="C00000"/>
          <w:kern w:val="0"/>
          <w:sz w:val="28"/>
          <w:szCs w:val="28"/>
          <w:lang w:eastAsia="fr-FR"/>
        </w:rPr>
      </w:pPr>
      <w:r w:rsidRPr="00D87E98">
        <w:rPr>
          <w:rFonts w:ascii="Cambria" w:eastAsia="Calibri" w:hAnsi="Cambria"/>
          <w:iCs/>
          <w:color w:val="C00000"/>
          <w:kern w:val="0"/>
          <w:sz w:val="28"/>
          <w:szCs w:val="28"/>
          <w:lang w:eastAsia="fr-FR"/>
        </w:rPr>
        <w:t>J3022519/J3022619 : Paléographie moderne</w:t>
      </w:r>
    </w:p>
    <w:p w14:paraId="2C4C2D60" w14:textId="77777777" w:rsidR="00B722A0" w:rsidRPr="00CB5007" w:rsidRDefault="00B722A0" w:rsidP="00B722A0">
      <w:pPr>
        <w:spacing w:after="0" w:line="240" w:lineRule="auto"/>
        <w:jc w:val="both"/>
        <w:rPr>
          <w:rFonts w:ascii="Cambria" w:eastAsia="Calibri" w:hAnsi="Cambria"/>
          <w:iCs/>
          <w:kern w:val="0"/>
          <w:sz w:val="22"/>
          <w:lang w:eastAsia="fr-FR"/>
        </w:rPr>
      </w:pPr>
    </w:p>
    <w:p w14:paraId="017579D8" w14:textId="77777777" w:rsidR="00B722A0" w:rsidRPr="00CB5007" w:rsidRDefault="00B722A0" w:rsidP="00B722A0">
      <w:pPr>
        <w:spacing w:after="0" w:line="240" w:lineRule="auto"/>
        <w:jc w:val="both"/>
        <w:rPr>
          <w:rFonts w:ascii="Cambria" w:eastAsia="Calibri" w:hAnsi="Cambria"/>
          <w:iCs/>
          <w:kern w:val="0"/>
          <w:sz w:val="22"/>
          <w:lang w:eastAsia="fr-FR"/>
        </w:rPr>
      </w:pPr>
    </w:p>
    <w:p w14:paraId="12D00F44" w14:textId="73D53FEC" w:rsidR="00B722A0" w:rsidRPr="00CB5007" w:rsidRDefault="00B722A0" w:rsidP="00B722A0">
      <w:pPr>
        <w:spacing w:after="0" w:line="240" w:lineRule="auto"/>
        <w:jc w:val="center"/>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Christophe Vellet/ Isabelle Bretthauer</w:t>
      </w:r>
    </w:p>
    <w:p w14:paraId="52E6553B"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960A03F"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3AF070F2"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Mercredi, 9h-10h30 Archives Nationales</w:t>
      </w:r>
      <w:r w:rsidRPr="00CB5007">
        <w:rPr>
          <w:rFonts w:ascii="Cambria" w:eastAsia="Calibri" w:hAnsi="Cambria" w:cs="Times New Roman"/>
          <w:b w:val="0"/>
          <w:iCs/>
          <w:kern w:val="0"/>
          <w:sz w:val="22"/>
          <w:lang w:eastAsia="fr-FR"/>
        </w:rPr>
        <w:t xml:space="preserve"> (salle d’albâtre du CARAN, 11 rue des Quatre-Fils, 75003 Paris)</w:t>
      </w:r>
    </w:p>
    <w:p w14:paraId="3529C882"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EFDFFD7" w14:textId="77777777" w:rsidR="00B722A0" w:rsidRPr="00CB5007" w:rsidRDefault="00B722A0" w:rsidP="00B722A0">
      <w:pPr>
        <w:spacing w:after="0" w:line="240" w:lineRule="auto"/>
        <w:jc w:val="both"/>
        <w:rPr>
          <w:rFonts w:ascii="Cambria" w:hAnsi="Cambria" w:cs="Times New Roman"/>
          <w:b w:val="0"/>
          <w:iCs/>
          <w:color w:val="000000" w:themeColor="text1"/>
          <w:kern w:val="0"/>
          <w:sz w:val="22"/>
        </w:rPr>
      </w:pPr>
      <w:r w:rsidRPr="00CB5007">
        <w:rPr>
          <w:rFonts w:ascii="Cambria" w:eastAsia="Times New Roman" w:hAnsi="Cambria" w:cs="Times New Roman"/>
          <w:b w:val="0"/>
          <w:iCs/>
          <w:color w:val="000000" w:themeColor="text1"/>
          <w:kern w:val="0"/>
          <w:sz w:val="22"/>
          <w:lang w:eastAsia="fr-FR"/>
        </w:rPr>
        <w:t>Cet enseignement a pour but d’initier, par la lecture de textes d’archives originaux, aux écritures manuscrites françaises des XVI</w:t>
      </w:r>
      <w:r w:rsidRPr="00CB5007">
        <w:rPr>
          <w:rFonts w:ascii="Cambria" w:eastAsia="Times New Roman" w:hAnsi="Cambria" w:cs="Times New Roman"/>
          <w:b w:val="0"/>
          <w:iCs/>
          <w:color w:val="000000" w:themeColor="text1"/>
          <w:kern w:val="0"/>
          <w:sz w:val="22"/>
          <w:vertAlign w:val="superscript"/>
          <w:lang w:eastAsia="fr-FR"/>
        </w:rPr>
        <w:t>e</w:t>
      </w:r>
      <w:r w:rsidRPr="00CB5007">
        <w:rPr>
          <w:rFonts w:ascii="Cambria" w:eastAsia="Times New Roman" w:hAnsi="Cambria" w:cs="Times New Roman"/>
          <w:b w:val="0"/>
          <w:iCs/>
          <w:color w:val="000000" w:themeColor="text1"/>
          <w:kern w:val="0"/>
          <w:sz w:val="22"/>
          <w:lang w:eastAsia="fr-FR"/>
        </w:rPr>
        <w:t>-XVIII</w:t>
      </w:r>
      <w:r w:rsidRPr="00CB5007">
        <w:rPr>
          <w:rFonts w:ascii="Cambria" w:eastAsia="Times New Roman" w:hAnsi="Cambria" w:cs="Times New Roman"/>
          <w:b w:val="0"/>
          <w:iCs/>
          <w:color w:val="000000" w:themeColor="text1"/>
          <w:kern w:val="0"/>
          <w:sz w:val="22"/>
          <w:vertAlign w:val="superscript"/>
          <w:lang w:eastAsia="fr-FR"/>
        </w:rPr>
        <w:t>e</w:t>
      </w:r>
      <w:r w:rsidRPr="00CB5007">
        <w:rPr>
          <w:rFonts w:ascii="Cambria" w:eastAsia="Times New Roman" w:hAnsi="Cambria" w:cs="Times New Roman"/>
          <w:b w:val="0"/>
          <w:iCs/>
          <w:color w:val="000000" w:themeColor="text1"/>
          <w:kern w:val="0"/>
          <w:sz w:val="22"/>
          <w:lang w:eastAsia="fr-FR"/>
        </w:rPr>
        <w:t xml:space="preserve"> siècles. Les documents étudiés, regroupés par type ou par thème (histoire économique, religieuse, etc.), sont tirés des fonds des Archives nationales et départementales ; ils </w:t>
      </w:r>
      <w:r w:rsidRPr="00CB5007">
        <w:rPr>
          <w:rFonts w:ascii="Cambria" w:hAnsi="Cambria" w:cs="Times New Roman"/>
          <w:b w:val="0"/>
          <w:iCs/>
          <w:color w:val="000000" w:themeColor="text1"/>
          <w:sz w:val="22"/>
        </w:rPr>
        <w:t>sont replacés dans leur contexte archivistique et diplomatique (fonds dont ils sont extraits, typologies documentaires), afin de favoriser leur appréhension globale</w:t>
      </w:r>
      <w:r w:rsidRPr="00CB5007">
        <w:rPr>
          <w:rFonts w:ascii="Cambria" w:eastAsia="Times New Roman" w:hAnsi="Cambria" w:cs="Times New Roman"/>
          <w:b w:val="0"/>
          <w:iCs/>
          <w:color w:val="000000" w:themeColor="text1"/>
          <w:kern w:val="0"/>
          <w:sz w:val="22"/>
          <w:lang w:eastAsia="fr-FR"/>
        </w:rPr>
        <w:t>.</w:t>
      </w:r>
    </w:p>
    <w:p w14:paraId="114CA211" w14:textId="77777777" w:rsidR="00B722A0" w:rsidRPr="00CB5007" w:rsidRDefault="00B722A0" w:rsidP="00B722A0">
      <w:pPr>
        <w:spacing w:after="0" w:line="240" w:lineRule="auto"/>
        <w:jc w:val="both"/>
        <w:rPr>
          <w:rFonts w:ascii="Cambria" w:hAnsi="Cambria" w:cs="Times New Roman"/>
          <w:iCs/>
          <w:color w:val="000000" w:themeColor="text1"/>
          <w:kern w:val="0"/>
          <w:sz w:val="22"/>
        </w:rPr>
      </w:pPr>
      <w:r w:rsidRPr="00CB5007">
        <w:rPr>
          <w:rFonts w:ascii="Cambria" w:eastAsia="Times New Roman" w:hAnsi="Cambria" w:cs="Times New Roman"/>
          <w:b w:val="0"/>
          <w:iCs/>
          <w:color w:val="000000" w:themeColor="text1"/>
          <w:kern w:val="0"/>
          <w:sz w:val="22"/>
          <w:lang w:eastAsia="fr-FR"/>
        </w:rPr>
        <w:t xml:space="preserve">Cet enseignement, visant surtout à l’acquisition de savoir-faire (paléographie, compréhension des textes, critique des sources), repose sur la pratique (travail sur les textes et documents) ; le mode de validation conseillé est le contrôle continu. </w:t>
      </w:r>
    </w:p>
    <w:p w14:paraId="43F21A2D" w14:textId="77777777" w:rsidR="00B722A0" w:rsidRPr="00CB5007" w:rsidRDefault="00B722A0" w:rsidP="00B722A0">
      <w:pPr>
        <w:spacing w:after="0" w:line="240" w:lineRule="auto"/>
        <w:jc w:val="both"/>
        <w:rPr>
          <w:rFonts w:ascii="Cambria" w:eastAsia="Calibri" w:hAnsi="Cambria" w:cs="Times New Roman"/>
          <w:iCs/>
          <w:color w:val="000000" w:themeColor="text1"/>
          <w:kern w:val="0"/>
          <w:sz w:val="22"/>
          <w:lang w:eastAsia="fr-FR"/>
        </w:rPr>
      </w:pPr>
    </w:p>
    <w:p w14:paraId="39E30C6F"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5660E13B"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 xml:space="preserve">NB : il est obligatoire de suivre l’enseignement Sources et méthodes de l’histoire moderne. </w:t>
      </w:r>
    </w:p>
    <w:p w14:paraId="5DAD6548"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013549E"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Orientation bibliographique</w:t>
      </w:r>
    </w:p>
    <w:p w14:paraId="60A22CF4"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48A37AA3"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Paléographie</w:t>
      </w:r>
    </w:p>
    <w:p w14:paraId="42A48B91"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Audisio (Gabriel), Rambaud (Isabelle), Lire le français d'hier : Manuel de paléographie moderne, XVe-XVIIIe siècle, Paris, 1991 ; 5</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éd. 2016.</w:t>
      </w:r>
    </w:p>
    <w:p w14:paraId="3D8B1709" w14:textId="77777777" w:rsidR="00B722A0" w:rsidRPr="00CB5007" w:rsidRDefault="00B722A0" w:rsidP="00B722A0">
      <w:pPr>
        <w:spacing w:after="0" w:line="240" w:lineRule="auto"/>
        <w:ind w:left="567" w:hanging="567"/>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Le Moël (Michel), Brunterc’h (Jean-Pierre), Cahier paléographique des Archives nationales, Paris, 1989.</w:t>
      </w:r>
    </w:p>
    <w:p w14:paraId="1BFF9A8D"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Buat (Nicolas), Van den Neste (Évelyne), Manuel de paléographie française, Paris, 2016.</w:t>
      </w:r>
    </w:p>
    <w:p w14:paraId="37D8C460"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Buat (Nicolas), Van den Neste (Évelyne), Dictionnaire de paléographie française : découvrir et comprendre les textes anciens, XV</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 Paris, 2011, rééd. 2016.</w:t>
      </w:r>
    </w:p>
    <w:p w14:paraId="11F276B6"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1DC0E3CF"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0BF03ED0"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AA67766"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F3F429E"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38EB9AF0" w14:textId="77777777" w:rsidR="00B722A0" w:rsidRPr="00CB5007" w:rsidRDefault="00B722A0" w:rsidP="00B722A0">
      <w:pPr>
        <w:autoSpaceDE w:val="0"/>
        <w:autoSpaceDN w:val="0"/>
        <w:adjustRightInd w:val="0"/>
        <w:spacing w:after="0" w:line="240" w:lineRule="auto"/>
        <w:rPr>
          <w:rFonts w:ascii="Cambria" w:eastAsia="Calibri" w:hAnsi="Cambria" w:cs="Times New Roman"/>
          <w:b w:val="0"/>
          <w:iCs/>
          <w:kern w:val="0"/>
          <w:sz w:val="22"/>
          <w:lang w:eastAsia="fr-FR"/>
        </w:rPr>
      </w:pPr>
      <w:r w:rsidRPr="00CB5007">
        <w:rPr>
          <w:rFonts w:ascii="Cambria" w:eastAsia="Calibri" w:hAnsi="Cambria" w:cs="Times New Roman"/>
          <w:b w:val="0"/>
          <w:iCs/>
          <w:kern w:val="0"/>
          <w:sz w:val="22"/>
          <w:lang w:eastAsia="fr-FR"/>
        </w:rPr>
        <w:t xml:space="preserve">Sur internet : </w:t>
      </w:r>
    </w:p>
    <w:p w14:paraId="41A3C6A0" w14:textId="77777777" w:rsidR="00B722A0" w:rsidRPr="00CB5007" w:rsidRDefault="00B722A0" w:rsidP="00B722A0">
      <w:pPr>
        <w:numPr>
          <w:ilvl w:val="0"/>
          <w:numId w:val="6"/>
        </w:numPr>
        <w:spacing w:after="0" w:line="240" w:lineRule="auto"/>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 xml:space="preserve">site « Thélème » de l’École nationale des Chartes : fac-similés de documents de l’époque moderne, avec transcription interactive. </w:t>
      </w:r>
      <w:hyperlink r:id="rId29">
        <w:r w:rsidRPr="00CB5007">
          <w:rPr>
            <w:rFonts w:ascii="Cambria" w:eastAsia="Calibri" w:hAnsi="Cambria" w:cs="Times New Roman"/>
            <w:b w:val="0"/>
            <w:iCs/>
            <w:color w:val="0000FF"/>
            <w:kern w:val="0"/>
            <w:sz w:val="22"/>
            <w:u w:val="single"/>
            <w:lang w:eastAsia="fr-FR"/>
          </w:rPr>
          <w:t>http://theleme.enc.sorbonne.fr/</w:t>
        </w:r>
      </w:hyperlink>
    </w:p>
    <w:p w14:paraId="4307AF02" w14:textId="77777777" w:rsidR="00B722A0" w:rsidRPr="00CB5007" w:rsidRDefault="00B722A0" w:rsidP="00B722A0">
      <w:pPr>
        <w:numPr>
          <w:ilvl w:val="0"/>
          <w:numId w:val="6"/>
        </w:numPr>
        <w:spacing w:after="0" w:line="240" w:lineRule="auto"/>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cours en ligne des services d’archives départementales</w:t>
      </w:r>
    </w:p>
    <w:p w14:paraId="18D1B320"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3FD18C78"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506BA1F"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4E1F31FE"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Sources d’archives</w:t>
      </w:r>
    </w:p>
    <w:p w14:paraId="1DCDCB58"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7AFEC249"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A706A20"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Delsalle (Paul), La recherche historique en archives, XVI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siècles, Paris, 1993 ; rééd. 2007.</w:t>
      </w:r>
    </w:p>
    <w:p w14:paraId="65A40DFD"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Devos (Roger), Gabion (Robert), Mariotte (Jean-Yves) et al., La pratique des documents anciens : actes publics et notariés, documents administratifs et comptables, Annecy, 1978.</w:t>
      </w:r>
    </w:p>
    <w:p w14:paraId="61B97DDF"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 xml:space="preserve">Félix (Joël), Économie et finances sous l’Ancien régime : Guide du chercheur (1523-1789), Paris, 1994. </w:t>
      </w:r>
      <w:hyperlink r:id="rId30">
        <w:r w:rsidRPr="00CB5007">
          <w:rPr>
            <w:rFonts w:ascii="Cambria" w:eastAsia="Calibri" w:hAnsi="Cambria" w:cs="Times New Roman"/>
            <w:b w:val="0"/>
            <w:iCs/>
            <w:color w:val="000080"/>
            <w:kern w:val="0"/>
            <w:sz w:val="22"/>
            <w:u w:val="single"/>
            <w:lang w:eastAsia="fr-FR"/>
          </w:rPr>
          <w:t>http://books.openedition.org/igpde/2245</w:t>
        </w:r>
      </w:hyperlink>
    </w:p>
    <w:p w14:paraId="241EC17C"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Garnot (Benoît), La justice et l'histoire : Sources judiciaires à l'époque moderne : XVI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siècles, Paris, 2006.</w:t>
      </w:r>
    </w:p>
    <w:p w14:paraId="4AF173FC"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2BFB5E65"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656105FB"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562F5E5A"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243794F"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2191CB01"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D8DAECD" w14:textId="77777777" w:rsidR="00B722A0" w:rsidRPr="00CB5007" w:rsidRDefault="00B722A0" w:rsidP="003C4573">
      <w:pPr>
        <w:spacing w:after="0" w:line="240" w:lineRule="auto"/>
        <w:jc w:val="both"/>
        <w:rPr>
          <w:rFonts w:ascii="Cambria" w:eastAsia="Calibri" w:hAnsi="Cambria"/>
          <w:b w:val="0"/>
          <w:iCs/>
          <w:kern w:val="0"/>
          <w:sz w:val="22"/>
          <w:lang w:eastAsia="fr-FR"/>
        </w:rPr>
      </w:pPr>
    </w:p>
    <w:p w14:paraId="3F77E622" w14:textId="77777777" w:rsidR="00B722A0" w:rsidRDefault="00B722A0" w:rsidP="00B722A0">
      <w:pPr>
        <w:spacing w:after="0" w:line="240" w:lineRule="auto"/>
        <w:ind w:left="567" w:hanging="567"/>
        <w:jc w:val="both"/>
        <w:rPr>
          <w:rFonts w:ascii="Cambria" w:eastAsia="Calibri" w:hAnsi="Cambria"/>
          <w:b w:val="0"/>
          <w:iCs/>
          <w:kern w:val="0"/>
          <w:sz w:val="22"/>
          <w:lang w:eastAsia="fr-FR"/>
        </w:rPr>
      </w:pPr>
    </w:p>
    <w:p w14:paraId="2D74E22F"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7E6E2DD9"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6CB93DE0"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02DD61D4"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27F2418B" w14:textId="77777777" w:rsidR="00834C0D" w:rsidRDefault="00834C0D" w:rsidP="00B722A0">
      <w:pPr>
        <w:spacing w:after="0" w:line="240" w:lineRule="auto"/>
        <w:ind w:left="567" w:hanging="567"/>
        <w:jc w:val="both"/>
        <w:rPr>
          <w:rFonts w:ascii="Cambria" w:eastAsia="Calibri" w:hAnsi="Cambria"/>
          <w:b w:val="0"/>
          <w:iCs/>
          <w:kern w:val="0"/>
          <w:sz w:val="22"/>
          <w:lang w:eastAsia="fr-FR"/>
        </w:rPr>
      </w:pPr>
    </w:p>
    <w:p w14:paraId="25EF78A5" w14:textId="77777777" w:rsidR="003C4573" w:rsidRPr="00CB5007" w:rsidRDefault="003C4573" w:rsidP="00B722A0">
      <w:pPr>
        <w:spacing w:after="0" w:line="240" w:lineRule="auto"/>
        <w:ind w:left="567" w:hanging="567"/>
        <w:jc w:val="both"/>
        <w:rPr>
          <w:rFonts w:ascii="Cambria" w:eastAsia="Calibri" w:hAnsi="Cambria"/>
          <w:b w:val="0"/>
          <w:iCs/>
          <w:kern w:val="0"/>
          <w:sz w:val="22"/>
          <w:lang w:eastAsia="fr-FR"/>
        </w:rPr>
      </w:pPr>
    </w:p>
    <w:p w14:paraId="089611CF" w14:textId="77777777" w:rsidR="00B722A0" w:rsidRDefault="00B722A0"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471DF346" w14:textId="77777777" w:rsidR="00B722A0" w:rsidRDefault="00B722A0"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269B9201" w14:textId="77777777" w:rsidR="0013259A" w:rsidRPr="00D87E98" w:rsidRDefault="0013259A" w:rsidP="0013259A">
      <w:pPr>
        <w:spacing w:after="0" w:line="240" w:lineRule="auto"/>
        <w:jc w:val="center"/>
        <w:rPr>
          <w:rFonts w:ascii="Cambria" w:eastAsia="Calibri" w:hAnsi="Cambria"/>
          <w:iCs/>
          <w:color w:val="C00000"/>
          <w:kern w:val="0"/>
          <w:sz w:val="28"/>
          <w:szCs w:val="28"/>
          <w:lang w:eastAsia="fr-FR"/>
        </w:rPr>
      </w:pPr>
      <w:r w:rsidRPr="00D87E98">
        <w:rPr>
          <w:rFonts w:ascii="Cambria" w:eastAsia="Calibri" w:hAnsi="Cambria"/>
          <w:iCs/>
          <w:color w:val="C00000"/>
          <w:kern w:val="0"/>
          <w:sz w:val="28"/>
          <w:szCs w:val="28"/>
          <w:lang w:eastAsia="fr-FR"/>
        </w:rPr>
        <w:t>J3012919/J3013019 : Histoire moderne</w:t>
      </w:r>
    </w:p>
    <w:p w14:paraId="393CE856" w14:textId="77777777" w:rsidR="0013259A" w:rsidRPr="00D87E98" w:rsidRDefault="0013259A" w:rsidP="0013259A">
      <w:pPr>
        <w:spacing w:after="0" w:line="240" w:lineRule="auto"/>
        <w:jc w:val="both"/>
        <w:rPr>
          <w:rFonts w:ascii="Cambria" w:eastAsia="Calibri" w:hAnsi="Cambria"/>
          <w:b w:val="0"/>
          <w:iCs/>
          <w:color w:val="C00000"/>
          <w:kern w:val="0"/>
          <w:sz w:val="28"/>
          <w:szCs w:val="28"/>
          <w:lang w:eastAsia="fr-FR"/>
        </w:rPr>
      </w:pPr>
    </w:p>
    <w:p w14:paraId="70A9F904" w14:textId="5526BD14" w:rsidR="0013259A" w:rsidRPr="00CB5007" w:rsidRDefault="0013259A" w:rsidP="0013259A">
      <w:pPr>
        <w:spacing w:after="0" w:line="240" w:lineRule="auto"/>
        <w:jc w:val="center"/>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Anne Conchon, Jean-Marie Le Gall</w:t>
      </w:r>
    </w:p>
    <w:p w14:paraId="43C2FD1F" w14:textId="77777777" w:rsidR="0013259A" w:rsidRPr="00CB5007" w:rsidRDefault="0013259A" w:rsidP="0013259A">
      <w:pPr>
        <w:spacing w:after="0" w:line="240" w:lineRule="auto"/>
        <w:jc w:val="center"/>
        <w:rPr>
          <w:rFonts w:ascii="Cambria" w:eastAsia="Calibri" w:hAnsi="Cambria" w:cs="Times New Roman"/>
          <w:iCs/>
          <w:kern w:val="0"/>
          <w:sz w:val="22"/>
          <w:lang w:eastAsia="fr-FR"/>
        </w:rPr>
      </w:pPr>
    </w:p>
    <w:p w14:paraId="2A75730B"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p>
    <w:p w14:paraId="76CB2C3C"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r w:rsidRPr="00CB5007">
        <w:rPr>
          <w:rFonts w:ascii="Cambria" w:eastAsia="Calibri" w:hAnsi="Cambria" w:cs="Times New Roman"/>
          <w:iCs/>
          <w:kern w:val="0"/>
          <w:sz w:val="22"/>
          <w:lang w:eastAsia="fr-FR"/>
        </w:rPr>
        <w:t>Mercredi, 10h30-12h</w:t>
      </w:r>
    </w:p>
    <w:p w14:paraId="6B6CDF53"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r w:rsidRPr="00CB5007">
        <w:rPr>
          <w:rFonts w:ascii="Cambria" w:eastAsia="Calibri" w:hAnsi="Cambria" w:cs="Times New Roman"/>
          <w:iCs/>
          <w:kern w:val="0"/>
          <w:sz w:val="22"/>
          <w:lang w:eastAsia="fr-FR"/>
        </w:rPr>
        <w:t>Archives nationales</w:t>
      </w:r>
      <w:r w:rsidRPr="00CB5007">
        <w:rPr>
          <w:rFonts w:ascii="Cambria" w:eastAsia="Calibri" w:hAnsi="Cambria" w:cs="Times New Roman"/>
          <w:b w:val="0"/>
          <w:iCs/>
          <w:kern w:val="0"/>
          <w:sz w:val="22"/>
          <w:lang w:eastAsia="fr-FR"/>
        </w:rPr>
        <w:t xml:space="preserve"> (salle d’albâtre du CARAN, 11 rue des Quatre-Fils, 75003 Paris)  </w:t>
      </w:r>
    </w:p>
    <w:p w14:paraId="4AC051C9"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p>
    <w:p w14:paraId="4F0E75BE" w14:textId="77777777" w:rsidR="0013259A" w:rsidRPr="00CB5007" w:rsidRDefault="0013259A" w:rsidP="0013259A">
      <w:pPr>
        <w:spacing w:after="0" w:line="240" w:lineRule="auto"/>
        <w:jc w:val="both"/>
        <w:rPr>
          <w:rFonts w:ascii="Cambria" w:eastAsia="Calibri" w:hAnsi="Cambria" w:cs="Times New Roman"/>
          <w:iCs/>
          <w:color w:val="0070C0"/>
          <w:kern w:val="0"/>
          <w:sz w:val="22"/>
          <w:lang w:eastAsia="fr-FR"/>
        </w:rPr>
      </w:pPr>
    </w:p>
    <w:p w14:paraId="78C7DF2C" w14:textId="77777777" w:rsidR="0013259A" w:rsidRPr="00D87E98" w:rsidRDefault="0013259A" w:rsidP="0013259A">
      <w:pPr>
        <w:spacing w:after="0" w:line="240" w:lineRule="auto"/>
        <w:rPr>
          <w:rFonts w:ascii="Cambria" w:eastAsia="Calibri" w:hAnsi="Cambria" w:cs="Times New Roman"/>
          <w:iCs/>
          <w:color w:val="C00000"/>
          <w:kern w:val="0"/>
          <w:sz w:val="22"/>
          <w:lang w:eastAsia="fr-FR"/>
        </w:rPr>
      </w:pPr>
      <w:r w:rsidRPr="00D87E98">
        <w:rPr>
          <w:rFonts w:ascii="Cambria" w:hAnsi="Cambria" w:cs="Times New Roman"/>
          <w:iCs/>
          <w:color w:val="C00000"/>
          <w:sz w:val="22"/>
          <w:u w:val="single"/>
        </w:rPr>
        <w:t>Sujet du cours</w:t>
      </w:r>
      <w:r w:rsidRPr="00D87E98">
        <w:rPr>
          <w:rFonts w:ascii="Cambria" w:hAnsi="Cambria" w:cs="Times New Roman"/>
          <w:iCs/>
          <w:color w:val="C00000"/>
          <w:sz w:val="22"/>
        </w:rPr>
        <w:t xml:space="preserve"> : </w:t>
      </w:r>
      <w:r w:rsidRPr="00D87E98">
        <w:rPr>
          <w:rFonts w:ascii="Cambria" w:eastAsia="Calibri" w:hAnsi="Cambria" w:cs="Times New Roman"/>
          <w:iCs/>
          <w:color w:val="C00000"/>
          <w:kern w:val="0"/>
          <w:sz w:val="22"/>
          <w:lang w:eastAsia="fr-FR"/>
        </w:rPr>
        <w:t>Sources et méthodes en Historie moderne (XVIe-XVIIIe siècles)</w:t>
      </w:r>
    </w:p>
    <w:p w14:paraId="26C9A36E" w14:textId="77777777" w:rsidR="0013259A" w:rsidRPr="00D87E98" w:rsidRDefault="0013259A" w:rsidP="0013259A">
      <w:pPr>
        <w:spacing w:after="0" w:line="240" w:lineRule="auto"/>
        <w:rPr>
          <w:rFonts w:ascii="Cambria" w:eastAsia="Calibri" w:hAnsi="Cambria" w:cs="Times New Roman"/>
          <w:iCs/>
          <w:color w:val="C00000"/>
          <w:kern w:val="0"/>
          <w:sz w:val="22"/>
          <w:lang w:eastAsia="fr-FR"/>
        </w:rPr>
      </w:pPr>
    </w:p>
    <w:p w14:paraId="208F83F6" w14:textId="77777777" w:rsidR="0013259A" w:rsidRPr="00CB5007" w:rsidRDefault="0013259A" w:rsidP="0013259A">
      <w:pPr>
        <w:spacing w:after="0" w:line="240" w:lineRule="auto"/>
        <w:rPr>
          <w:rFonts w:ascii="Cambria" w:eastAsia="Calibri" w:hAnsi="Cambria" w:cs="Times New Roman"/>
          <w:iCs/>
          <w:color w:val="0070C0"/>
          <w:kern w:val="0"/>
          <w:sz w:val="22"/>
          <w:lang w:eastAsia="fr-FR"/>
        </w:rPr>
      </w:pPr>
    </w:p>
    <w:p w14:paraId="3CC63568" w14:textId="77777777" w:rsidR="0013259A" w:rsidRPr="00CB5007" w:rsidRDefault="0013259A" w:rsidP="0013259A">
      <w:pPr>
        <w:spacing w:after="0" w:line="240" w:lineRule="auto"/>
        <w:rPr>
          <w:rFonts w:ascii="Cambria" w:eastAsia="Calibri" w:hAnsi="Cambria" w:cs="Times New Roman"/>
          <w:b w:val="0"/>
          <w:bCs/>
          <w:iCs/>
          <w:color w:val="000000" w:themeColor="text1"/>
          <w:kern w:val="0"/>
          <w:sz w:val="22"/>
          <w:lang w:eastAsia="fr-FR"/>
        </w:rPr>
      </w:pPr>
      <w:r w:rsidRPr="00CB5007">
        <w:rPr>
          <w:rFonts w:ascii="Cambria" w:eastAsia="Calibri" w:hAnsi="Cambria" w:cs="Times New Roman"/>
          <w:b w:val="0"/>
          <w:bCs/>
          <w:iCs/>
          <w:color w:val="000000" w:themeColor="text1"/>
          <w:kern w:val="0"/>
          <w:sz w:val="22"/>
          <w:lang w:eastAsia="fr-FR"/>
        </w:rPr>
        <w:t>Ce cours qui se tient aux Archives nationales est la première opportunité offerte dans un cursus de travailler au contact direct des archives et de leur matérialité.</w:t>
      </w:r>
    </w:p>
    <w:p w14:paraId="1AFBA3BC" w14:textId="77777777" w:rsidR="0013259A" w:rsidRPr="00CB5007" w:rsidRDefault="0013259A" w:rsidP="0013259A">
      <w:pPr>
        <w:spacing w:after="0" w:line="240" w:lineRule="auto"/>
        <w:rPr>
          <w:rFonts w:ascii="Cambria" w:eastAsia="Calibri" w:hAnsi="Cambria" w:cs="Times New Roman"/>
          <w:b w:val="0"/>
          <w:bCs/>
          <w:iCs/>
          <w:color w:val="000000" w:themeColor="text1"/>
          <w:kern w:val="0"/>
          <w:sz w:val="22"/>
          <w:lang w:eastAsia="fr-FR"/>
        </w:rPr>
      </w:pPr>
    </w:p>
    <w:p w14:paraId="42C52BAE"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But de l’enseignement : donner une vue d’ensemble des sources de l’histoire de France, des institutions qui les ont produites (chancellerie royale, cours souveraines, juridictions locales, notaires, établissements ecclésiastiques…), des champs de recherches qu’elles ont offerts aux historiens (histoire politique, histoire économique et sociale, histoire judiciaire, histoire militaire, histoire religieuse…), des débats et évolutions historiographiques qui en ont résulté.</w:t>
      </w:r>
    </w:p>
    <w:p w14:paraId="21297786"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 xml:space="preserve">Comme exercice pratique, chaque étudiant est invité à rendre compte d’une monographie historique par le biais de cas pratiques d’utilisation des sources. </w:t>
      </w:r>
    </w:p>
    <w:p w14:paraId="4EDB03D4" w14:textId="77777777" w:rsidR="0013259A" w:rsidRPr="00CB5007" w:rsidRDefault="0013259A" w:rsidP="0013259A">
      <w:pPr>
        <w:spacing w:after="0" w:line="240" w:lineRule="auto"/>
        <w:jc w:val="both"/>
        <w:rPr>
          <w:rFonts w:ascii="Cambria" w:hAnsi="Cambria" w:cs="Times New Roman"/>
          <w:b w:val="0"/>
          <w:iCs/>
          <w:sz w:val="22"/>
          <w:lang w:eastAsia="fr-FR"/>
        </w:rPr>
      </w:pPr>
    </w:p>
    <w:p w14:paraId="432EC60A"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u w:val="single"/>
          <w:lang w:eastAsia="fr-FR"/>
        </w:rPr>
        <w:t>NB </w:t>
      </w:r>
      <w:r w:rsidRPr="00CB5007">
        <w:rPr>
          <w:rFonts w:ascii="Cambria" w:hAnsi="Cambria" w:cs="Times New Roman"/>
          <w:b w:val="0"/>
          <w:iCs/>
          <w:sz w:val="22"/>
          <w:lang w:eastAsia="fr-FR"/>
        </w:rPr>
        <w:t xml:space="preserve">: il est obligatoire de suivre, en Options professionnalisantes, l’enseignement de Paléographie moderne. </w:t>
      </w:r>
    </w:p>
    <w:p w14:paraId="7470484B" w14:textId="77777777" w:rsidR="0013259A" w:rsidRPr="00CB5007" w:rsidRDefault="0013259A" w:rsidP="0013259A">
      <w:pPr>
        <w:spacing w:after="0" w:line="240" w:lineRule="auto"/>
        <w:jc w:val="both"/>
        <w:rPr>
          <w:rFonts w:ascii="Cambria" w:hAnsi="Cambria" w:cs="Times New Roman"/>
          <w:b w:val="0"/>
          <w:iCs/>
          <w:sz w:val="22"/>
          <w:lang w:eastAsia="fr-FR"/>
        </w:rPr>
      </w:pPr>
    </w:p>
    <w:p w14:paraId="12925D36" w14:textId="77777777" w:rsidR="0013259A" w:rsidRPr="00CB5007" w:rsidRDefault="0013259A" w:rsidP="0013259A">
      <w:pPr>
        <w:spacing w:after="0" w:line="240" w:lineRule="auto"/>
        <w:jc w:val="both"/>
        <w:rPr>
          <w:rFonts w:ascii="Cambria" w:hAnsi="Cambria" w:cs="Times New Roman"/>
          <w:b w:val="0"/>
          <w:iCs/>
          <w:sz w:val="22"/>
          <w:lang w:eastAsia="fr-FR"/>
        </w:rPr>
      </w:pPr>
    </w:p>
    <w:p w14:paraId="140E8CC1" w14:textId="77777777" w:rsidR="0013259A" w:rsidRPr="00CB5007" w:rsidRDefault="0013259A" w:rsidP="0013259A">
      <w:pPr>
        <w:spacing w:after="0" w:line="240" w:lineRule="auto"/>
        <w:jc w:val="both"/>
        <w:rPr>
          <w:rFonts w:ascii="Cambria" w:hAnsi="Cambria" w:cs="Times New Roman"/>
          <w:b w:val="0"/>
          <w:iCs/>
          <w:sz w:val="22"/>
          <w:lang w:eastAsia="fr-FR"/>
        </w:rPr>
      </w:pPr>
    </w:p>
    <w:p w14:paraId="0D3A7B11" w14:textId="77777777" w:rsidR="0013259A" w:rsidRPr="00CB5007" w:rsidRDefault="0013259A" w:rsidP="0013259A">
      <w:pPr>
        <w:spacing w:after="0" w:line="240" w:lineRule="auto"/>
        <w:jc w:val="both"/>
        <w:rPr>
          <w:rFonts w:ascii="Cambria" w:hAnsi="Cambria" w:cs="Times New Roman"/>
          <w:b w:val="0"/>
          <w:iCs/>
          <w:sz w:val="22"/>
          <w:lang w:eastAsia="fr-FR"/>
        </w:rPr>
      </w:pPr>
    </w:p>
    <w:p w14:paraId="1790026F" w14:textId="77777777" w:rsidR="0013259A" w:rsidRPr="00CB5007" w:rsidRDefault="0013259A" w:rsidP="0013259A">
      <w:pPr>
        <w:spacing w:after="0" w:line="240" w:lineRule="auto"/>
        <w:jc w:val="both"/>
        <w:rPr>
          <w:rFonts w:ascii="Cambria" w:hAnsi="Cambria" w:cs="Times New Roman"/>
          <w:b w:val="0"/>
          <w:iCs/>
          <w:sz w:val="22"/>
          <w:lang w:eastAsia="fr-FR"/>
        </w:rPr>
      </w:pPr>
    </w:p>
    <w:p w14:paraId="0ABA2C34" w14:textId="77777777" w:rsidR="0013259A" w:rsidRPr="00CB5007" w:rsidRDefault="0013259A" w:rsidP="0013259A">
      <w:pPr>
        <w:spacing w:after="0" w:line="240" w:lineRule="auto"/>
        <w:jc w:val="both"/>
        <w:rPr>
          <w:rFonts w:ascii="Cambria" w:hAnsi="Cambria" w:cs="Times New Roman"/>
          <w:b w:val="0"/>
          <w:iCs/>
          <w:sz w:val="22"/>
          <w:lang w:eastAsia="fr-FR"/>
        </w:rPr>
      </w:pPr>
    </w:p>
    <w:p w14:paraId="233E6C22" w14:textId="77777777" w:rsidR="0013259A" w:rsidRPr="00CB5007" w:rsidRDefault="0013259A" w:rsidP="0013259A">
      <w:pPr>
        <w:spacing w:after="0" w:line="240" w:lineRule="auto"/>
        <w:jc w:val="both"/>
        <w:rPr>
          <w:rFonts w:ascii="Cambria" w:hAnsi="Cambria" w:cs="Times New Roman"/>
          <w:b w:val="0"/>
          <w:iCs/>
          <w:sz w:val="22"/>
          <w:lang w:eastAsia="fr-FR"/>
        </w:rPr>
      </w:pPr>
    </w:p>
    <w:p w14:paraId="2CC71265" w14:textId="77777777" w:rsidR="0013259A" w:rsidRPr="00CB5007" w:rsidRDefault="0013259A" w:rsidP="0013259A">
      <w:pPr>
        <w:spacing w:after="0" w:line="240" w:lineRule="auto"/>
        <w:jc w:val="both"/>
        <w:rPr>
          <w:rFonts w:ascii="Cambria" w:hAnsi="Cambria" w:cs="Times New Roman"/>
          <w:b w:val="0"/>
          <w:iCs/>
          <w:sz w:val="22"/>
          <w:lang w:eastAsia="fr-FR"/>
        </w:rPr>
      </w:pPr>
    </w:p>
    <w:p w14:paraId="6C196F73" w14:textId="77777777" w:rsidR="0013259A" w:rsidRPr="00CB5007" w:rsidRDefault="0013259A" w:rsidP="0013259A">
      <w:pPr>
        <w:spacing w:after="0" w:line="240" w:lineRule="auto"/>
        <w:jc w:val="both"/>
        <w:rPr>
          <w:rFonts w:ascii="Cambria" w:hAnsi="Cambria" w:cs="Times New Roman"/>
          <w:b w:val="0"/>
          <w:iCs/>
          <w:sz w:val="22"/>
          <w:lang w:eastAsia="fr-FR"/>
        </w:rPr>
      </w:pPr>
    </w:p>
    <w:p w14:paraId="26D588EA" w14:textId="77777777" w:rsidR="0013259A" w:rsidRPr="00CB5007" w:rsidRDefault="0013259A" w:rsidP="0013259A">
      <w:pPr>
        <w:spacing w:after="0" w:line="240" w:lineRule="auto"/>
        <w:jc w:val="both"/>
        <w:rPr>
          <w:rFonts w:ascii="Cambria" w:hAnsi="Cambria" w:cs="Times New Roman"/>
          <w:b w:val="0"/>
          <w:iCs/>
          <w:sz w:val="22"/>
          <w:lang w:eastAsia="fr-FR"/>
        </w:rPr>
      </w:pPr>
    </w:p>
    <w:p w14:paraId="68F22F7A" w14:textId="77777777" w:rsidR="0013259A" w:rsidRPr="00CB5007" w:rsidRDefault="0013259A" w:rsidP="0013259A">
      <w:pPr>
        <w:spacing w:after="0" w:line="240" w:lineRule="auto"/>
        <w:jc w:val="both"/>
        <w:rPr>
          <w:rFonts w:ascii="Cambria" w:hAnsi="Cambria" w:cs="Times New Roman"/>
          <w:b w:val="0"/>
          <w:iCs/>
          <w:sz w:val="22"/>
          <w:lang w:eastAsia="fr-FR"/>
        </w:rPr>
      </w:pPr>
    </w:p>
    <w:p w14:paraId="2E145D8C" w14:textId="77777777" w:rsidR="0013259A" w:rsidRPr="00CB5007" w:rsidRDefault="0013259A" w:rsidP="0013259A">
      <w:pPr>
        <w:spacing w:after="0" w:line="240" w:lineRule="auto"/>
        <w:jc w:val="both"/>
        <w:rPr>
          <w:rFonts w:ascii="Cambria" w:hAnsi="Cambria" w:cs="Times New Roman"/>
          <w:b w:val="0"/>
          <w:iCs/>
          <w:sz w:val="22"/>
          <w:lang w:eastAsia="fr-FR"/>
        </w:rPr>
      </w:pPr>
    </w:p>
    <w:p w14:paraId="5E5591DC"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Bibliographie </w:t>
      </w:r>
    </w:p>
    <w:p w14:paraId="13C98223"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mallCaps/>
          <w:sz w:val="22"/>
        </w:rPr>
        <w:t>Barbiche</w:t>
      </w:r>
      <w:r w:rsidRPr="00CB5007">
        <w:rPr>
          <w:rFonts w:ascii="Cambria" w:hAnsi="Cambria" w:cs="Times New Roman"/>
          <w:b w:val="0"/>
          <w:iCs/>
          <w:sz w:val="22"/>
        </w:rPr>
        <w:t xml:space="preserve"> Bernard, Les institutions de la monarchie française à l’époque moderne, Paris, PUF, 1999, rééd 2012</w:t>
      </w:r>
    </w:p>
    <w:p w14:paraId="34922AB1"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Beaurepaire (Pierre-Yves) et al., Les temps modernes : 1453-1815, sources, historiographie, controverses, enjeux, Paris, Belin, 2012.</w:t>
      </w:r>
    </w:p>
    <w:p w14:paraId="667CA80F" w14:textId="77777777" w:rsidR="0013259A" w:rsidRPr="00CB5007" w:rsidRDefault="0013259A" w:rsidP="0013259A">
      <w:pPr>
        <w:spacing w:after="0" w:line="276" w:lineRule="auto"/>
        <w:ind w:left="540" w:hanging="540"/>
        <w:jc w:val="both"/>
        <w:rPr>
          <w:rFonts w:ascii="Cambria" w:hAnsi="Cambria" w:cs="Times New Roman"/>
          <w:b w:val="0"/>
          <w:iCs/>
          <w:sz w:val="22"/>
        </w:rPr>
      </w:pPr>
      <w:r w:rsidRPr="00CB5007">
        <w:rPr>
          <w:rFonts w:ascii="Cambria" w:hAnsi="Cambria" w:cs="Times New Roman"/>
          <w:b w:val="0"/>
          <w:iCs/>
          <w:smallCaps/>
          <w:sz w:val="22"/>
        </w:rPr>
        <w:t>Bély</w:t>
      </w:r>
      <w:r w:rsidRPr="00CB5007">
        <w:rPr>
          <w:rFonts w:ascii="Cambria" w:hAnsi="Cambria" w:cs="Times New Roman"/>
          <w:b w:val="0"/>
          <w:iCs/>
          <w:sz w:val="22"/>
        </w:rPr>
        <w:t xml:space="preserve"> Lucien, Dictionnaire de l’Ancien Régime : royaume de France, XVIe-XVIIIe, Paris, 1996, rééd. 2010.</w:t>
      </w:r>
    </w:p>
    <w:p w14:paraId="57482688"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Gourdon (Vincent), Économie et société sous l’Ancien Régime, Paris, Hachette, 2000.</w:t>
      </w:r>
    </w:p>
    <w:p w14:paraId="05FB1C81" w14:textId="77777777" w:rsidR="0013259A" w:rsidRPr="00CB5007" w:rsidRDefault="0013259A" w:rsidP="0013259A">
      <w:pPr>
        <w:spacing w:after="0" w:line="240" w:lineRule="auto"/>
        <w:jc w:val="both"/>
        <w:rPr>
          <w:rFonts w:ascii="Cambria" w:hAnsi="Cambria" w:cs="Times New Roman"/>
          <w:b w:val="0"/>
          <w:iCs/>
          <w:sz w:val="22"/>
          <w:lang w:eastAsia="fr-FR"/>
        </w:rPr>
      </w:pPr>
    </w:p>
    <w:p w14:paraId="0D814653"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Hamon (Philippe), Jouanna (Arlette), La France de la Renaissance. Histoire et dictionnaire, Paris, 2001.</w:t>
      </w:r>
    </w:p>
    <w:p w14:paraId="3373A03D" w14:textId="77777777" w:rsidR="0013259A" w:rsidRPr="00CB5007" w:rsidRDefault="0013259A" w:rsidP="0013259A">
      <w:pPr>
        <w:spacing w:after="0" w:line="240" w:lineRule="auto"/>
        <w:jc w:val="both"/>
        <w:rPr>
          <w:rFonts w:ascii="Cambria" w:hAnsi="Cambria" w:cs="Times New Roman"/>
          <w:b w:val="0"/>
          <w:iCs/>
          <w:sz w:val="22"/>
          <w:lang w:eastAsia="fr-FR"/>
        </w:rPr>
      </w:pPr>
    </w:p>
    <w:p w14:paraId="75D725F0"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Richet (Denis), La France moderne : l’esprit des institutions, Paris, Flammarion, 1973.</w:t>
      </w:r>
    </w:p>
    <w:p w14:paraId="59D769F6"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 xml:space="preserve">Les volumes de la collection Archives chez Gallimard, par exemple : </w:t>
      </w:r>
    </w:p>
    <w:p w14:paraId="3808F349"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Arlette Farge, Vivre dans la rue à Paris au XVIII</w:t>
      </w:r>
      <w:r w:rsidRPr="00CB5007">
        <w:rPr>
          <w:rFonts w:ascii="Cambria" w:hAnsi="Cambria" w:cs="Times New Roman"/>
          <w:b w:val="0"/>
          <w:iCs/>
          <w:sz w:val="22"/>
          <w:vertAlign w:val="superscript"/>
          <w:lang w:eastAsia="fr-FR"/>
        </w:rPr>
        <w:t xml:space="preserve">e </w:t>
      </w:r>
      <w:r w:rsidRPr="00CB5007">
        <w:rPr>
          <w:rFonts w:ascii="Cambria" w:hAnsi="Cambria" w:cs="Times New Roman"/>
          <w:b w:val="0"/>
          <w:iCs/>
          <w:sz w:val="22"/>
          <w:lang w:eastAsia="fr-FR"/>
        </w:rPr>
        <w:t xml:space="preserve">siècle, Paris, Gallimard, 1979. </w:t>
      </w:r>
    </w:p>
    <w:p w14:paraId="4A6A0718"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609EF9CF"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4DE26F16"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02CC869F"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7B553D40"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101BC900"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14FABC13"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5D2E4A7A"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705E7D6F" w14:textId="77777777" w:rsidR="0013259A"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18E03D96"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2554DCF3"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629AE8EB"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01DEDCED"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49C9FDF8"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5C8842FA" w14:textId="77777777" w:rsidR="003C4573" w:rsidRDefault="003C4573" w:rsidP="00D87E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16933B69"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69466718" w14:textId="77777777" w:rsidR="0013259A" w:rsidRPr="00D87E98" w:rsidRDefault="0013259A" w:rsidP="0013259A">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D87E98">
        <w:rPr>
          <w:rFonts w:ascii="Cambria" w:eastAsia="Times New Roman" w:hAnsi="Cambria" w:cs="Times New Roman"/>
          <w:iCs/>
          <w:color w:val="C00000"/>
          <w:kern w:val="0"/>
          <w:sz w:val="28"/>
          <w:szCs w:val="28"/>
          <w:lang w:eastAsia="fr-FR"/>
        </w:rPr>
        <w:t>J3023519 /J3023619 Histoire de la presse</w:t>
      </w:r>
    </w:p>
    <w:p w14:paraId="4CEDE041" w14:textId="77777777" w:rsidR="0013259A" w:rsidRPr="00525A1C" w:rsidRDefault="0013259A" w:rsidP="0013259A">
      <w:pPr>
        <w:spacing w:after="0" w:line="240" w:lineRule="auto"/>
        <w:jc w:val="both"/>
        <w:rPr>
          <w:rFonts w:ascii="Cambria" w:eastAsiaTheme="minorHAnsi" w:hAnsi="Cambria"/>
          <w:b w:val="0"/>
          <w:iCs/>
          <w:color w:val="000000" w:themeColor="text1"/>
          <w:kern w:val="0"/>
          <w:sz w:val="22"/>
          <w:lang w:eastAsia="en-US"/>
        </w:rPr>
      </w:pPr>
    </w:p>
    <w:p w14:paraId="5CC103F7" w14:textId="31704519" w:rsidR="0013259A" w:rsidRPr="00525A1C" w:rsidRDefault="0013259A" w:rsidP="00B3239E">
      <w:pPr>
        <w:spacing w:after="0" w:line="240" w:lineRule="auto"/>
        <w:jc w:val="center"/>
        <w:rPr>
          <w:rFonts w:ascii="Cambria" w:eastAsiaTheme="minorHAnsi" w:hAnsi="Cambria"/>
          <w:iCs/>
          <w:color w:val="000000" w:themeColor="text1"/>
          <w:kern w:val="0"/>
          <w:sz w:val="22"/>
          <w:lang w:eastAsia="en-US"/>
        </w:rPr>
      </w:pPr>
      <w:r w:rsidRPr="00525A1C">
        <w:rPr>
          <w:rFonts w:ascii="Cambria" w:eastAsiaTheme="minorHAnsi" w:hAnsi="Cambria"/>
          <w:iCs/>
          <w:color w:val="000000" w:themeColor="text1"/>
          <w:kern w:val="0"/>
          <w:sz w:val="22"/>
          <w:lang w:eastAsia="en-US"/>
        </w:rPr>
        <w:t>Laurent Bihl</w:t>
      </w:r>
    </w:p>
    <w:p w14:paraId="73C1F936" w14:textId="77777777" w:rsidR="0013259A" w:rsidRPr="00525A1C" w:rsidRDefault="0013259A" w:rsidP="0013259A">
      <w:pPr>
        <w:suppressAutoHyphens/>
        <w:spacing w:after="0" w:line="240" w:lineRule="auto"/>
        <w:jc w:val="both"/>
        <w:textAlignment w:val="baseline"/>
        <w:rPr>
          <w:rFonts w:ascii="Cambria" w:eastAsia="Times New Roman" w:hAnsi="Cambria" w:cs="Times New Roman"/>
          <w:iCs/>
          <w:color w:val="0070C0"/>
          <w:kern w:val="0"/>
          <w:sz w:val="22"/>
          <w:lang w:eastAsia="fr-FR"/>
        </w:rPr>
      </w:pPr>
    </w:p>
    <w:p w14:paraId="73828EB1" w14:textId="77777777" w:rsidR="0013259A" w:rsidRPr="00C825DC" w:rsidRDefault="0013259A" w:rsidP="0013259A">
      <w:pPr>
        <w:spacing w:after="0" w:line="240" w:lineRule="auto"/>
        <w:jc w:val="both"/>
        <w:rPr>
          <w:rFonts w:ascii="Cambria" w:hAnsi="Cambria"/>
          <w:iCs/>
          <w:color w:val="C00000"/>
          <w:sz w:val="22"/>
        </w:rPr>
      </w:pPr>
      <w:r w:rsidRPr="00C825DC">
        <w:rPr>
          <w:rFonts w:ascii="Cambria" w:hAnsi="Cambria"/>
          <w:iCs/>
          <w:color w:val="C00000"/>
          <w:sz w:val="22"/>
          <w:u w:val="single"/>
        </w:rPr>
        <w:t xml:space="preserve">Sujet du cours </w:t>
      </w:r>
      <w:r w:rsidRPr="00C825DC">
        <w:rPr>
          <w:rFonts w:ascii="Cambria" w:hAnsi="Cambria"/>
          <w:iCs/>
          <w:color w:val="C00000"/>
          <w:sz w:val="22"/>
        </w:rPr>
        <w:t xml:space="preserve">: Histoire de la presse française, de 1789 à 1939 </w:t>
      </w:r>
    </w:p>
    <w:p w14:paraId="72A902BA" w14:textId="77777777" w:rsidR="0013259A" w:rsidRPr="00525A1C" w:rsidRDefault="0013259A" w:rsidP="0013259A">
      <w:pPr>
        <w:jc w:val="both"/>
        <w:rPr>
          <w:rFonts w:ascii="Cambria" w:hAnsi="Cambria"/>
          <w:iCs/>
          <w:sz w:val="22"/>
        </w:rPr>
      </w:pPr>
    </w:p>
    <w:p w14:paraId="58DA7F19" w14:textId="77777777" w:rsidR="0013259A" w:rsidRPr="00525A1C" w:rsidRDefault="0013259A" w:rsidP="0013259A">
      <w:pPr>
        <w:spacing w:before="100" w:beforeAutospacing="1" w:after="100" w:afterAutospacing="1" w:line="240" w:lineRule="auto"/>
        <w:jc w:val="both"/>
        <w:rPr>
          <w:rFonts w:ascii="Cambria" w:eastAsia="Times New Roman" w:hAnsi="Cambria" w:cs="Times New Roman"/>
          <w:b w:val="0"/>
          <w:bCs/>
          <w:sz w:val="22"/>
          <w:lang w:eastAsia="fr-FR"/>
        </w:rPr>
      </w:pPr>
      <w:r w:rsidRPr="00525A1C">
        <w:rPr>
          <w:rFonts w:ascii="Cambria" w:eastAsia="Times New Roman" w:hAnsi="Cambria" w:cs="Times New Roman"/>
          <w:b w:val="0"/>
          <w:bCs/>
          <w:sz w:val="22"/>
          <w:lang w:eastAsia="fr-FR"/>
        </w:rPr>
        <w:t xml:space="preserve">L’évaluation se fera sur la base d’un exposé, d’un partiel blanc et d’un partiel de fin de semestre. </w:t>
      </w:r>
    </w:p>
    <w:p w14:paraId="514AC0B7" w14:textId="77777777" w:rsidR="0013259A" w:rsidRPr="00525A1C" w:rsidRDefault="0013259A" w:rsidP="0013259A">
      <w:pPr>
        <w:pBdr>
          <w:bottom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Haut du formulaire</w:t>
      </w:r>
    </w:p>
    <w:p w14:paraId="3BD01621" w14:textId="77777777" w:rsidR="0013259A" w:rsidRPr="00525A1C" w:rsidRDefault="0013259A" w:rsidP="0013259A">
      <w:pPr>
        <w:pBdr>
          <w:top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Bas du formulaire</w:t>
      </w:r>
    </w:p>
    <w:p w14:paraId="38EDCE2D" w14:textId="77777777" w:rsidR="0013259A" w:rsidRPr="00525A1C" w:rsidRDefault="0013259A" w:rsidP="0013259A">
      <w:pPr>
        <w:pBdr>
          <w:bottom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Haut du formulaire</w:t>
      </w:r>
    </w:p>
    <w:p w14:paraId="160B5430" w14:textId="77777777" w:rsidR="0013259A" w:rsidRPr="00525A1C" w:rsidRDefault="0013259A" w:rsidP="0013259A">
      <w:pPr>
        <w:pBdr>
          <w:top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Bas du formulaire</w:t>
      </w:r>
    </w:p>
    <w:p w14:paraId="4185F880" w14:textId="695A5D33" w:rsidR="0013259A" w:rsidRPr="00525A1C" w:rsidRDefault="0013259A" w:rsidP="0013259A">
      <w:pPr>
        <w:spacing w:before="100" w:beforeAutospacing="1" w:after="100" w:afterAutospacing="1" w:line="240" w:lineRule="auto"/>
        <w:jc w:val="both"/>
        <w:rPr>
          <w:rFonts w:ascii="Cambria" w:eastAsia="Times New Roman" w:hAnsi="Cambria" w:cs="Times New Roman"/>
          <w:b w:val="0"/>
          <w:bCs/>
          <w:sz w:val="22"/>
          <w:lang w:eastAsia="fr-FR"/>
        </w:rPr>
      </w:pPr>
      <w:r w:rsidRPr="00525A1C">
        <w:rPr>
          <w:rFonts w:ascii="Cambria" w:eastAsia="Times New Roman" w:hAnsi="Cambria" w:cs="Times New Roman"/>
          <w:b w:val="0"/>
          <w:bCs/>
          <w:sz w:val="22"/>
          <w:lang w:eastAsia="fr-FR"/>
        </w:rPr>
        <w:t xml:space="preserve">Depuis la Révolution française, la presse occupe une place essentielle dans les sociétés occidentales, au sein desquelles elle anime, régule et reflète la vie politique. On a pu ainsi parler du dix-neuvième siècle comme d’un « âge du papier » ou celui de la « Civilisation du journal » (D. Kalifa). L’histoire de la presse est sensiblement traversée par les « cultures politiques » (S. Bernstein) dont les problématiques s’imposent peu à peu comme essentielles : rapports de la presse au pouvoir, tensions entre censure(s) et liberté de la presse, le journal comme le lieu d’élaboration des programmes politiques (C. Charle) ou comme support de l’acculturation progressive à la sérialité et à la société du spectacle en cours d’élaboration.  Mais dresser une typologie des différents types de journaux revient aussi à esquisser une étude matérielle de l’objet journal, des lieux et des pratiques de lecture (A-M. Thiesse), de l’identité d’une profession, de l’information face à ses sources ou aux tentations de déformation, de polémique, de satire. </w:t>
      </w:r>
    </w:p>
    <w:p w14:paraId="1AFAA6D9" w14:textId="4AB65108" w:rsidR="0013259A" w:rsidRDefault="0013259A" w:rsidP="00C825DC">
      <w:pPr>
        <w:spacing w:line="240" w:lineRule="auto"/>
        <w:ind w:left="2124" w:firstLine="708"/>
        <w:jc w:val="both"/>
        <w:rPr>
          <w:rFonts w:ascii="Cambria" w:eastAsia="Times New Roman" w:hAnsi="Cambria"/>
          <w:b w:val="0"/>
          <w:sz w:val="22"/>
          <w:u w:val="single"/>
          <w:lang w:eastAsia="fr-FR"/>
        </w:rPr>
      </w:pPr>
      <w:r w:rsidRPr="00525A1C">
        <w:rPr>
          <w:rFonts w:ascii="Cambria" w:eastAsia="Times New Roman" w:hAnsi="Cambria"/>
          <w:b w:val="0"/>
          <w:sz w:val="22"/>
          <w:u w:val="single"/>
          <w:lang w:eastAsia="fr-FR"/>
        </w:rPr>
        <w:t>Bibliographie indicative</w:t>
      </w:r>
    </w:p>
    <w:p w14:paraId="38405793" w14:textId="77777777" w:rsidR="00C825DC" w:rsidRPr="00C825DC" w:rsidRDefault="00C825DC" w:rsidP="00C825DC">
      <w:pPr>
        <w:spacing w:line="240" w:lineRule="auto"/>
        <w:ind w:left="2124" w:firstLine="708"/>
        <w:jc w:val="both"/>
        <w:rPr>
          <w:rFonts w:ascii="Cambria" w:eastAsia="Times New Roman" w:hAnsi="Cambria"/>
          <w:b w:val="0"/>
          <w:sz w:val="22"/>
          <w:u w:val="single"/>
          <w:lang w:eastAsia="fr-FR"/>
        </w:rPr>
      </w:pPr>
    </w:p>
    <w:p w14:paraId="1CDF86E9"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u w:val="single"/>
          <w:lang w:eastAsia="fr-FR"/>
        </w:rPr>
        <w:t>Pour commencer, le minimum</w:t>
      </w:r>
      <w:r w:rsidRPr="00525A1C">
        <w:rPr>
          <w:rFonts w:ascii="Cambria" w:eastAsia="Times New Roman" w:hAnsi="Cambria"/>
          <w:b w:val="0"/>
          <w:sz w:val="22"/>
          <w:lang w:eastAsia="fr-FR"/>
        </w:rPr>
        <w:t xml:space="preserve"> : </w:t>
      </w:r>
    </w:p>
    <w:p w14:paraId="4647555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Le plus récent : Claire Blandin, François Robinet et Valérie Schafer (sous la dir), </w:t>
      </w:r>
      <w:r w:rsidRPr="00525A1C">
        <w:rPr>
          <w:rFonts w:ascii="Cambria" w:eastAsia="Times New Roman" w:hAnsi="Cambria"/>
          <w:b w:val="0"/>
          <w:i/>
          <w:iCs/>
          <w:sz w:val="22"/>
          <w:lang w:eastAsia="fr-FR"/>
        </w:rPr>
        <w:t>Penser l’histoire des médias</w:t>
      </w:r>
      <w:r w:rsidRPr="00525A1C">
        <w:rPr>
          <w:rFonts w:ascii="Cambria" w:eastAsia="Times New Roman" w:hAnsi="Cambria"/>
          <w:b w:val="0"/>
          <w:sz w:val="22"/>
          <w:lang w:eastAsia="fr-FR"/>
        </w:rPr>
        <w:t xml:space="preserve">, Paris, CNRS Éditions, juin 2019. </w:t>
      </w:r>
    </w:p>
    <w:p w14:paraId="39A1A307" w14:textId="77777777" w:rsidR="0013259A" w:rsidRPr="00525A1C" w:rsidRDefault="0013259A" w:rsidP="0013259A">
      <w:pPr>
        <w:spacing w:line="240" w:lineRule="auto"/>
        <w:jc w:val="both"/>
        <w:rPr>
          <w:rFonts w:ascii="Cambria" w:eastAsia="Times New Roman" w:hAnsi="Cambria"/>
          <w:b w:val="0"/>
          <w:sz w:val="22"/>
          <w:lang w:eastAsia="fr-FR"/>
        </w:rPr>
      </w:pPr>
    </w:p>
    <w:p w14:paraId="08F814C5"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CAZENAVE Elisabeth, ULMANN-MAURIAT Caroline, </w:t>
      </w:r>
      <w:r w:rsidRPr="00525A1C">
        <w:rPr>
          <w:rFonts w:ascii="Cambria" w:eastAsia="Times New Roman" w:hAnsi="Cambria"/>
          <w:b w:val="0"/>
          <w:i/>
          <w:iCs/>
          <w:sz w:val="22"/>
          <w:lang w:eastAsia="fr-FR"/>
        </w:rPr>
        <w:t>Presse, radio et télévision en France de 1631 à nos jours</w:t>
      </w:r>
      <w:r w:rsidRPr="00525A1C">
        <w:rPr>
          <w:rFonts w:ascii="Cambria" w:eastAsia="Times New Roman" w:hAnsi="Cambria"/>
          <w:b w:val="0"/>
          <w:sz w:val="22"/>
          <w:lang w:eastAsia="fr-FR"/>
        </w:rPr>
        <w:t>, Paris, Hachette, 1995</w:t>
      </w:r>
    </w:p>
    <w:p w14:paraId="3041792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CHUPIN Yvan, HUBÉ Nicolas, KACIAF Nicolas, </w:t>
      </w:r>
      <w:r w:rsidRPr="00525A1C">
        <w:rPr>
          <w:rFonts w:ascii="Cambria" w:eastAsia="Times New Roman" w:hAnsi="Cambria"/>
          <w:b w:val="0"/>
          <w:i/>
          <w:iCs/>
          <w:sz w:val="22"/>
          <w:lang w:eastAsia="fr-FR"/>
        </w:rPr>
        <w:t>Histoire politique et économique des médias en France</w:t>
      </w:r>
      <w:r w:rsidRPr="00525A1C">
        <w:rPr>
          <w:rFonts w:ascii="Cambria" w:eastAsia="Times New Roman" w:hAnsi="Cambria"/>
          <w:b w:val="0"/>
          <w:sz w:val="22"/>
          <w:lang w:eastAsia="fr-FR"/>
        </w:rPr>
        <w:t xml:space="preserve">, Paris, La Découverte, 2009.(50 premières pages) </w:t>
      </w:r>
    </w:p>
    <w:p w14:paraId="5AD16764"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D’ALMEIDA Fabrice, DELPORTE</w:t>
      </w:r>
      <w:r w:rsidRPr="00525A1C">
        <w:rPr>
          <w:rFonts w:ascii="Cambria" w:hAnsi="Cambria"/>
          <w:b w:val="0"/>
          <w:sz w:val="22"/>
        </w:rPr>
        <w:t xml:space="preserve"> </w:t>
      </w:r>
      <w:r w:rsidRPr="00525A1C">
        <w:rPr>
          <w:rFonts w:ascii="Cambria" w:eastAsia="Times New Roman" w:hAnsi="Cambria"/>
          <w:b w:val="0"/>
          <w:sz w:val="22"/>
          <w:lang w:eastAsia="fr-FR"/>
        </w:rPr>
        <w:t xml:space="preserve">Christian, </w:t>
      </w:r>
      <w:r w:rsidRPr="00525A1C">
        <w:rPr>
          <w:rFonts w:ascii="Cambria" w:eastAsia="Times New Roman" w:hAnsi="Cambria"/>
          <w:b w:val="0"/>
          <w:i/>
          <w:iCs/>
          <w:sz w:val="22"/>
          <w:lang w:eastAsia="fr-FR"/>
        </w:rPr>
        <w:t>« Histoire des médias en France : De la Grande Guerre à nos jours</w:t>
      </w:r>
      <w:r w:rsidRPr="00525A1C">
        <w:rPr>
          <w:rFonts w:ascii="Cambria" w:eastAsia="Times New Roman" w:hAnsi="Cambria"/>
          <w:b w:val="0"/>
          <w:sz w:val="22"/>
          <w:lang w:eastAsia="fr-FR"/>
        </w:rPr>
        <w:t xml:space="preserve"> », </w:t>
      </w:r>
      <w:hyperlink r:id="rId31" w:tooltip="Groupe Flammarion" w:history="1">
        <w:r w:rsidRPr="00525A1C">
          <w:rPr>
            <w:rFonts w:ascii="Cambria" w:eastAsia="Times New Roman" w:hAnsi="Cambria"/>
            <w:b w:val="0"/>
            <w:sz w:val="22"/>
            <w:lang w:eastAsia="fr-FR"/>
          </w:rPr>
          <w:t>Flammarion</w:t>
        </w:r>
      </w:hyperlink>
      <w:r w:rsidRPr="00525A1C">
        <w:rPr>
          <w:rFonts w:ascii="Cambria" w:eastAsia="Times New Roman" w:hAnsi="Cambria"/>
          <w:b w:val="0"/>
          <w:sz w:val="22"/>
          <w:lang w:eastAsia="fr-FR"/>
        </w:rPr>
        <w:t>, coll. « Champs » (n</w:t>
      </w:r>
      <w:r w:rsidRPr="00525A1C">
        <w:rPr>
          <w:rFonts w:ascii="Cambria" w:eastAsia="Times New Roman" w:hAnsi="Cambria"/>
          <w:b w:val="0"/>
          <w:sz w:val="22"/>
          <w:vertAlign w:val="superscript"/>
          <w:lang w:eastAsia="fr-FR"/>
        </w:rPr>
        <w:t>o</w:t>
      </w:r>
      <w:r w:rsidRPr="00525A1C">
        <w:rPr>
          <w:rFonts w:ascii="Cambria" w:eastAsia="Times New Roman" w:hAnsi="Cambria"/>
          <w:b w:val="0"/>
          <w:sz w:val="22"/>
          <w:lang w:eastAsia="fr-FR"/>
        </w:rPr>
        <w:t> 3029) / « Université / Histoire » ; rééd. coll. « Champs » (n</w:t>
      </w:r>
      <w:r w:rsidRPr="00525A1C">
        <w:rPr>
          <w:rFonts w:ascii="Cambria" w:eastAsia="Times New Roman" w:hAnsi="Cambria"/>
          <w:b w:val="0"/>
          <w:sz w:val="22"/>
          <w:vertAlign w:val="superscript"/>
          <w:lang w:eastAsia="fr-FR"/>
        </w:rPr>
        <w:t>o</w:t>
      </w:r>
      <w:r w:rsidRPr="00525A1C">
        <w:rPr>
          <w:rFonts w:ascii="Cambria" w:eastAsia="Times New Roman" w:hAnsi="Cambria"/>
          <w:b w:val="0"/>
          <w:sz w:val="22"/>
          <w:lang w:eastAsia="fr-FR"/>
        </w:rPr>
        <w:t> 959) / 2003</w:t>
      </w:r>
    </w:p>
    <w:p w14:paraId="2E785733"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DELPORTE Christian, BLANDIN Claire, ROBINET François. « </w:t>
      </w:r>
      <w:r w:rsidRPr="00525A1C">
        <w:rPr>
          <w:rFonts w:ascii="Cambria" w:eastAsia="Times New Roman" w:hAnsi="Cambria"/>
          <w:b w:val="0"/>
          <w:i/>
          <w:iCs/>
          <w:sz w:val="22"/>
          <w:lang w:eastAsia="fr-FR"/>
        </w:rPr>
        <w:t>Histoire de la presse en France, XXe-XXIe siècles</w:t>
      </w:r>
      <w:r w:rsidRPr="00525A1C">
        <w:rPr>
          <w:rFonts w:ascii="Cambria" w:eastAsia="Times New Roman" w:hAnsi="Cambria"/>
          <w:b w:val="0"/>
          <w:sz w:val="22"/>
          <w:lang w:eastAsia="fr-FR"/>
        </w:rPr>
        <w:t xml:space="preserve"> ». Paris, Armand Colin, 2016. </w:t>
      </w:r>
    </w:p>
    <w:p w14:paraId="59B5FA45"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JEANNENEY Jean-Noël</w:t>
      </w:r>
      <w:r w:rsidRPr="00525A1C">
        <w:rPr>
          <w:rFonts w:ascii="Cambria" w:eastAsia="Times New Roman" w:hAnsi="Cambria"/>
          <w:b w:val="0"/>
          <w:i/>
          <w:iCs/>
          <w:sz w:val="22"/>
          <w:lang w:eastAsia="fr-FR"/>
        </w:rPr>
        <w:t>, Une histoire des médias, des origines à nos jours</w:t>
      </w:r>
      <w:r w:rsidRPr="00525A1C">
        <w:rPr>
          <w:rFonts w:ascii="Cambria" w:eastAsia="Times New Roman" w:hAnsi="Cambria"/>
          <w:b w:val="0"/>
          <w:sz w:val="22"/>
          <w:lang w:eastAsia="fr-FR"/>
        </w:rPr>
        <w:t xml:space="preserve">, Paris, Seuil, 1996. </w:t>
      </w:r>
    </w:p>
    <w:p w14:paraId="354F127E"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 Utile : DELPORTE Christian, MOLLIER Jean-Yves, SIRINELLI Jean-François (dir.), </w:t>
      </w:r>
      <w:r w:rsidRPr="00525A1C">
        <w:rPr>
          <w:rFonts w:ascii="Cambria" w:eastAsia="Times New Roman" w:hAnsi="Cambria"/>
          <w:b w:val="0"/>
          <w:i/>
          <w:iCs/>
          <w:sz w:val="22"/>
          <w:lang w:eastAsia="fr-FR"/>
        </w:rPr>
        <w:t>Dictionnaire d’histoire culturelle de la France contemporaine,</w:t>
      </w:r>
      <w:r w:rsidRPr="00525A1C">
        <w:rPr>
          <w:rFonts w:ascii="Cambria" w:eastAsia="Times New Roman" w:hAnsi="Cambria"/>
          <w:b w:val="0"/>
          <w:sz w:val="22"/>
          <w:lang w:eastAsia="fr-FR"/>
        </w:rPr>
        <w:t xml:space="preserve"> Paris, PUF, 2010.</w:t>
      </w:r>
    </w:p>
    <w:p w14:paraId="3585350E" w14:textId="77777777" w:rsidR="0013259A" w:rsidRPr="00525A1C" w:rsidRDefault="0013259A" w:rsidP="0013259A">
      <w:pPr>
        <w:spacing w:line="240" w:lineRule="auto"/>
        <w:ind w:left="360"/>
        <w:jc w:val="both"/>
        <w:rPr>
          <w:rFonts w:ascii="Cambria" w:eastAsia="Times New Roman" w:hAnsi="Cambria"/>
          <w:b w:val="0"/>
          <w:sz w:val="22"/>
          <w:u w:val="single"/>
          <w:lang w:val="de-DE" w:eastAsia="fr-FR"/>
        </w:rPr>
      </w:pPr>
      <w:r w:rsidRPr="00525A1C">
        <w:rPr>
          <w:rFonts w:ascii="Cambria" w:eastAsia="Times New Roman" w:hAnsi="Cambria"/>
          <w:b w:val="0"/>
          <w:sz w:val="22"/>
          <w:u w:val="single"/>
          <w:lang w:val="de-DE" w:eastAsia="fr-FR"/>
        </w:rPr>
        <w:t>En General</w:t>
      </w:r>
    </w:p>
    <w:p w14:paraId="5251264A" w14:textId="77777777" w:rsidR="0013259A" w:rsidRPr="00525A1C" w:rsidRDefault="0013259A" w:rsidP="0013259A">
      <w:pPr>
        <w:spacing w:line="240" w:lineRule="auto"/>
        <w:ind w:left="360"/>
        <w:jc w:val="both"/>
        <w:rPr>
          <w:rFonts w:ascii="Cambria" w:eastAsia="Times New Roman" w:hAnsi="Cambria"/>
          <w:b w:val="0"/>
          <w:sz w:val="22"/>
          <w:u w:val="single"/>
          <w:lang w:eastAsia="fr-FR"/>
        </w:rPr>
      </w:pPr>
    </w:p>
    <w:p w14:paraId="0E36B44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AMBROISE-RENDU Anne-Claude, « Du Dessin de presse à la photographie (1878-1914). Histoire d’une mutation technique et culturelle » in </w:t>
      </w:r>
      <w:r w:rsidRPr="00525A1C">
        <w:rPr>
          <w:rFonts w:ascii="Cambria" w:eastAsia="Times New Roman" w:hAnsi="Cambria"/>
          <w:b w:val="0"/>
          <w:i/>
          <w:iCs/>
          <w:sz w:val="22"/>
          <w:lang w:eastAsia="fr-FR"/>
        </w:rPr>
        <w:t>Revue d’Histoire moderne et contemporaine</w:t>
      </w:r>
      <w:r w:rsidRPr="00525A1C">
        <w:rPr>
          <w:rFonts w:ascii="Cambria" w:eastAsia="Times New Roman" w:hAnsi="Cambria"/>
          <w:b w:val="0"/>
          <w:sz w:val="22"/>
          <w:lang w:eastAsia="fr-FR"/>
        </w:rPr>
        <w:t>, n°39, janv.-mars 1992, p. 6-28.</w:t>
      </w:r>
    </w:p>
    <w:p w14:paraId="63B002D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BACOT Jean-Pierre, « </w:t>
      </w:r>
      <w:r w:rsidRPr="00525A1C">
        <w:rPr>
          <w:rFonts w:ascii="Cambria" w:eastAsia="Times New Roman" w:hAnsi="Cambria"/>
          <w:b w:val="0"/>
          <w:i/>
          <w:iCs/>
          <w:sz w:val="22"/>
          <w:lang w:eastAsia="fr-FR"/>
        </w:rPr>
        <w:t>La presse illustrée au XIXe siècle. Une histoire oubliée</w:t>
      </w:r>
      <w:r w:rsidRPr="00525A1C">
        <w:rPr>
          <w:rFonts w:ascii="Cambria" w:eastAsia="Times New Roman" w:hAnsi="Cambria"/>
          <w:b w:val="0"/>
          <w:sz w:val="22"/>
          <w:lang w:eastAsia="fr-FR"/>
        </w:rPr>
        <w:t xml:space="preserve"> », PULIM, 2005</w:t>
      </w:r>
    </w:p>
    <w:p w14:paraId="726A625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BAUTIER Roger, CAZENAVE Elisabeth, PALMER Michael, « </w:t>
      </w:r>
      <w:r w:rsidRPr="00525A1C">
        <w:rPr>
          <w:rFonts w:ascii="Cambria" w:eastAsia="Times New Roman" w:hAnsi="Cambria"/>
          <w:b w:val="0"/>
          <w:i/>
          <w:iCs/>
          <w:sz w:val="22"/>
          <w:lang w:eastAsia="fr-FR"/>
        </w:rPr>
        <w:t>La presse selon le XIXe siècle</w:t>
      </w:r>
      <w:r w:rsidRPr="00525A1C">
        <w:rPr>
          <w:rFonts w:ascii="Cambria" w:eastAsia="Times New Roman" w:hAnsi="Cambria"/>
          <w:b w:val="0"/>
          <w:sz w:val="22"/>
          <w:lang w:eastAsia="fr-FR"/>
        </w:rPr>
        <w:t> ». [Paris], Université Paris III, Université Paris XIII - Villetaneuse, 1997.</w:t>
      </w:r>
    </w:p>
    <w:p w14:paraId="764AF107"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BELLANGER Claude et alii, « </w:t>
      </w:r>
      <w:r w:rsidRPr="00525A1C">
        <w:rPr>
          <w:rFonts w:ascii="Cambria" w:eastAsia="Times New Roman" w:hAnsi="Cambria"/>
          <w:b w:val="0"/>
          <w:i/>
          <w:iCs/>
          <w:sz w:val="22"/>
          <w:lang w:eastAsia="fr-FR"/>
        </w:rPr>
        <w:t>Histoire générale de la presse française</w:t>
      </w:r>
      <w:r w:rsidRPr="00525A1C">
        <w:rPr>
          <w:rFonts w:ascii="Cambria" w:eastAsia="Times New Roman" w:hAnsi="Cambria"/>
          <w:b w:val="0"/>
          <w:sz w:val="22"/>
          <w:lang w:eastAsia="fr-FR"/>
        </w:rPr>
        <w:t> ». Tome 3. De 1871 à 1940. Paris, Presses universitaires de France, 1972.</w:t>
      </w:r>
    </w:p>
    <w:p w14:paraId="340D828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BOUSSEL Patrice « </w:t>
      </w:r>
      <w:r w:rsidRPr="00525A1C">
        <w:rPr>
          <w:rFonts w:ascii="Cambria" w:eastAsia="Times New Roman" w:hAnsi="Cambria"/>
          <w:b w:val="0"/>
          <w:i/>
          <w:iCs/>
          <w:sz w:val="22"/>
          <w:lang w:eastAsia="fr-FR"/>
        </w:rPr>
        <w:t>L’affaire Dreyfus et la presse »,</w:t>
      </w:r>
      <w:r w:rsidRPr="00525A1C">
        <w:rPr>
          <w:rFonts w:ascii="Cambria" w:eastAsia="Times New Roman" w:hAnsi="Cambria"/>
          <w:b w:val="0"/>
          <w:sz w:val="22"/>
          <w:lang w:eastAsia="fr-FR"/>
        </w:rPr>
        <w:t xml:space="preserve"> Paris, Armand Colin, 1960.</w:t>
      </w:r>
    </w:p>
    <w:p w14:paraId="0554EE3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CACHIN Marie-Françoise, COOPER-RICHET Diana, MOLLIER Jean-Yves et PARFAIT Claire (dir.), </w:t>
      </w:r>
      <w:r w:rsidRPr="00525A1C">
        <w:rPr>
          <w:rFonts w:ascii="Cambria" w:eastAsia="Times New Roman" w:hAnsi="Cambria"/>
          <w:b w:val="0"/>
          <w:i/>
          <w:iCs/>
          <w:sz w:val="22"/>
          <w:lang w:eastAsia="fr-FR"/>
        </w:rPr>
        <w:t>Au bonheur du feuilleton. Naissance et mutations d’un genre (France, Etats-Unis, Grande-Bretagne, XVIIIe-XXe siècles)</w:t>
      </w:r>
      <w:r w:rsidRPr="00525A1C">
        <w:rPr>
          <w:rFonts w:ascii="Cambria" w:eastAsia="Times New Roman" w:hAnsi="Cambria"/>
          <w:b w:val="0"/>
          <w:sz w:val="22"/>
          <w:lang w:eastAsia="fr-FR"/>
        </w:rPr>
        <w:t>, Grâne, Créaphis, 2007</w:t>
      </w:r>
    </w:p>
    <w:p w14:paraId="2643EC9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CHARLE Christophe, « </w:t>
      </w:r>
      <w:r w:rsidRPr="00525A1C">
        <w:rPr>
          <w:rFonts w:ascii="Cambria" w:eastAsia="Times New Roman" w:hAnsi="Cambria"/>
          <w:b w:val="0"/>
          <w:i/>
          <w:iCs/>
          <w:sz w:val="22"/>
          <w:lang w:eastAsia="fr-FR"/>
        </w:rPr>
        <w:t>Le Siècle de la presse 1830-1939</w:t>
      </w:r>
      <w:r w:rsidRPr="00525A1C">
        <w:rPr>
          <w:rFonts w:ascii="Cambria" w:eastAsia="Times New Roman" w:hAnsi="Cambria"/>
          <w:b w:val="0"/>
          <w:sz w:val="22"/>
          <w:lang w:eastAsia="fr-FR"/>
        </w:rPr>
        <w:t> », Paris, Seuil - L’Univers Historique, 2004, 399 p</w:t>
      </w:r>
    </w:p>
    <w:p w14:paraId="16D8BF5E"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DELPORTE Christian, « </w:t>
      </w:r>
      <w:r w:rsidRPr="00525A1C">
        <w:rPr>
          <w:rFonts w:ascii="Cambria" w:eastAsia="Times New Roman" w:hAnsi="Cambria"/>
          <w:b w:val="0"/>
          <w:i/>
          <w:iCs/>
          <w:sz w:val="22"/>
          <w:lang w:eastAsia="fr-FR"/>
        </w:rPr>
        <w:t>Les Journalistes en France 1880-1950. Naissance et construction d'une profession</w:t>
      </w:r>
      <w:r w:rsidRPr="00525A1C">
        <w:rPr>
          <w:rFonts w:ascii="Cambria" w:eastAsia="Times New Roman" w:hAnsi="Cambria"/>
          <w:b w:val="0"/>
          <w:sz w:val="22"/>
          <w:lang w:eastAsia="fr-FR"/>
        </w:rPr>
        <w:t> », Paris, Le Seuil, 1999</w:t>
      </w:r>
    </w:p>
    <w:p w14:paraId="1432307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Les journalistes et l’affaire Dreyfus ». Dans Laurent Gervereau, Christophe Prochasson (dir.), </w:t>
      </w:r>
      <w:r w:rsidRPr="00525A1C">
        <w:rPr>
          <w:rFonts w:ascii="Cambria" w:eastAsia="Times New Roman" w:hAnsi="Cambria"/>
          <w:b w:val="0"/>
          <w:i/>
          <w:iCs/>
          <w:sz w:val="22"/>
          <w:lang w:eastAsia="fr-FR"/>
        </w:rPr>
        <w:t>L’Affaire Dreyfus et le tournant du siècle</w:t>
      </w:r>
      <w:r w:rsidRPr="00525A1C">
        <w:rPr>
          <w:rFonts w:ascii="Cambria" w:eastAsia="Times New Roman" w:hAnsi="Cambria"/>
          <w:b w:val="0"/>
          <w:sz w:val="22"/>
          <w:lang w:eastAsia="fr-FR"/>
        </w:rPr>
        <w:t>. Paris, MHC-BDIC, 1994, p. 116-124</w:t>
      </w:r>
    </w:p>
    <w:p w14:paraId="6479613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DELPORTE Christian, DUPRAT Annie (dir.), « </w:t>
      </w:r>
      <w:r w:rsidRPr="00525A1C">
        <w:rPr>
          <w:rFonts w:ascii="Cambria" w:eastAsia="Times New Roman" w:hAnsi="Cambria"/>
          <w:b w:val="0"/>
          <w:i/>
          <w:iCs/>
          <w:sz w:val="22"/>
          <w:lang w:eastAsia="fr-FR"/>
        </w:rPr>
        <w:t>L’Événement : Images, représentation, mémoire</w:t>
      </w:r>
      <w:r w:rsidRPr="00525A1C">
        <w:rPr>
          <w:rFonts w:ascii="Cambria" w:eastAsia="Times New Roman" w:hAnsi="Cambria"/>
          <w:b w:val="0"/>
          <w:sz w:val="22"/>
          <w:lang w:eastAsia="fr-FR"/>
        </w:rPr>
        <w:t> », Paris, Créaphis, 2003, 265 p.</w:t>
      </w:r>
    </w:p>
    <w:p w14:paraId="1F92CEE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DUPRAT Annie, « </w:t>
      </w:r>
      <w:r w:rsidRPr="00525A1C">
        <w:rPr>
          <w:rFonts w:ascii="Cambria" w:eastAsia="Times New Roman" w:hAnsi="Cambria"/>
          <w:b w:val="0"/>
          <w:i/>
          <w:iCs/>
          <w:sz w:val="22"/>
          <w:lang w:eastAsia="fr-FR"/>
        </w:rPr>
        <w:t>Images et Histoire. Outils et méthodes d’analyse des documents iconographiques</w:t>
      </w:r>
      <w:r w:rsidRPr="00525A1C">
        <w:rPr>
          <w:rFonts w:ascii="Cambria" w:eastAsia="Times New Roman" w:hAnsi="Cambria"/>
          <w:b w:val="0"/>
          <w:sz w:val="22"/>
          <w:lang w:eastAsia="fr-FR"/>
        </w:rPr>
        <w:t> », Paris, Belin, 2007, 240 p.</w:t>
      </w:r>
    </w:p>
    <w:p w14:paraId="5E19151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EVENO Patrick, </w:t>
      </w:r>
      <w:r w:rsidRPr="00525A1C">
        <w:rPr>
          <w:rFonts w:ascii="Cambria" w:eastAsia="Times New Roman" w:hAnsi="Cambria"/>
          <w:b w:val="0"/>
          <w:i/>
          <w:iCs/>
          <w:sz w:val="22"/>
          <w:lang w:eastAsia="fr-FR"/>
        </w:rPr>
        <w:t>« L'argent de la presse française des années 1820 à nos jours</w:t>
      </w:r>
      <w:r w:rsidRPr="00525A1C">
        <w:rPr>
          <w:rFonts w:ascii="Cambria" w:eastAsia="Times New Roman" w:hAnsi="Cambria"/>
          <w:b w:val="0"/>
          <w:sz w:val="22"/>
          <w:lang w:eastAsia="fr-FR"/>
        </w:rPr>
        <w:t> ». Paris, Éd. du CTH, 2003.</w:t>
      </w:r>
    </w:p>
    <w:p w14:paraId="034A052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EVENO Patrick et MARSEILLE Jacques (dir.), « </w:t>
      </w:r>
      <w:r w:rsidRPr="00525A1C">
        <w:rPr>
          <w:rFonts w:ascii="Cambria" w:eastAsia="Times New Roman" w:hAnsi="Cambria"/>
          <w:b w:val="0"/>
          <w:i/>
          <w:iCs/>
          <w:sz w:val="22"/>
          <w:lang w:eastAsia="fr-FR"/>
        </w:rPr>
        <w:t>Histoire des industries culturelles en France, XIXe-XXe siècles</w:t>
      </w:r>
      <w:r w:rsidRPr="00525A1C">
        <w:rPr>
          <w:rFonts w:ascii="Cambria" w:eastAsia="Times New Roman" w:hAnsi="Cambria"/>
          <w:b w:val="0"/>
          <w:sz w:val="22"/>
          <w:lang w:eastAsia="fr-FR"/>
        </w:rPr>
        <w:t> », [actes du colloque en Sorbonne (Paris I), décembre 2001]. Paris, Association pour le développement de l'histoire économique, 2002, en particulier pour Laurent Martin, « Presse écrite et publicité : deux siècles de relations conflictuelles ».</w:t>
      </w:r>
    </w:p>
    <w:p w14:paraId="49B4195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FERENCZI Thomas, « </w:t>
      </w:r>
      <w:r w:rsidRPr="00525A1C">
        <w:rPr>
          <w:rFonts w:ascii="Cambria" w:eastAsia="Times New Roman" w:hAnsi="Cambria"/>
          <w:b w:val="0"/>
          <w:i/>
          <w:iCs/>
          <w:sz w:val="22"/>
          <w:lang w:eastAsia="fr-FR"/>
        </w:rPr>
        <w:t>Ils l’ont tué ! L’affaire Salengro</w:t>
      </w:r>
      <w:r w:rsidRPr="00525A1C">
        <w:rPr>
          <w:rFonts w:ascii="Cambria" w:eastAsia="Times New Roman" w:hAnsi="Cambria"/>
          <w:b w:val="0"/>
          <w:sz w:val="22"/>
          <w:lang w:eastAsia="fr-FR"/>
        </w:rPr>
        <w:t> ». Paris, Plon, 1995.</w:t>
      </w:r>
    </w:p>
    <w:p w14:paraId="1D3DABC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FEYEL Gilles, « </w:t>
      </w:r>
      <w:r w:rsidRPr="00525A1C">
        <w:rPr>
          <w:rFonts w:ascii="Cambria" w:eastAsia="Times New Roman" w:hAnsi="Cambria"/>
          <w:b w:val="0"/>
          <w:i/>
          <w:iCs/>
          <w:sz w:val="22"/>
          <w:lang w:eastAsia="fr-FR"/>
        </w:rPr>
        <w:t>La presse en France des origines à 1944 : histoire politique et matérielle </w:t>
      </w:r>
      <w:r w:rsidRPr="00525A1C">
        <w:rPr>
          <w:rFonts w:ascii="Cambria" w:eastAsia="Times New Roman" w:hAnsi="Cambria"/>
          <w:b w:val="0"/>
          <w:sz w:val="22"/>
          <w:lang w:eastAsia="fr-FR"/>
        </w:rPr>
        <w:t>», Paris, Ellipses, 1999.</w:t>
      </w:r>
    </w:p>
    <w:p w14:paraId="61F2C09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GERVEREAU Laurent, « </w:t>
      </w:r>
      <w:r w:rsidRPr="00525A1C">
        <w:rPr>
          <w:rFonts w:ascii="Cambria" w:eastAsia="Times New Roman" w:hAnsi="Cambria"/>
          <w:b w:val="0"/>
          <w:i/>
          <w:iCs/>
          <w:sz w:val="22"/>
          <w:lang w:eastAsia="fr-FR"/>
        </w:rPr>
        <w:t>Dictionnaire mondial des images</w:t>
      </w:r>
      <w:r w:rsidRPr="00525A1C">
        <w:rPr>
          <w:rFonts w:ascii="Cambria" w:eastAsia="Times New Roman" w:hAnsi="Cambria"/>
          <w:b w:val="0"/>
          <w:sz w:val="22"/>
          <w:lang w:eastAsia="fr-FR"/>
        </w:rPr>
        <w:t xml:space="preserve"> », Paris, Nouveau-Monde Editions, 2008. </w:t>
      </w:r>
    </w:p>
    <w:p w14:paraId="38D4150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KALIFA Dominique, REGNIER Philippe, THERENTY Marie-Ève et VAILLANT Alain (dir.), « </w:t>
      </w:r>
      <w:r w:rsidRPr="00525A1C">
        <w:rPr>
          <w:rFonts w:ascii="Cambria" w:eastAsia="Times New Roman" w:hAnsi="Cambria"/>
          <w:b w:val="0"/>
          <w:i/>
          <w:iCs/>
          <w:sz w:val="22"/>
          <w:lang w:eastAsia="fr-FR"/>
        </w:rPr>
        <w:t>La Civilisation du journal. Histoire culturelle et littéraire de la presse française au XIXe siècle</w:t>
      </w:r>
      <w:r w:rsidRPr="00525A1C">
        <w:rPr>
          <w:rFonts w:ascii="Cambria" w:eastAsia="Times New Roman" w:hAnsi="Cambria"/>
          <w:b w:val="0"/>
          <w:sz w:val="22"/>
          <w:lang w:eastAsia="fr-FR"/>
        </w:rPr>
        <w:t xml:space="preserve"> », Paris, Nouveau Monde Editions, 2012. </w:t>
      </w:r>
    </w:p>
    <w:p w14:paraId="3B37D77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KALIFA Dominique, Aspects de la production culturelle au XIXè siècle, sous la dir. de Dominique Kalifa, </w:t>
      </w:r>
      <w:r w:rsidRPr="00525A1C">
        <w:rPr>
          <w:rFonts w:ascii="Cambria" w:eastAsia="Times New Roman" w:hAnsi="Cambria"/>
          <w:b w:val="0"/>
          <w:i/>
          <w:iCs/>
          <w:sz w:val="22"/>
          <w:lang w:eastAsia="fr-FR"/>
        </w:rPr>
        <w:t>Revue d'Histoire du XIXè siècle</w:t>
      </w:r>
      <w:r w:rsidRPr="00525A1C">
        <w:rPr>
          <w:rFonts w:ascii="Cambria" w:eastAsia="Times New Roman" w:hAnsi="Cambria"/>
          <w:b w:val="0"/>
          <w:sz w:val="22"/>
          <w:lang w:eastAsia="fr-FR"/>
        </w:rPr>
        <w:t xml:space="preserve">, n° 19, Paris, 2ème sein. 1999. </w:t>
      </w:r>
    </w:p>
    <w:p w14:paraId="6852620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LENOBLE Benoît, « Les campagnes de lancement de romans-feuilletons : l’exemple du Journal (1892-1935) », </w:t>
      </w:r>
      <w:r w:rsidRPr="00525A1C">
        <w:rPr>
          <w:rFonts w:ascii="Cambria" w:eastAsia="Times New Roman" w:hAnsi="Cambria"/>
          <w:b w:val="0"/>
          <w:i/>
          <w:iCs/>
          <w:sz w:val="22"/>
          <w:lang w:eastAsia="fr-FR"/>
        </w:rPr>
        <w:t>RHMC</w:t>
      </w:r>
      <w:r w:rsidRPr="00525A1C">
        <w:rPr>
          <w:rFonts w:ascii="Cambria" w:eastAsia="Times New Roman" w:hAnsi="Cambria"/>
          <w:b w:val="0"/>
          <w:sz w:val="22"/>
          <w:lang w:eastAsia="fr-FR"/>
        </w:rPr>
        <w:t xml:space="preserve"> n°52-1, Paris, Belin, janvier-mars 2005, p. 178.</w:t>
      </w:r>
    </w:p>
    <w:p w14:paraId="3B875FF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LÉTÉ Anne, JOLY Martine, LANCIEN Thierry, LE MÉE Isabelle, VANOYE Francis, </w:t>
      </w:r>
      <w:r w:rsidRPr="00525A1C">
        <w:rPr>
          <w:rFonts w:ascii="Cambria" w:eastAsia="Times New Roman" w:hAnsi="Cambria"/>
          <w:b w:val="0"/>
          <w:i/>
          <w:iCs/>
          <w:sz w:val="22"/>
          <w:lang w:eastAsia="fr-FR"/>
        </w:rPr>
        <w:t>Dictionnaire de l’image</w:t>
      </w:r>
      <w:r w:rsidRPr="00525A1C">
        <w:rPr>
          <w:rFonts w:ascii="Cambria" w:eastAsia="Times New Roman" w:hAnsi="Cambria"/>
          <w:b w:val="0"/>
          <w:sz w:val="22"/>
          <w:lang w:eastAsia="fr-FR"/>
        </w:rPr>
        <w:t>, Paris, Éditions Vuibert, 2006.</w:t>
      </w:r>
    </w:p>
    <w:p w14:paraId="5378594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MARTIN Laurent, « </w:t>
      </w:r>
      <w:r w:rsidRPr="00525A1C">
        <w:rPr>
          <w:rFonts w:ascii="Cambria" w:eastAsia="Times New Roman" w:hAnsi="Cambria"/>
          <w:b w:val="0"/>
          <w:i/>
          <w:iCs/>
          <w:sz w:val="22"/>
          <w:lang w:eastAsia="fr-FR"/>
        </w:rPr>
        <w:t>Penser les censures dans l’histoire</w:t>
      </w:r>
      <w:r w:rsidRPr="00525A1C">
        <w:rPr>
          <w:rFonts w:ascii="Cambria" w:eastAsia="Times New Roman" w:hAnsi="Cambria"/>
          <w:b w:val="0"/>
          <w:sz w:val="22"/>
          <w:lang w:eastAsia="fr-FR"/>
        </w:rPr>
        <w:t xml:space="preserve"> »,  </w:t>
      </w:r>
      <w:r w:rsidRPr="00525A1C">
        <w:rPr>
          <w:rFonts w:ascii="Cambria" w:eastAsia="Times New Roman" w:hAnsi="Cambria"/>
          <w:b w:val="0"/>
          <w:i/>
          <w:iCs/>
          <w:sz w:val="22"/>
          <w:lang w:eastAsia="fr-FR"/>
        </w:rPr>
        <w:t>Sociétés et représentations</w:t>
      </w:r>
      <w:r w:rsidRPr="00525A1C">
        <w:rPr>
          <w:rFonts w:ascii="Cambria" w:eastAsia="Times New Roman" w:hAnsi="Cambria"/>
          <w:b w:val="0"/>
          <w:sz w:val="22"/>
          <w:lang w:eastAsia="fr-FR"/>
        </w:rPr>
        <w:t>, printemps 2006</w:t>
      </w:r>
    </w:p>
    <w:p w14:paraId="4B05992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MARTIN Laurent, </w:t>
      </w:r>
      <w:r w:rsidRPr="00525A1C">
        <w:rPr>
          <w:rFonts w:ascii="Cambria" w:eastAsia="Times New Roman" w:hAnsi="Cambria"/>
          <w:b w:val="0"/>
          <w:i/>
          <w:iCs/>
          <w:sz w:val="22"/>
          <w:lang w:eastAsia="fr-FR"/>
        </w:rPr>
        <w:t>Le « Canard enchaîné » : histoire d'un journal satirique, 1915-2005.</w:t>
      </w:r>
      <w:r w:rsidRPr="00525A1C">
        <w:rPr>
          <w:rFonts w:ascii="Cambria" w:eastAsia="Times New Roman" w:hAnsi="Cambria"/>
          <w:b w:val="0"/>
          <w:sz w:val="22"/>
          <w:lang w:eastAsia="fr-FR"/>
        </w:rPr>
        <w:t xml:space="preserve"> Paris, Nouveau Monde éd., 2005</w:t>
      </w:r>
    </w:p>
    <w:p w14:paraId="30D1A5B8"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MARTIN  Laurent, « </w:t>
      </w:r>
      <w:r w:rsidRPr="00525A1C">
        <w:rPr>
          <w:rFonts w:ascii="Cambria" w:eastAsia="Times New Roman" w:hAnsi="Cambria"/>
          <w:b w:val="0"/>
          <w:i/>
          <w:iCs/>
          <w:sz w:val="22"/>
          <w:lang w:eastAsia="fr-FR"/>
        </w:rPr>
        <w:t>La presse écrite en France au XXe siècle</w:t>
      </w:r>
      <w:r w:rsidRPr="00525A1C">
        <w:rPr>
          <w:rFonts w:ascii="Cambria" w:eastAsia="Times New Roman" w:hAnsi="Cambria"/>
          <w:b w:val="0"/>
          <w:sz w:val="22"/>
          <w:lang w:eastAsia="fr-FR"/>
        </w:rPr>
        <w:t> », Paris, librairie générale française, 2005.</w:t>
      </w:r>
    </w:p>
    <w:p w14:paraId="75CF45E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STEAD Évanghelia et VÉDRINE Hélène (dir.), </w:t>
      </w:r>
      <w:r w:rsidRPr="00525A1C">
        <w:rPr>
          <w:rFonts w:ascii="Cambria" w:eastAsia="Times New Roman" w:hAnsi="Cambria"/>
          <w:b w:val="0"/>
          <w:i/>
          <w:iCs/>
          <w:sz w:val="22"/>
          <w:lang w:eastAsia="fr-FR"/>
        </w:rPr>
        <w:t>« L’Europe des revues (1880-1920</w:t>
      </w:r>
      <w:r w:rsidRPr="00525A1C">
        <w:rPr>
          <w:rFonts w:ascii="Cambria" w:eastAsia="Times New Roman" w:hAnsi="Cambria"/>
          <w:b w:val="0"/>
          <w:sz w:val="22"/>
          <w:lang w:eastAsia="fr-FR"/>
        </w:rPr>
        <w:t xml:space="preserve">) » tome 1, Paris, Presses de l’Université de Paris Sorbonne, (2008) et tome 2 (2018) </w:t>
      </w:r>
    </w:p>
    <w:p w14:paraId="2BBA9D3E"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TUDESQ André-Jean, « </w:t>
      </w:r>
      <w:r w:rsidRPr="00525A1C">
        <w:rPr>
          <w:rFonts w:ascii="Cambria" w:eastAsia="Times New Roman" w:hAnsi="Cambria"/>
          <w:b w:val="0"/>
          <w:i/>
          <w:iCs/>
          <w:sz w:val="22"/>
          <w:lang w:eastAsia="fr-FR"/>
        </w:rPr>
        <w:t>Le journal lieu et lien de la société bourgeoise en France pendant la première moitié du XIXe siècle</w:t>
      </w:r>
      <w:r w:rsidRPr="00525A1C">
        <w:rPr>
          <w:rFonts w:ascii="Cambria" w:eastAsia="Times New Roman" w:hAnsi="Cambria"/>
          <w:b w:val="0"/>
          <w:sz w:val="22"/>
          <w:lang w:eastAsia="fr-FR"/>
        </w:rPr>
        <w:t xml:space="preserve"> », disponible sur le site Internet de l’Université de Bordeaux III : </w:t>
      </w:r>
      <w:hyperlink r:id="rId32" w:history="1">
        <w:r w:rsidRPr="00525A1C">
          <w:rPr>
            <w:rStyle w:val="Lienhypertexte"/>
            <w:rFonts w:ascii="Cambria" w:hAnsi="Cambria"/>
            <w:b w:val="0"/>
            <w:sz w:val="22"/>
          </w:rPr>
          <w:t>http://www.histoire.u-bordeaux3.fr/tud01</w:t>
        </w:r>
      </w:hyperlink>
      <w:r w:rsidRPr="00525A1C">
        <w:rPr>
          <w:rFonts w:ascii="Cambria" w:eastAsia="Times New Roman" w:hAnsi="Cambria"/>
          <w:b w:val="0"/>
          <w:sz w:val="22"/>
          <w:lang w:eastAsia="fr-FR"/>
        </w:rPr>
        <w:t xml:space="preserve"> </w:t>
      </w:r>
    </w:p>
    <w:p w14:paraId="312F2F0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THERENTY Marie-Eve et VAILLANT Alain (sous la dir), « </w:t>
      </w:r>
      <w:r w:rsidRPr="00525A1C">
        <w:rPr>
          <w:rFonts w:ascii="Cambria" w:eastAsia="Times New Roman" w:hAnsi="Cambria"/>
          <w:b w:val="0"/>
          <w:i/>
          <w:iCs/>
          <w:sz w:val="22"/>
          <w:lang w:eastAsia="fr-FR"/>
        </w:rPr>
        <w:t>Presses et plumes. Journalisme et littérature au XIXe siècle</w:t>
      </w:r>
      <w:r w:rsidRPr="00525A1C">
        <w:rPr>
          <w:rFonts w:ascii="Cambria" w:eastAsia="Times New Roman" w:hAnsi="Cambria"/>
          <w:b w:val="0"/>
          <w:sz w:val="22"/>
          <w:lang w:eastAsia="fr-FR"/>
        </w:rPr>
        <w:t xml:space="preserve"> », Paris, Nouveau Monde Éditions, 2004. </w:t>
      </w:r>
    </w:p>
    <w:p w14:paraId="7A2B579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WAGNEUR Jean-Didier, « La Petite presse » in </w:t>
      </w:r>
      <w:r w:rsidRPr="00525A1C">
        <w:rPr>
          <w:rFonts w:ascii="Cambria" w:eastAsia="Times New Roman" w:hAnsi="Cambria"/>
          <w:b w:val="0"/>
          <w:i/>
          <w:iCs/>
          <w:sz w:val="22"/>
          <w:lang w:eastAsia="fr-FR"/>
        </w:rPr>
        <w:t>Revue de la Bibliothèque nationale de France</w:t>
      </w:r>
      <w:r w:rsidRPr="00525A1C">
        <w:rPr>
          <w:rFonts w:ascii="Cambria" w:eastAsia="Times New Roman" w:hAnsi="Cambria"/>
          <w:b w:val="0"/>
          <w:sz w:val="22"/>
          <w:lang w:eastAsia="fr-FR"/>
        </w:rPr>
        <w:t>, n°19, 2005</w:t>
      </w:r>
    </w:p>
    <w:p w14:paraId="6BCCED7C"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2FBFAAF4"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L’affiche</w:t>
      </w:r>
    </w:p>
    <w:p w14:paraId="670E24A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BARGIEL Réjane, </w:t>
      </w:r>
      <w:r w:rsidRPr="00525A1C">
        <w:rPr>
          <w:rFonts w:ascii="Cambria" w:eastAsia="Times New Roman" w:hAnsi="Cambria"/>
          <w:b w:val="0"/>
          <w:i/>
          <w:iCs/>
          <w:sz w:val="22"/>
          <w:lang w:eastAsia="fr-FR"/>
        </w:rPr>
        <w:t>De la caricature à l’affiche (1850-1918)</w:t>
      </w:r>
      <w:r w:rsidRPr="00525A1C">
        <w:rPr>
          <w:rFonts w:ascii="Cambria" w:eastAsia="Times New Roman" w:hAnsi="Cambria"/>
          <w:b w:val="0"/>
          <w:sz w:val="22"/>
          <w:lang w:eastAsia="fr-FR"/>
        </w:rPr>
        <w:t xml:space="preserve">, Paris, Musée des Arts décoratifs, 2016. </w:t>
      </w:r>
    </w:p>
    <w:p w14:paraId="24A249C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GERVEREAU Laurent, « </w:t>
      </w:r>
      <w:r w:rsidRPr="00525A1C">
        <w:rPr>
          <w:rFonts w:ascii="Cambria" w:eastAsia="Times New Roman" w:hAnsi="Cambria"/>
          <w:b w:val="0"/>
          <w:i/>
          <w:iCs/>
          <w:sz w:val="22"/>
          <w:lang w:eastAsia="fr-FR"/>
        </w:rPr>
        <w:t>La Propagande par l’affiche. Histoire de l’affiche politique en France, 1450-1990 </w:t>
      </w:r>
      <w:r w:rsidRPr="00525A1C">
        <w:rPr>
          <w:rFonts w:ascii="Cambria" w:eastAsia="Times New Roman" w:hAnsi="Cambria"/>
          <w:b w:val="0"/>
          <w:sz w:val="22"/>
          <w:lang w:eastAsia="fr-FR"/>
        </w:rPr>
        <w:t xml:space="preserve">», Syros, 1991, 180 p. </w:t>
      </w:r>
    </w:p>
    <w:p w14:paraId="00F643D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Images et politique en France au </w:t>
      </w:r>
      <w:r w:rsidRPr="00525A1C">
        <w:rPr>
          <w:rFonts w:ascii="Cambria" w:eastAsia="Times New Roman" w:hAnsi="Cambria"/>
          <w:b w:val="0"/>
          <w:smallCaps/>
          <w:sz w:val="22"/>
          <w:lang w:eastAsia="fr-FR"/>
        </w:rPr>
        <w:t>xx</w:t>
      </w:r>
      <w:r w:rsidRPr="00525A1C">
        <w:rPr>
          <w:rFonts w:ascii="Cambria" w:eastAsia="Times New Roman" w:hAnsi="Cambria"/>
          <w:b w:val="0"/>
          <w:sz w:val="22"/>
          <w:vertAlign w:val="superscript"/>
          <w:lang w:eastAsia="fr-FR"/>
        </w:rPr>
        <w:t>e</w:t>
      </w:r>
      <w:r w:rsidRPr="00525A1C">
        <w:rPr>
          <w:rFonts w:ascii="Cambria" w:eastAsia="Times New Roman" w:hAnsi="Cambria"/>
          <w:b w:val="0"/>
          <w:sz w:val="22"/>
          <w:lang w:eastAsia="fr-FR"/>
        </w:rPr>
        <w:t> siècle », Paris, Nouveau Monde éditions, 2006, 489 p.</w:t>
      </w:r>
    </w:p>
    <w:p w14:paraId="02949CE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Nicholas Zmelty, </w:t>
      </w:r>
      <w:r w:rsidRPr="00525A1C">
        <w:rPr>
          <w:rFonts w:ascii="Cambria" w:eastAsia="Times New Roman" w:hAnsi="Cambria"/>
          <w:b w:val="0"/>
          <w:i/>
          <w:iCs/>
          <w:sz w:val="22"/>
          <w:lang w:eastAsia="fr-FR"/>
        </w:rPr>
        <w:t>L’affiche illustrée au temps de l’affichomanie (1889-1905)</w:t>
      </w:r>
      <w:r w:rsidRPr="00525A1C">
        <w:rPr>
          <w:rFonts w:ascii="Cambria" w:eastAsia="Times New Roman" w:hAnsi="Cambria"/>
          <w:b w:val="0"/>
          <w:sz w:val="22"/>
          <w:lang w:eastAsia="fr-FR"/>
        </w:rPr>
        <w:t xml:space="preserve">, Paris, Mare&amp;Mrtin, 2015. </w:t>
      </w:r>
    </w:p>
    <w:p w14:paraId="1A549DBE" w14:textId="77777777" w:rsidR="0013259A" w:rsidRPr="00525A1C" w:rsidRDefault="0013259A" w:rsidP="0013259A">
      <w:pPr>
        <w:spacing w:line="240" w:lineRule="auto"/>
        <w:jc w:val="both"/>
        <w:rPr>
          <w:rFonts w:ascii="Cambria" w:eastAsia="Times New Roman" w:hAnsi="Cambria"/>
          <w:b w:val="0"/>
          <w:sz w:val="22"/>
          <w:lang w:eastAsia="fr-FR"/>
        </w:rPr>
      </w:pPr>
    </w:p>
    <w:p w14:paraId="3B34541B"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 caricature</w:t>
      </w:r>
    </w:p>
    <w:p w14:paraId="618B655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ACHET Christian, « La caricature politique, médium méconnu de l’année 1819 ? », </w:t>
      </w:r>
      <w:r w:rsidRPr="00525A1C">
        <w:rPr>
          <w:rFonts w:ascii="Cambria" w:eastAsia="Times New Roman" w:hAnsi="Cambria"/>
          <w:b w:val="0"/>
          <w:i/>
          <w:iCs/>
          <w:sz w:val="22"/>
          <w:lang w:eastAsia="fr-FR"/>
        </w:rPr>
        <w:t>Annales historiques de la Révolution française</w:t>
      </w:r>
      <w:r w:rsidRPr="00525A1C">
        <w:rPr>
          <w:rFonts w:ascii="Cambria" w:eastAsia="Times New Roman" w:hAnsi="Cambria"/>
          <w:b w:val="0"/>
          <w:sz w:val="22"/>
          <w:lang w:eastAsia="fr-FR"/>
        </w:rPr>
        <w:t>, 392, avril-juin 2018, p. 107-139</w:t>
      </w:r>
    </w:p>
    <w:p w14:paraId="3BBB8E6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ALLORANT Pierre, BORRELL Alexandre, GARRIGUES Jean (études réunies), </w:t>
      </w:r>
      <w:r w:rsidRPr="00525A1C">
        <w:rPr>
          <w:rFonts w:ascii="Cambria" w:eastAsia="Times New Roman" w:hAnsi="Cambria"/>
          <w:b w:val="0"/>
          <w:i/>
          <w:iCs/>
          <w:sz w:val="22"/>
          <w:lang w:eastAsia="fr-FR"/>
        </w:rPr>
        <w:t>Deux siècles de caricatures politiques et parlementaires</w:t>
      </w:r>
      <w:r w:rsidRPr="00525A1C">
        <w:rPr>
          <w:rFonts w:ascii="Cambria" w:eastAsia="Times New Roman" w:hAnsi="Cambria"/>
          <w:b w:val="0"/>
          <w:sz w:val="22"/>
          <w:lang w:eastAsia="fr-FR"/>
        </w:rPr>
        <w:t>, Amiens, Artois Presses Université, 2019</w:t>
      </w:r>
    </w:p>
    <w:p w14:paraId="2551D59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BARIDON Laurent, GUEDRON Martial, « </w:t>
      </w:r>
      <w:r w:rsidRPr="00525A1C">
        <w:rPr>
          <w:rFonts w:ascii="Cambria" w:eastAsia="Times New Roman" w:hAnsi="Cambria"/>
          <w:b w:val="0"/>
          <w:i/>
          <w:iCs/>
          <w:sz w:val="22"/>
          <w:lang w:eastAsia="fr-FR"/>
        </w:rPr>
        <w:t>L’art et l’histoire de la caricature</w:t>
      </w:r>
      <w:r w:rsidRPr="00525A1C">
        <w:rPr>
          <w:rFonts w:ascii="Cambria" w:eastAsia="Times New Roman" w:hAnsi="Cambria"/>
          <w:b w:val="0"/>
          <w:sz w:val="22"/>
          <w:lang w:eastAsia="fr-FR"/>
        </w:rPr>
        <w:t> », Paris, Citadelles &amp; Mazenod, 2006 (rééditions en 2009 et 2015).</w:t>
      </w:r>
    </w:p>
    <w:p w14:paraId="4F7AC33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BOSSENO Christian-Marc, GEORGI Frank et SILHOUETTE Marielle, dir., « Le Rire au corps, Grotesque et caricature », </w:t>
      </w:r>
      <w:r w:rsidRPr="00525A1C">
        <w:rPr>
          <w:rFonts w:ascii="Cambria" w:eastAsia="Times New Roman" w:hAnsi="Cambria"/>
          <w:b w:val="0"/>
          <w:i/>
          <w:iCs/>
          <w:sz w:val="22"/>
          <w:lang w:eastAsia="fr-FR"/>
        </w:rPr>
        <w:t>Sociétés &amp; représentations,</w:t>
      </w:r>
      <w:r w:rsidRPr="00525A1C">
        <w:rPr>
          <w:rFonts w:ascii="Cambria" w:eastAsia="Times New Roman" w:hAnsi="Cambria"/>
          <w:b w:val="0"/>
          <w:sz w:val="22"/>
          <w:lang w:eastAsia="fr-FR"/>
        </w:rPr>
        <w:t xml:space="preserve"> n° 10, 2001.</w:t>
      </w:r>
    </w:p>
    <w:p w14:paraId="33A0D167"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CHABRIER Amélie et CHARLIER Marie-Astrid (dir.), « </w:t>
      </w:r>
      <w:r w:rsidRPr="00525A1C">
        <w:rPr>
          <w:rFonts w:ascii="Cambria" w:eastAsia="Times New Roman" w:hAnsi="Cambria"/>
          <w:b w:val="0"/>
          <w:i/>
          <w:iCs/>
          <w:sz w:val="22"/>
          <w:lang w:eastAsia="fr-FR"/>
        </w:rPr>
        <w:t>Coups de griffe, prises de bec. La satire dans la presse des années trente</w:t>
      </w:r>
      <w:r w:rsidRPr="00525A1C">
        <w:rPr>
          <w:rFonts w:ascii="Cambria" w:eastAsia="Times New Roman" w:hAnsi="Cambria"/>
          <w:b w:val="0"/>
          <w:sz w:val="22"/>
          <w:lang w:eastAsia="fr-FR"/>
        </w:rPr>
        <w:t xml:space="preserve"> », Bruxelles, Les Impressions Nouvelles, collection "Réflexions faites", 2018. </w:t>
      </w:r>
    </w:p>
    <w:p w14:paraId="3B8E38E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DELIGNE Alain, « Le Dessin de presse et les dessinateurs, des objets d’histoire » in </w:t>
      </w:r>
      <w:r w:rsidRPr="00525A1C">
        <w:rPr>
          <w:rFonts w:ascii="Cambria" w:eastAsia="Times New Roman" w:hAnsi="Cambria"/>
          <w:b w:val="0"/>
          <w:i/>
          <w:iCs/>
          <w:sz w:val="22"/>
          <w:lang w:eastAsia="fr-FR"/>
        </w:rPr>
        <w:t>Sources/Travaux historiques</w:t>
      </w:r>
      <w:r w:rsidRPr="00525A1C">
        <w:rPr>
          <w:rFonts w:ascii="Cambria" w:eastAsia="Times New Roman" w:hAnsi="Cambria"/>
          <w:b w:val="0"/>
          <w:sz w:val="22"/>
          <w:lang w:eastAsia="fr-FR"/>
        </w:rPr>
        <w:t>, n° 26, mai 1992, p. 69-80.</w:t>
      </w:r>
    </w:p>
    <w:p w14:paraId="5A28EF1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DIMIER Elisabeth et Michel, « </w:t>
      </w:r>
      <w:r w:rsidRPr="00525A1C">
        <w:rPr>
          <w:rFonts w:ascii="Cambria" w:eastAsia="Times New Roman" w:hAnsi="Cambria"/>
          <w:b w:val="0"/>
          <w:i/>
          <w:iCs/>
          <w:sz w:val="22"/>
          <w:lang w:eastAsia="fr-FR"/>
        </w:rPr>
        <w:t>L’Assiette au beurre</w:t>
      </w:r>
      <w:r w:rsidRPr="00525A1C">
        <w:rPr>
          <w:rFonts w:ascii="Cambria" w:eastAsia="Times New Roman" w:hAnsi="Cambria"/>
          <w:b w:val="0"/>
          <w:sz w:val="22"/>
          <w:lang w:eastAsia="fr-FR"/>
        </w:rPr>
        <w:t xml:space="preserve"> », Paris, Maspero, 1974. </w:t>
      </w:r>
    </w:p>
    <w:p w14:paraId="6F6A5AD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DIXMIER Michel, DUPRAT Annie, GUIGNARD Bruno, TILLIER Bertrand, « </w:t>
      </w:r>
      <w:r w:rsidRPr="00525A1C">
        <w:rPr>
          <w:rFonts w:ascii="Cambria" w:eastAsia="Times New Roman" w:hAnsi="Cambria"/>
          <w:b w:val="0"/>
          <w:i/>
          <w:iCs/>
          <w:sz w:val="22"/>
          <w:lang w:eastAsia="fr-FR"/>
        </w:rPr>
        <w:t>Quand le crayon attaque. Images satiriques et opinion publique en France 1814-1918</w:t>
      </w:r>
      <w:r w:rsidRPr="00525A1C">
        <w:rPr>
          <w:rFonts w:ascii="Cambria" w:eastAsia="Times New Roman" w:hAnsi="Cambria"/>
          <w:b w:val="0"/>
          <w:sz w:val="22"/>
          <w:lang w:eastAsia="fr-FR"/>
        </w:rPr>
        <w:t> », Paris, Autrement, 2007, 176 p.</w:t>
      </w:r>
    </w:p>
    <w:p w14:paraId="5E2CD1F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La guerre des caricatures » in </w:t>
      </w:r>
      <w:r w:rsidRPr="00525A1C">
        <w:rPr>
          <w:rFonts w:ascii="Cambria" w:eastAsia="Times New Roman" w:hAnsi="Cambria"/>
          <w:b w:val="0"/>
          <w:i/>
          <w:iCs/>
          <w:sz w:val="22"/>
          <w:lang w:eastAsia="fr-FR"/>
        </w:rPr>
        <w:t>L'Histoire</w:t>
      </w:r>
      <w:r w:rsidRPr="00525A1C">
        <w:rPr>
          <w:rFonts w:ascii="Cambria" w:eastAsia="Times New Roman" w:hAnsi="Cambria"/>
          <w:b w:val="0"/>
          <w:sz w:val="22"/>
          <w:lang w:eastAsia="fr-FR"/>
        </w:rPr>
        <w:t>, n°173, janvier 1994, pp. 86-89.</w:t>
      </w:r>
    </w:p>
    <w:p w14:paraId="78809A9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L’image fixe, champ pionnier pour l’historien » in </w:t>
      </w:r>
      <w:r w:rsidRPr="00525A1C">
        <w:rPr>
          <w:rFonts w:ascii="Cambria" w:eastAsia="Times New Roman" w:hAnsi="Cambria"/>
          <w:b w:val="0"/>
          <w:i/>
          <w:iCs/>
          <w:sz w:val="22"/>
          <w:lang w:eastAsia="fr-FR"/>
        </w:rPr>
        <w:t>Vingtième siècle. Revue d’histoire</w:t>
      </w:r>
      <w:r w:rsidRPr="00525A1C">
        <w:rPr>
          <w:rFonts w:ascii="Cambria" w:eastAsia="Times New Roman" w:hAnsi="Cambria"/>
          <w:b w:val="0"/>
          <w:sz w:val="22"/>
          <w:lang w:eastAsia="fr-FR"/>
        </w:rPr>
        <w:t>, avril-juin 1993, p. 105-106.</w:t>
      </w:r>
    </w:p>
    <w:p w14:paraId="78B6ADB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ERRE Fabrice, « La caricature dans la mécanique de la presse satirique », Contribution présentée lors de la journée d’études « </w:t>
      </w:r>
      <w:r w:rsidRPr="00525A1C">
        <w:rPr>
          <w:rFonts w:ascii="Cambria" w:eastAsia="Times New Roman" w:hAnsi="Cambria"/>
          <w:b w:val="0"/>
          <w:i/>
          <w:iCs/>
          <w:sz w:val="22"/>
          <w:lang w:eastAsia="fr-FR"/>
        </w:rPr>
        <w:t>Presse et illustration</w:t>
      </w:r>
      <w:r w:rsidRPr="00525A1C">
        <w:rPr>
          <w:rFonts w:ascii="Cambria" w:eastAsia="Times New Roman" w:hAnsi="Cambria"/>
          <w:b w:val="0"/>
          <w:sz w:val="22"/>
          <w:lang w:eastAsia="fr-FR"/>
        </w:rPr>
        <w:t xml:space="preserve"> » du 27 mai 2009, organisée par l’Université Montpellier III, en collaboration avec l’Université de Victoria (Canada). Texte disponible sur le site </w:t>
      </w:r>
      <w:hyperlink r:id="rId33" w:history="1">
        <w:r w:rsidRPr="00525A1C">
          <w:rPr>
            <w:rStyle w:val="Lienhypertexte"/>
            <w:rFonts w:ascii="Cambria" w:hAnsi="Cambria"/>
            <w:b w:val="0"/>
            <w:sz w:val="22"/>
          </w:rPr>
          <w:t>www.caricatureetcaricature.com</w:t>
        </w:r>
      </w:hyperlink>
      <w:r w:rsidRPr="00525A1C">
        <w:rPr>
          <w:rFonts w:ascii="Cambria" w:eastAsia="Times New Roman" w:hAnsi="Cambria"/>
          <w:b w:val="0"/>
          <w:sz w:val="22"/>
          <w:lang w:eastAsia="fr-FR"/>
        </w:rPr>
        <w:t xml:space="preserve"> </w:t>
      </w:r>
    </w:p>
    <w:p w14:paraId="1332A424"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FEYEL Gilles (dir.),  « </w:t>
      </w:r>
      <w:r w:rsidRPr="00525A1C">
        <w:rPr>
          <w:rFonts w:ascii="Cambria" w:eastAsia="Times New Roman" w:hAnsi="Cambria"/>
          <w:b w:val="0"/>
          <w:i/>
          <w:iCs/>
          <w:sz w:val="22"/>
          <w:lang w:eastAsia="fr-FR"/>
        </w:rPr>
        <w:t>La distribution et la diffusion de la presse, du XVIIIe siècle au IIIe millénaire</w:t>
      </w:r>
      <w:r w:rsidRPr="00525A1C">
        <w:rPr>
          <w:rFonts w:ascii="Cambria" w:eastAsia="Times New Roman" w:hAnsi="Cambria"/>
          <w:b w:val="0"/>
          <w:sz w:val="22"/>
          <w:lang w:eastAsia="fr-FR"/>
        </w:rPr>
        <w:t> », Paris, Éd. Panthéon-Assas, 2002.</w:t>
      </w:r>
    </w:p>
    <w:p w14:paraId="18CFB326"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 MEN Ségolène, « </w:t>
      </w:r>
      <w:r w:rsidRPr="00525A1C">
        <w:rPr>
          <w:rFonts w:ascii="Cambria" w:eastAsia="Times New Roman" w:hAnsi="Cambria"/>
          <w:b w:val="0"/>
          <w:i/>
          <w:iCs/>
          <w:sz w:val="22"/>
          <w:lang w:eastAsia="fr-FR"/>
        </w:rPr>
        <w:t>Pour rire. Daumier, Gavarni, Rops, L’invention de la silhouette</w:t>
      </w:r>
      <w:r w:rsidRPr="00525A1C">
        <w:rPr>
          <w:rFonts w:ascii="Cambria" w:eastAsia="Times New Roman" w:hAnsi="Cambria"/>
          <w:b w:val="0"/>
          <w:sz w:val="22"/>
          <w:lang w:eastAsia="fr-FR"/>
        </w:rPr>
        <w:t> », Paris, Namur (Belgique), L’Isle-Adam, Somogy éditions d’art/ Province de Namur Culture/Musée d’art et d’histoire Louis Senlecq, 2010</w:t>
      </w:r>
    </w:p>
    <w:p w14:paraId="731889E0"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 MEN Ségolène (sous la dir) « </w:t>
      </w:r>
      <w:r w:rsidRPr="00525A1C">
        <w:rPr>
          <w:rFonts w:ascii="Cambria" w:eastAsia="Times New Roman" w:hAnsi="Cambria"/>
          <w:b w:val="0"/>
          <w:i/>
          <w:iCs/>
          <w:sz w:val="22"/>
          <w:lang w:eastAsia="fr-FR"/>
        </w:rPr>
        <w:t>L’art de la caricature </w:t>
      </w:r>
      <w:r w:rsidRPr="00525A1C">
        <w:rPr>
          <w:rFonts w:ascii="Cambria" w:eastAsia="Times New Roman" w:hAnsi="Cambria"/>
          <w:b w:val="0"/>
          <w:sz w:val="22"/>
          <w:lang w:eastAsia="fr-FR"/>
        </w:rPr>
        <w:t xml:space="preserve">», Presses de l’Université Paris Ouest, 2010. </w:t>
      </w:r>
    </w:p>
    <w:p w14:paraId="0F6E44BF"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 MEN Ségolène, </w:t>
      </w:r>
      <w:r w:rsidRPr="00525A1C">
        <w:rPr>
          <w:rFonts w:ascii="Cambria" w:eastAsia="Times New Roman" w:hAnsi="Cambria"/>
          <w:b w:val="0"/>
          <w:i/>
          <w:iCs/>
          <w:sz w:val="22"/>
          <w:lang w:eastAsia="fr-FR"/>
        </w:rPr>
        <w:t>Daumier et la caricature</w:t>
      </w:r>
      <w:r w:rsidRPr="00525A1C">
        <w:rPr>
          <w:rFonts w:ascii="Cambria" w:eastAsia="Times New Roman" w:hAnsi="Cambria"/>
          <w:b w:val="0"/>
          <w:sz w:val="22"/>
          <w:lang w:eastAsia="fr-FR"/>
        </w:rPr>
        <w:t xml:space="preserve">, Paris, Citadelles &amp; Mazenod, 2008. </w:t>
      </w:r>
    </w:p>
    <w:p w14:paraId="14501C4C"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MELOT Michel, </w:t>
      </w:r>
      <w:r w:rsidRPr="00525A1C">
        <w:rPr>
          <w:rFonts w:ascii="Cambria" w:eastAsia="Times New Roman" w:hAnsi="Cambria"/>
          <w:b w:val="0"/>
          <w:i/>
          <w:iCs/>
          <w:sz w:val="22"/>
          <w:lang w:eastAsia="fr-FR"/>
        </w:rPr>
        <w:t>Daumier, l’art et la République,</w:t>
      </w:r>
      <w:r w:rsidRPr="00525A1C">
        <w:rPr>
          <w:rFonts w:ascii="Cambria" w:eastAsia="Times New Roman" w:hAnsi="Cambria"/>
          <w:b w:val="0"/>
          <w:sz w:val="22"/>
          <w:lang w:eastAsia="fr-FR"/>
        </w:rPr>
        <w:t xml:space="preserve"> Paris, Les Belles Lettres/Archambaud, 2008</w:t>
      </w:r>
    </w:p>
    <w:p w14:paraId="605A38F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TILLIER Bertrand, « </w:t>
      </w:r>
      <w:r w:rsidRPr="00525A1C">
        <w:rPr>
          <w:rFonts w:ascii="Cambria" w:eastAsia="Times New Roman" w:hAnsi="Cambria"/>
          <w:b w:val="0"/>
          <w:i/>
          <w:iCs/>
          <w:sz w:val="22"/>
          <w:lang w:eastAsia="fr-FR"/>
        </w:rPr>
        <w:t>À la charge ! La Caricature dans tous ses états – 1789-2000</w:t>
      </w:r>
      <w:r w:rsidRPr="00525A1C">
        <w:rPr>
          <w:rFonts w:ascii="Cambria" w:eastAsia="Times New Roman" w:hAnsi="Cambria"/>
          <w:b w:val="0"/>
          <w:sz w:val="22"/>
          <w:lang w:eastAsia="fr-FR"/>
        </w:rPr>
        <w:t> », Paris, L’Amateur, 2005, 256 p.</w:t>
      </w:r>
    </w:p>
    <w:p w14:paraId="00486621"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TILLIER Bertrand, « </w:t>
      </w:r>
      <w:r w:rsidRPr="00525A1C">
        <w:rPr>
          <w:rFonts w:ascii="Cambria" w:eastAsia="Times New Roman" w:hAnsi="Cambria"/>
          <w:b w:val="0"/>
          <w:i/>
          <w:iCs/>
          <w:sz w:val="22"/>
          <w:lang w:eastAsia="fr-FR"/>
        </w:rPr>
        <w:t>Caricaturesque, La caricature en France, toute une histoire…</w:t>
      </w:r>
      <w:r w:rsidRPr="00525A1C">
        <w:rPr>
          <w:rFonts w:ascii="Cambria" w:eastAsia="Times New Roman" w:hAnsi="Cambria"/>
          <w:b w:val="0"/>
          <w:sz w:val="22"/>
          <w:lang w:eastAsia="fr-FR"/>
        </w:rPr>
        <w:t> », Paris, Editions de La Martinière, 2016</w:t>
      </w:r>
    </w:p>
    <w:p w14:paraId="74829FE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TILLIER Bertrand et Chambarlhac Vincent (dir.), </w:t>
      </w:r>
      <w:r w:rsidRPr="00525A1C">
        <w:rPr>
          <w:rFonts w:ascii="Cambria" w:eastAsia="Times New Roman" w:hAnsi="Cambria"/>
          <w:b w:val="0"/>
          <w:i/>
          <w:iCs/>
          <w:sz w:val="22"/>
          <w:lang w:eastAsia="fr-FR"/>
        </w:rPr>
        <w:t>Coups de crayon sous la IIIe République</w:t>
      </w:r>
      <w:r w:rsidRPr="00525A1C">
        <w:rPr>
          <w:rFonts w:ascii="Cambria" w:eastAsia="Times New Roman" w:hAnsi="Cambria"/>
          <w:b w:val="0"/>
          <w:sz w:val="22"/>
          <w:lang w:eastAsia="fr-FR"/>
        </w:rPr>
        <w:t xml:space="preserve">, Neuilly-lès-Dijon, Editions du Murmure, 2017. </w:t>
      </w:r>
    </w:p>
    <w:p w14:paraId="523D6FA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Collectif, « </w:t>
      </w:r>
      <w:r w:rsidRPr="00525A1C">
        <w:rPr>
          <w:rFonts w:ascii="Cambria" w:eastAsia="Times New Roman" w:hAnsi="Cambria"/>
          <w:b w:val="0"/>
          <w:i/>
          <w:iCs/>
          <w:sz w:val="22"/>
          <w:lang w:eastAsia="fr-FR"/>
        </w:rPr>
        <w:t>La Caricature… Et si c’était sérieux ? Décryptage de la violence satirique</w:t>
      </w:r>
      <w:r w:rsidRPr="00525A1C">
        <w:rPr>
          <w:rFonts w:ascii="Cambria" w:eastAsia="Times New Roman" w:hAnsi="Cambria"/>
          <w:b w:val="0"/>
          <w:sz w:val="22"/>
          <w:lang w:eastAsia="fr-FR"/>
        </w:rPr>
        <w:t> », Paris, Nouveau Monde éditions, 2015.</w:t>
      </w:r>
    </w:p>
    <w:p w14:paraId="19F1694F" w14:textId="77777777" w:rsidR="0013259A" w:rsidRPr="00525A1C" w:rsidRDefault="0013259A" w:rsidP="0013259A">
      <w:pPr>
        <w:spacing w:line="240" w:lineRule="auto"/>
        <w:jc w:val="both"/>
        <w:rPr>
          <w:rFonts w:ascii="Cambria" w:eastAsia="Times New Roman" w:hAnsi="Cambria"/>
          <w:b w:val="0"/>
          <w:sz w:val="22"/>
          <w:lang w:eastAsia="fr-FR"/>
        </w:rPr>
      </w:pPr>
    </w:p>
    <w:p w14:paraId="5D61B70A"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Les agences de presse </w:t>
      </w:r>
    </w:p>
    <w:p w14:paraId="08B7F572"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FREDERIX Pierre,  « </w:t>
      </w:r>
      <w:r w:rsidRPr="00525A1C">
        <w:rPr>
          <w:rFonts w:ascii="Cambria" w:eastAsia="Times New Roman" w:hAnsi="Cambria"/>
          <w:b w:val="0"/>
          <w:i/>
          <w:iCs/>
          <w:sz w:val="22"/>
        </w:rPr>
        <w:t>Un siècle de chasse aux nouvelles : de l'agence d'information Havas à l'Agence France-Presse, 1835-1957</w:t>
      </w:r>
      <w:r w:rsidRPr="00525A1C">
        <w:rPr>
          <w:rFonts w:ascii="Cambria" w:eastAsia="Times New Roman" w:hAnsi="Cambria"/>
          <w:b w:val="0"/>
          <w:sz w:val="22"/>
        </w:rPr>
        <w:t> ». Paris, Flammarion, 1959.</w:t>
      </w:r>
    </w:p>
    <w:p w14:paraId="144FBEBA"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PALMER Michael, « </w:t>
      </w:r>
      <w:r w:rsidRPr="00525A1C">
        <w:rPr>
          <w:rFonts w:ascii="Cambria" w:eastAsia="Times New Roman" w:hAnsi="Cambria"/>
          <w:b w:val="0"/>
          <w:i/>
          <w:iCs/>
          <w:sz w:val="22"/>
        </w:rPr>
        <w:t>Des petits journaux aux grandes agences naissance du journalisme moderne, 1863-1914</w:t>
      </w:r>
      <w:r w:rsidRPr="00525A1C">
        <w:rPr>
          <w:rFonts w:ascii="Cambria" w:eastAsia="Times New Roman" w:hAnsi="Cambria"/>
          <w:b w:val="0"/>
          <w:sz w:val="22"/>
        </w:rPr>
        <w:t> ». Paris, Aubier, 1983.</w:t>
      </w:r>
    </w:p>
    <w:p w14:paraId="5254B4C5" w14:textId="77777777" w:rsidR="0013259A" w:rsidRPr="00525A1C" w:rsidRDefault="0013259A" w:rsidP="0013259A">
      <w:pPr>
        <w:spacing w:line="240" w:lineRule="auto"/>
        <w:jc w:val="both"/>
        <w:rPr>
          <w:rFonts w:ascii="Cambria" w:eastAsia="Times New Roman" w:hAnsi="Cambria"/>
          <w:b w:val="0"/>
          <w:sz w:val="22"/>
          <w:lang w:eastAsia="fr-FR"/>
        </w:rPr>
      </w:pPr>
    </w:p>
    <w:p w14:paraId="16A7C32F"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Les patrons de presse</w:t>
      </w:r>
    </w:p>
    <w:p w14:paraId="3CF79ED7"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CARASSO Odette, « </w:t>
      </w:r>
      <w:r w:rsidRPr="00525A1C">
        <w:rPr>
          <w:rFonts w:ascii="Cambria" w:eastAsia="Times New Roman" w:hAnsi="Cambria"/>
          <w:b w:val="0"/>
          <w:i/>
          <w:iCs/>
          <w:sz w:val="22"/>
        </w:rPr>
        <w:t>Arthur Meyer : directeur du « Gaulois » : un patron de presse juif, royaliste et antidreyfusard</w:t>
      </w:r>
      <w:r w:rsidRPr="00525A1C">
        <w:rPr>
          <w:rFonts w:ascii="Cambria" w:eastAsia="Times New Roman" w:hAnsi="Cambria"/>
          <w:b w:val="0"/>
          <w:sz w:val="22"/>
        </w:rPr>
        <w:t xml:space="preserve"> ». Paris, Imago, 2002. </w:t>
      </w:r>
    </w:p>
    <w:p w14:paraId="029583DD"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FRUSTIER Pierre, « </w:t>
      </w:r>
      <w:r w:rsidRPr="00525A1C">
        <w:rPr>
          <w:rFonts w:ascii="Cambria" w:eastAsia="Times New Roman" w:hAnsi="Cambria"/>
          <w:b w:val="0"/>
          <w:i/>
          <w:iCs/>
          <w:sz w:val="22"/>
        </w:rPr>
        <w:t>Pierre Taittinger : patron de presse de l'entre-deux-guerres</w:t>
      </w:r>
      <w:r w:rsidRPr="00525A1C">
        <w:rPr>
          <w:rFonts w:ascii="Cambria" w:eastAsia="Times New Roman" w:hAnsi="Cambria"/>
          <w:b w:val="0"/>
          <w:sz w:val="22"/>
        </w:rPr>
        <w:t> ». La Crèche, Geste éd., 2001.</w:t>
      </w:r>
    </w:p>
    <w:p w14:paraId="3CF05C06"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 xml:space="preserve">MARTIN Laurent,  « De l'anarchisme à l'affairisme : les deux vies d'Eugène Merle, homme de presse (1884-1946) ». </w:t>
      </w:r>
      <w:r w:rsidRPr="00525A1C">
        <w:rPr>
          <w:rFonts w:ascii="Cambria" w:eastAsia="Times New Roman" w:hAnsi="Cambria"/>
          <w:b w:val="0"/>
          <w:i/>
          <w:iCs/>
          <w:sz w:val="22"/>
        </w:rPr>
        <w:t>Revue historique</w:t>
      </w:r>
      <w:r w:rsidRPr="00525A1C">
        <w:rPr>
          <w:rFonts w:ascii="Cambria" w:eastAsia="Times New Roman" w:hAnsi="Cambria"/>
          <w:b w:val="0"/>
          <w:sz w:val="22"/>
        </w:rPr>
        <w:t>, 1999, t. 612, p. 789-808</w:t>
      </w:r>
    </w:p>
    <w:p w14:paraId="6C07287F"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69A98A91"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Les faits divers : </w:t>
      </w:r>
    </w:p>
    <w:p w14:paraId="2835D563"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AMBROISE-RENDU Anne-Claude, « Quand “les chiens écrasés” faisaient rire. Les faits divers comiques (1870-1914) », </w:t>
      </w:r>
      <w:r w:rsidRPr="00525A1C">
        <w:rPr>
          <w:rFonts w:ascii="Cambria" w:eastAsia="Times New Roman" w:hAnsi="Cambria"/>
          <w:b w:val="0"/>
          <w:i/>
          <w:iCs/>
          <w:sz w:val="22"/>
          <w:lang w:eastAsia="fr-FR"/>
        </w:rPr>
        <w:t>Le Temps des média</w:t>
      </w:r>
      <w:r w:rsidRPr="00525A1C">
        <w:rPr>
          <w:rFonts w:ascii="Cambria" w:eastAsia="Times New Roman" w:hAnsi="Cambria"/>
          <w:b w:val="0"/>
          <w:sz w:val="22"/>
          <w:lang w:eastAsia="fr-FR"/>
        </w:rPr>
        <w:t xml:space="preserve"> n°9, hiver 2007-2008, Paris, Nouveau Monde éditions, p.165.</w:t>
      </w:r>
    </w:p>
    <w:p w14:paraId="3448025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AMBROISE-RENDU Anne-Claude, « </w:t>
      </w:r>
      <w:r w:rsidRPr="00525A1C">
        <w:rPr>
          <w:rFonts w:ascii="Cambria" w:eastAsia="Times New Roman" w:hAnsi="Cambria"/>
          <w:b w:val="0"/>
          <w:i/>
          <w:iCs/>
          <w:sz w:val="22"/>
          <w:lang w:eastAsia="fr-FR"/>
        </w:rPr>
        <w:t>Petits récits des désordres ordinaires. Les faits divers dans la presse française des débuts de la Troisième République à la Grande guerre</w:t>
      </w:r>
      <w:r w:rsidRPr="00525A1C">
        <w:rPr>
          <w:rFonts w:ascii="Cambria" w:eastAsia="Times New Roman" w:hAnsi="Cambria"/>
          <w:b w:val="0"/>
          <w:sz w:val="22"/>
          <w:lang w:eastAsia="fr-FR"/>
        </w:rPr>
        <w:t xml:space="preserve"> », </w:t>
      </w:r>
      <w:hyperlink r:id="rId34" w:tooltip="Seli Arslan (page inexistante)" w:history="1">
        <w:r w:rsidRPr="00525A1C">
          <w:rPr>
            <w:rFonts w:ascii="Cambria" w:eastAsia="Times New Roman" w:hAnsi="Cambria"/>
            <w:b w:val="0"/>
            <w:sz w:val="22"/>
            <w:lang w:eastAsia="fr-FR"/>
          </w:rPr>
          <w:t>Seli Arslan</w:t>
        </w:r>
      </w:hyperlink>
      <w:r w:rsidRPr="00525A1C">
        <w:rPr>
          <w:rFonts w:ascii="Cambria" w:eastAsia="Times New Roman" w:hAnsi="Cambria"/>
          <w:b w:val="0"/>
          <w:sz w:val="22"/>
          <w:lang w:eastAsia="fr-FR"/>
        </w:rPr>
        <w:t xml:space="preserve">, 2004. </w:t>
      </w:r>
    </w:p>
    <w:p w14:paraId="498EB97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AMBROISE-RENDU Anne-Claude,  « </w:t>
      </w:r>
      <w:r w:rsidRPr="00525A1C">
        <w:rPr>
          <w:rFonts w:ascii="Cambria" w:eastAsia="Times New Roman" w:hAnsi="Cambria"/>
          <w:b w:val="0"/>
          <w:i/>
          <w:iCs/>
          <w:sz w:val="22"/>
          <w:lang w:eastAsia="fr-FR"/>
        </w:rPr>
        <w:t>Crimes et Délits, Histoire de la violence de la Belle Époque à nos jours </w:t>
      </w:r>
      <w:r w:rsidRPr="00525A1C">
        <w:rPr>
          <w:rFonts w:ascii="Cambria" w:eastAsia="Times New Roman" w:hAnsi="Cambria"/>
          <w:b w:val="0"/>
          <w:sz w:val="22"/>
          <w:lang w:eastAsia="fr-FR"/>
        </w:rPr>
        <w:t xml:space="preserve">», </w:t>
      </w:r>
      <w:hyperlink r:id="rId35" w:tooltip="Nouveau Monde (éditeur) (page inexistante)" w:history="1">
        <w:r w:rsidRPr="00525A1C">
          <w:rPr>
            <w:rFonts w:ascii="Cambria" w:eastAsia="Times New Roman" w:hAnsi="Cambria"/>
            <w:b w:val="0"/>
            <w:sz w:val="22"/>
            <w:lang w:eastAsia="fr-FR"/>
          </w:rPr>
          <w:t>Nouveau Monde</w:t>
        </w:r>
      </w:hyperlink>
      <w:r w:rsidRPr="00525A1C">
        <w:rPr>
          <w:rFonts w:ascii="Cambria" w:eastAsia="Times New Roman" w:hAnsi="Cambria"/>
          <w:b w:val="0"/>
          <w:sz w:val="22"/>
          <w:lang w:eastAsia="fr-FR"/>
        </w:rPr>
        <w:t>, 2006.</w:t>
      </w:r>
    </w:p>
    <w:p w14:paraId="036DFFB9"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Laetitia Gonon, « Le fait divers criminel », Paris, Presses de la Sorbonne nouvelle, 2012</w:t>
      </w:r>
    </w:p>
    <w:p w14:paraId="2DF8087E"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KALIFA Dominique, « Les tâcherons de l'information : Petits reporters et faits divers à la belle époque », </w:t>
      </w:r>
      <w:r w:rsidRPr="00525A1C">
        <w:rPr>
          <w:rFonts w:ascii="Cambria" w:eastAsia="Times New Roman" w:hAnsi="Cambria"/>
          <w:b w:val="0"/>
          <w:i/>
          <w:iCs/>
          <w:sz w:val="22"/>
          <w:lang w:eastAsia="fr-FR"/>
        </w:rPr>
        <w:t>Revue d'histoire moderne et contemporaine</w:t>
      </w:r>
      <w:r w:rsidRPr="00525A1C">
        <w:rPr>
          <w:rFonts w:ascii="Cambria" w:eastAsia="Times New Roman" w:hAnsi="Cambria"/>
          <w:b w:val="0"/>
          <w:sz w:val="22"/>
          <w:lang w:eastAsia="fr-FR"/>
        </w:rPr>
        <w:t>, oct.-déc. 1993.</w:t>
      </w:r>
    </w:p>
    <w:p w14:paraId="1F6A8AAA"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M’SILI Marine (2005), « Du fait divers au fait de société (XIXe-XXe siècles) : les changements de signification de la rubrique des faits divers », </w:t>
      </w:r>
      <w:r w:rsidRPr="00525A1C">
        <w:rPr>
          <w:rFonts w:ascii="Cambria" w:eastAsia="Times New Roman" w:hAnsi="Cambria"/>
          <w:b w:val="0"/>
          <w:i/>
          <w:iCs/>
          <w:sz w:val="22"/>
          <w:lang w:eastAsia="fr-FR"/>
        </w:rPr>
        <w:t>Les Cahiers du journalisme</w:t>
      </w:r>
      <w:r w:rsidRPr="00525A1C">
        <w:rPr>
          <w:rFonts w:ascii="Cambria" w:eastAsia="Times New Roman" w:hAnsi="Cambria"/>
          <w:b w:val="0"/>
          <w:sz w:val="22"/>
          <w:lang w:eastAsia="fr-FR"/>
        </w:rPr>
        <w:t>, n°14,  printemps/été, pp.30-45</w:t>
      </w:r>
    </w:p>
    <w:p w14:paraId="55565AC6"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6CE52E8D" w14:textId="77777777" w:rsidR="0013259A" w:rsidRPr="00525A1C" w:rsidRDefault="0013259A" w:rsidP="0013259A">
      <w:pPr>
        <w:spacing w:line="240" w:lineRule="auto"/>
        <w:ind w:left="360"/>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La guerre de 14-18 : </w:t>
      </w:r>
    </w:p>
    <w:p w14:paraId="2F37C22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AUDOIN-ROUZEAU Stéphane, « "Bourrage de crâne" et information en France en 1914-1918 ». Dans Jean-Jacques Becker, Stéphane Audoin-Rouzeau, </w:t>
      </w:r>
      <w:r w:rsidRPr="00525A1C">
        <w:rPr>
          <w:rFonts w:ascii="Cambria" w:eastAsia="Times New Roman" w:hAnsi="Cambria"/>
          <w:b w:val="0"/>
          <w:i/>
          <w:iCs/>
          <w:sz w:val="22"/>
          <w:lang w:eastAsia="fr-FR"/>
        </w:rPr>
        <w:t>Les Sociétés européennes et la guerre de 1914-1918.</w:t>
      </w:r>
      <w:r w:rsidRPr="00525A1C">
        <w:rPr>
          <w:rFonts w:ascii="Cambria" w:eastAsia="Times New Roman" w:hAnsi="Cambria"/>
          <w:b w:val="0"/>
          <w:sz w:val="22"/>
          <w:lang w:eastAsia="fr-FR"/>
        </w:rPr>
        <w:t xml:space="preserve"> Paris, Paris-X, 1990, p. 163-174 </w:t>
      </w:r>
    </w:p>
    <w:p w14:paraId="091FE714"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BECKER Annette, « </w:t>
      </w:r>
      <w:r w:rsidRPr="00525A1C">
        <w:rPr>
          <w:rFonts w:ascii="Cambria" w:eastAsia="Times New Roman" w:hAnsi="Cambria"/>
          <w:b w:val="0"/>
          <w:i/>
          <w:iCs/>
          <w:sz w:val="22"/>
          <w:lang w:eastAsia="fr-FR"/>
        </w:rPr>
        <w:t>Voir la Grande Guerre, un autre récit</w:t>
      </w:r>
      <w:r w:rsidRPr="00525A1C">
        <w:rPr>
          <w:rFonts w:ascii="Cambria" w:eastAsia="Times New Roman" w:hAnsi="Cambria"/>
          <w:b w:val="0"/>
          <w:sz w:val="22"/>
          <w:lang w:eastAsia="fr-FR"/>
        </w:rPr>
        <w:t> », Paris, Armand-Colin, 2014</w:t>
      </w:r>
    </w:p>
    <w:p w14:paraId="27F0916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BEURIER Joëlle, « </w:t>
      </w:r>
      <w:r w:rsidRPr="00525A1C">
        <w:rPr>
          <w:rFonts w:ascii="Cambria" w:eastAsia="Times New Roman" w:hAnsi="Cambria"/>
          <w:b w:val="0"/>
          <w:i/>
          <w:iCs/>
          <w:sz w:val="22"/>
          <w:lang w:eastAsia="fr-FR"/>
        </w:rPr>
        <w:t>Photographier la Grande Guerre, France-Allemagne. L’héroïsme et la violence dans les magazines</w:t>
      </w:r>
      <w:r w:rsidRPr="00525A1C">
        <w:rPr>
          <w:rFonts w:ascii="Cambria" w:eastAsia="Times New Roman" w:hAnsi="Cambria"/>
          <w:b w:val="0"/>
          <w:sz w:val="22"/>
          <w:lang w:eastAsia="fr-FR"/>
        </w:rPr>
        <w:t xml:space="preserve"> », Rennes, PUR, 2016. </w:t>
      </w:r>
    </w:p>
    <w:p w14:paraId="5306090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BOURON-NAVET Françoise, « La censure de la presse en France en 1918 ». </w:t>
      </w:r>
      <w:r w:rsidRPr="00525A1C">
        <w:rPr>
          <w:rFonts w:ascii="Cambria" w:eastAsia="Times New Roman" w:hAnsi="Cambria"/>
          <w:b w:val="0"/>
          <w:i/>
          <w:iCs/>
          <w:sz w:val="22"/>
          <w:lang w:eastAsia="fr-FR"/>
        </w:rPr>
        <w:t>Revue historique des armées</w:t>
      </w:r>
      <w:r w:rsidRPr="00525A1C">
        <w:rPr>
          <w:rFonts w:ascii="Cambria" w:eastAsia="Times New Roman" w:hAnsi="Cambria"/>
          <w:b w:val="0"/>
          <w:sz w:val="22"/>
          <w:lang w:eastAsia="fr-FR"/>
        </w:rPr>
        <w:t>, 1998, t. 212, p. 13-18</w:t>
      </w:r>
    </w:p>
    <w:p w14:paraId="29956D1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FORCADE Olivier, </w:t>
      </w:r>
      <w:r w:rsidRPr="00525A1C">
        <w:rPr>
          <w:rFonts w:ascii="Cambria" w:eastAsia="Times New Roman" w:hAnsi="Cambria"/>
          <w:b w:val="0"/>
          <w:i/>
          <w:iCs/>
          <w:sz w:val="22"/>
          <w:lang w:eastAsia="fr-FR"/>
        </w:rPr>
        <w:t>La Censure en France pendant la Grande Guerre</w:t>
      </w:r>
      <w:r w:rsidRPr="00525A1C">
        <w:rPr>
          <w:rFonts w:ascii="Cambria" w:eastAsia="Times New Roman" w:hAnsi="Cambria"/>
          <w:b w:val="0"/>
          <w:sz w:val="22"/>
          <w:lang w:eastAsia="fr-FR"/>
        </w:rPr>
        <w:t xml:space="preserve">, Paris, Fayard, coll. Histoire, 2016. </w:t>
      </w:r>
    </w:p>
    <w:p w14:paraId="64870ED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PURSEIGLE Pierre, « La guerre au miroir de l’humour en France et en Angleterre », </w:t>
      </w:r>
      <w:r w:rsidRPr="00525A1C">
        <w:rPr>
          <w:rFonts w:ascii="Cambria" w:eastAsia="Times New Roman" w:hAnsi="Cambria"/>
          <w:b w:val="0"/>
          <w:i/>
          <w:iCs/>
          <w:sz w:val="22"/>
          <w:lang w:eastAsia="fr-FR"/>
        </w:rPr>
        <w:t>Histoire et Sociétés</w:t>
      </w:r>
      <w:r w:rsidRPr="00525A1C">
        <w:rPr>
          <w:rFonts w:ascii="Cambria" w:eastAsia="Times New Roman" w:hAnsi="Cambria"/>
          <w:b w:val="0"/>
          <w:sz w:val="22"/>
          <w:lang w:eastAsia="fr-FR"/>
        </w:rPr>
        <w:t xml:space="preserve"> n°1, 1er trimestre 2002.</w:t>
      </w:r>
    </w:p>
    <w:p w14:paraId="2C51B8EF" w14:textId="77777777" w:rsidR="0013259A" w:rsidRPr="00525A1C" w:rsidRDefault="0013259A" w:rsidP="0013259A">
      <w:pPr>
        <w:spacing w:line="240" w:lineRule="auto"/>
        <w:jc w:val="both"/>
        <w:rPr>
          <w:rFonts w:ascii="Cambria" w:eastAsia="Times New Roman" w:hAnsi="Cambria"/>
          <w:b w:val="0"/>
          <w:sz w:val="22"/>
          <w:lang w:eastAsia="fr-FR"/>
        </w:rPr>
      </w:pPr>
    </w:p>
    <w:p w14:paraId="56306657"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Revues : </w:t>
      </w:r>
    </w:p>
    <w:p w14:paraId="19D2F651"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Ridiculosa,</w:t>
      </w:r>
      <w:r w:rsidRPr="00525A1C">
        <w:rPr>
          <w:rFonts w:ascii="Cambria" w:eastAsia="Times New Roman" w:hAnsi="Cambria"/>
          <w:b w:val="0"/>
          <w:sz w:val="22"/>
        </w:rPr>
        <w:t xml:space="preserve"> EIRIS, Brest, UBO. </w:t>
      </w:r>
    </w:p>
    <w:p w14:paraId="4D404BAE"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Sociétés et représentations</w:t>
      </w:r>
      <w:r w:rsidRPr="00525A1C">
        <w:rPr>
          <w:rFonts w:ascii="Cambria" w:eastAsia="Times New Roman" w:hAnsi="Cambria"/>
          <w:b w:val="0"/>
          <w:sz w:val="22"/>
        </w:rPr>
        <w:t>, Presses de la Sorbonne</w:t>
      </w:r>
    </w:p>
    <w:p w14:paraId="36A42C47"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Le Temps des médias</w:t>
      </w:r>
      <w:r w:rsidRPr="00525A1C">
        <w:rPr>
          <w:rFonts w:ascii="Cambria" w:eastAsia="Times New Roman" w:hAnsi="Cambria"/>
          <w:b w:val="0"/>
          <w:sz w:val="22"/>
        </w:rPr>
        <w:t>, Nouveau-Monde Editions</w:t>
      </w:r>
    </w:p>
    <w:p w14:paraId="53436001"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 xml:space="preserve">"Image et histoire", </w:t>
      </w:r>
      <w:r w:rsidRPr="00525A1C">
        <w:rPr>
          <w:rFonts w:ascii="Cambria" w:eastAsia="Times New Roman" w:hAnsi="Cambria"/>
          <w:b w:val="0"/>
          <w:i/>
          <w:iCs/>
          <w:sz w:val="22"/>
        </w:rPr>
        <w:t>Vingtième siècle</w:t>
      </w:r>
      <w:r w:rsidRPr="00525A1C">
        <w:rPr>
          <w:rFonts w:ascii="Cambria" w:eastAsia="Times New Roman" w:hAnsi="Cambria"/>
          <w:b w:val="0"/>
          <w:sz w:val="22"/>
        </w:rPr>
        <w:t>. Revue d’histoire, n° 72, octobre-décembre 2001. Numéro spécial coordonné par Christian Delage, Laurence Bertrand Dorléac, Andre Gunthert.</w:t>
      </w:r>
    </w:p>
    <w:p w14:paraId="2810E930" w14:textId="77777777" w:rsidR="00D87E98" w:rsidRPr="00525A1C" w:rsidRDefault="00D87E98" w:rsidP="0013259A">
      <w:pPr>
        <w:spacing w:line="240" w:lineRule="auto"/>
        <w:jc w:val="both"/>
        <w:rPr>
          <w:rFonts w:ascii="Cambria" w:eastAsia="Times New Roman" w:hAnsi="Cambria"/>
          <w:b w:val="0"/>
          <w:sz w:val="22"/>
          <w:lang w:eastAsia="fr-FR"/>
        </w:rPr>
      </w:pPr>
    </w:p>
    <w:p w14:paraId="1E683077"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Thèses : </w:t>
      </w:r>
    </w:p>
    <w:p w14:paraId="1E18066C"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LENOBLE Benoît,  « </w:t>
      </w:r>
      <w:r w:rsidRPr="00525A1C">
        <w:rPr>
          <w:rFonts w:ascii="Cambria" w:eastAsia="Times New Roman" w:hAnsi="Cambria"/>
          <w:b w:val="0"/>
          <w:i/>
          <w:iCs/>
          <w:sz w:val="22"/>
        </w:rPr>
        <w:t>Le journal au temps du réclamisme : presse, publicité et culture de masse en France (1863-1930)</w:t>
      </w:r>
      <w:r w:rsidRPr="00525A1C">
        <w:rPr>
          <w:rFonts w:ascii="Cambria" w:eastAsia="Times New Roman" w:hAnsi="Cambria"/>
          <w:b w:val="0"/>
          <w:sz w:val="22"/>
        </w:rPr>
        <w:t> ». Thèse soutenue à l’Université de Paris I - Panthéon-Sorbonne en 2007. [S.l.], [s.n.], 2007. 2 vol. (544 f.)</w:t>
      </w:r>
    </w:p>
    <w:p w14:paraId="1ABB11C3"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MARTIN Marc, « </w:t>
      </w:r>
      <w:r w:rsidRPr="00525A1C">
        <w:rPr>
          <w:rFonts w:ascii="Cambria" w:eastAsia="Times New Roman" w:hAnsi="Cambria"/>
          <w:b w:val="0"/>
          <w:i/>
          <w:iCs/>
          <w:sz w:val="22"/>
        </w:rPr>
        <w:t>Contribution à l’histoire des journalistes et du journal en France (XIXe-XXe siècles) et à l’histoire de la publicité en France</w:t>
      </w:r>
      <w:r w:rsidRPr="00525A1C">
        <w:rPr>
          <w:rFonts w:ascii="Cambria" w:eastAsia="Times New Roman" w:hAnsi="Cambria"/>
          <w:b w:val="0"/>
          <w:sz w:val="22"/>
        </w:rPr>
        <w:t> ». Thèse soutenue à l’Université de Paris X-Nanterre en 1992. [S.l.], [s.n.], 1992</w:t>
      </w:r>
    </w:p>
    <w:p w14:paraId="15A525FB"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TAOUCHICHET Sofiane, « </w:t>
      </w:r>
      <w:r w:rsidRPr="00525A1C">
        <w:rPr>
          <w:rFonts w:ascii="Cambria" w:eastAsia="Times New Roman" w:hAnsi="Cambria"/>
          <w:b w:val="0"/>
          <w:i/>
          <w:iCs/>
          <w:sz w:val="22"/>
        </w:rPr>
        <w:t>La presse satirique illustrée française et la colonisation (1829-1990)</w:t>
      </w:r>
      <w:r w:rsidRPr="00525A1C">
        <w:rPr>
          <w:rFonts w:ascii="Cambria" w:eastAsia="Times New Roman" w:hAnsi="Cambria"/>
          <w:b w:val="0"/>
          <w:sz w:val="22"/>
        </w:rPr>
        <w:t xml:space="preserve"> », thèse soutenue à l’université de Paris X Nanterre en 2015. </w:t>
      </w:r>
    </w:p>
    <w:p w14:paraId="7BAED43D" w14:textId="77777777" w:rsidR="0013259A" w:rsidRPr="00525A1C" w:rsidRDefault="00000000" w:rsidP="0013259A">
      <w:pPr>
        <w:pStyle w:val="Paragraphedeliste"/>
        <w:spacing w:line="240" w:lineRule="auto"/>
        <w:jc w:val="both"/>
        <w:rPr>
          <w:rFonts w:ascii="Cambria" w:eastAsia="Times New Roman" w:hAnsi="Cambria"/>
          <w:b w:val="0"/>
          <w:sz w:val="22"/>
        </w:rPr>
      </w:pPr>
      <w:hyperlink r:id="rId36" w:history="1">
        <w:r w:rsidR="0013259A" w:rsidRPr="00525A1C">
          <w:rPr>
            <w:rStyle w:val="Lienhypertexte"/>
            <w:rFonts w:ascii="Cambria" w:hAnsi="Cambria"/>
            <w:b w:val="0"/>
            <w:sz w:val="22"/>
          </w:rPr>
          <w:t>https://hal.archives-ouvertes.fr/tel-02073436/file/TheseSofianeTaouchichet.pdf</w:t>
        </w:r>
      </w:hyperlink>
      <w:r w:rsidR="0013259A" w:rsidRPr="00525A1C">
        <w:rPr>
          <w:rFonts w:ascii="Cambria" w:eastAsia="Times New Roman" w:hAnsi="Cambria"/>
          <w:b w:val="0"/>
          <w:sz w:val="22"/>
        </w:rPr>
        <w:t xml:space="preserve"> </w:t>
      </w:r>
    </w:p>
    <w:p w14:paraId="7D1121FD"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TAVEAUX-GRANDPIERRE Karine ; « </w:t>
      </w:r>
      <w:r w:rsidRPr="00525A1C">
        <w:rPr>
          <w:rFonts w:ascii="Cambria" w:eastAsia="Times New Roman" w:hAnsi="Cambria"/>
          <w:b w:val="0"/>
          <w:i/>
          <w:iCs/>
          <w:sz w:val="22"/>
        </w:rPr>
        <w:t>De la diffusion de la presse parisienne quotidienne en France: Hachette et les quotidiens à grand tirage, 1870-1914</w:t>
      </w:r>
      <w:r w:rsidRPr="00525A1C">
        <w:rPr>
          <w:rFonts w:ascii="Cambria" w:eastAsia="Times New Roman" w:hAnsi="Cambria"/>
          <w:b w:val="0"/>
          <w:sz w:val="22"/>
        </w:rPr>
        <w:t> ». Thèse soutenue à l’université de Paris III-Sorbonne nouvelle en 1999. Paris, [s.n.], 1999.</w:t>
      </w:r>
    </w:p>
    <w:p w14:paraId="1551F49A"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Jean WATELET, « </w:t>
      </w:r>
      <w:r w:rsidRPr="00525A1C">
        <w:rPr>
          <w:rFonts w:ascii="Cambria" w:eastAsia="Times New Roman" w:hAnsi="Cambria"/>
          <w:b w:val="0"/>
          <w:i/>
          <w:iCs/>
          <w:sz w:val="22"/>
        </w:rPr>
        <w:t>La Presse illustrée en France, 1814-1914</w:t>
      </w:r>
      <w:r w:rsidRPr="00525A1C">
        <w:rPr>
          <w:rFonts w:ascii="Cambria" w:eastAsia="Times New Roman" w:hAnsi="Cambria"/>
          <w:b w:val="0"/>
          <w:sz w:val="22"/>
        </w:rPr>
        <w:t> », Villeneuve-d’Ascq, Presses universitaires du Septentrion, 2002, 2 vol</w:t>
      </w:r>
    </w:p>
    <w:p w14:paraId="04217E02" w14:textId="77777777" w:rsidR="0013259A" w:rsidRPr="00525A1C" w:rsidRDefault="0013259A" w:rsidP="0013259A">
      <w:pPr>
        <w:spacing w:line="240" w:lineRule="auto"/>
        <w:jc w:val="both"/>
        <w:rPr>
          <w:rFonts w:ascii="Cambria" w:eastAsia="Times New Roman" w:hAnsi="Cambria"/>
          <w:b w:val="0"/>
          <w:sz w:val="22"/>
          <w:lang w:eastAsia="fr-FR"/>
        </w:rPr>
      </w:pPr>
    </w:p>
    <w:p w14:paraId="13EBBFD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Sitographie : </w:t>
      </w:r>
    </w:p>
    <w:p w14:paraId="562B358E"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7" w:history="1">
        <w:r w:rsidR="0013259A" w:rsidRPr="00525A1C">
          <w:rPr>
            <w:rStyle w:val="Lienhypertexte"/>
            <w:rFonts w:ascii="Cambria" w:hAnsi="Cambria"/>
            <w:b w:val="0"/>
            <w:sz w:val="22"/>
          </w:rPr>
          <w:t>http://www.medias19.org/</w:t>
        </w:r>
      </w:hyperlink>
    </w:p>
    <w:p w14:paraId="52B266FF"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8" w:history="1">
        <w:r w:rsidR="0013259A" w:rsidRPr="00525A1C">
          <w:rPr>
            <w:rStyle w:val="Lienhypertexte"/>
            <w:rFonts w:ascii="Cambria" w:hAnsi="Cambria"/>
            <w:b w:val="0"/>
            <w:sz w:val="22"/>
          </w:rPr>
          <w:t>https://prelia.hypotheses.org/</w:t>
        </w:r>
      </w:hyperlink>
    </w:p>
    <w:p w14:paraId="21261962"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9" w:history="1">
        <w:r w:rsidR="0013259A" w:rsidRPr="00525A1C">
          <w:rPr>
            <w:rStyle w:val="Lienhypertexte"/>
            <w:rFonts w:ascii="Cambria" w:hAnsi="Cambria"/>
            <w:b w:val="0"/>
            <w:sz w:val="22"/>
          </w:rPr>
          <w:t>https://gallica.bnf.fr/html/und/presse-et-revues/presse-et-revues</w:t>
        </w:r>
      </w:hyperlink>
      <w:r w:rsidR="0013259A" w:rsidRPr="00525A1C">
        <w:rPr>
          <w:rFonts w:ascii="Cambria" w:eastAsia="Times New Roman" w:hAnsi="Cambria"/>
          <w:b w:val="0"/>
          <w:sz w:val="22"/>
        </w:rPr>
        <w:t xml:space="preserve"> </w:t>
      </w:r>
    </w:p>
    <w:p w14:paraId="4DA888C9"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40" w:history="1">
        <w:r w:rsidR="0013259A" w:rsidRPr="00525A1C">
          <w:rPr>
            <w:rStyle w:val="Lienhypertexte"/>
            <w:rFonts w:ascii="Cambria" w:hAnsi="Cambria"/>
            <w:b w:val="0"/>
            <w:sz w:val="22"/>
          </w:rPr>
          <w:t>http://www.caricaturesetcaricature.com/</w:t>
        </w:r>
      </w:hyperlink>
      <w:r w:rsidR="0013259A" w:rsidRPr="00525A1C">
        <w:rPr>
          <w:rFonts w:ascii="Cambria" w:eastAsia="Times New Roman" w:hAnsi="Cambria"/>
          <w:b w:val="0"/>
          <w:sz w:val="22"/>
        </w:rPr>
        <w:t xml:space="preserve"> </w:t>
      </w:r>
    </w:p>
    <w:p w14:paraId="55946C19" w14:textId="77777777" w:rsidR="0013259A" w:rsidRPr="00525A1C" w:rsidRDefault="0013259A" w:rsidP="0013259A">
      <w:pPr>
        <w:jc w:val="both"/>
        <w:rPr>
          <w:rFonts w:ascii="Cambria" w:hAnsi="Cambria"/>
          <w:b w:val="0"/>
          <w:sz w:val="22"/>
        </w:rPr>
      </w:pPr>
    </w:p>
    <w:p w14:paraId="3A03D632" w14:textId="77777777" w:rsidR="0013259A" w:rsidRPr="00525A1C" w:rsidRDefault="0013259A" w:rsidP="0013259A">
      <w:pPr>
        <w:jc w:val="both"/>
        <w:rPr>
          <w:rFonts w:ascii="Cambria" w:hAnsi="Cambria"/>
          <w:b w:val="0"/>
          <w:iCs/>
          <w:sz w:val="22"/>
        </w:rPr>
      </w:pPr>
    </w:p>
    <w:p w14:paraId="3E197B74"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491F4C96"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2A8E7EE" w14:textId="77777777" w:rsidR="0013259A" w:rsidRPr="00525A1C"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2220384B"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617A00B3"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8AFBDE2"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3AE8C0C"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433BBBC9"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0930D1C1" w14:textId="77777777" w:rsidR="00AB006F" w:rsidRDefault="00AB006F" w:rsidP="003C4573">
      <w:pPr>
        <w:rPr>
          <w:rFonts w:ascii="Cambria" w:hAnsi="Cambria"/>
          <w:iCs/>
          <w:color w:val="FF0000"/>
          <w:sz w:val="22"/>
        </w:rPr>
      </w:pPr>
    </w:p>
    <w:p w14:paraId="37A7EB0B" w14:textId="77777777" w:rsidR="00C825DC" w:rsidRDefault="00C825DC" w:rsidP="003C4573">
      <w:pPr>
        <w:rPr>
          <w:rFonts w:ascii="Cambria" w:hAnsi="Cambria"/>
          <w:iCs/>
          <w:color w:val="FF0000"/>
          <w:sz w:val="22"/>
        </w:rPr>
      </w:pPr>
    </w:p>
    <w:p w14:paraId="2F62C276" w14:textId="77777777" w:rsidR="00C825DC" w:rsidRDefault="00C825DC" w:rsidP="003C4573">
      <w:pPr>
        <w:rPr>
          <w:rFonts w:ascii="Cambria" w:hAnsi="Cambria"/>
          <w:iCs/>
          <w:color w:val="FF0000"/>
          <w:sz w:val="22"/>
        </w:rPr>
      </w:pPr>
    </w:p>
    <w:p w14:paraId="59D4A42F" w14:textId="77777777" w:rsidR="00C825DC" w:rsidRDefault="00C825DC" w:rsidP="003C4573">
      <w:pPr>
        <w:rPr>
          <w:rFonts w:ascii="Cambria" w:hAnsi="Cambria"/>
          <w:iCs/>
          <w:color w:val="FF0000"/>
          <w:sz w:val="22"/>
        </w:rPr>
      </w:pPr>
    </w:p>
    <w:p w14:paraId="12E7345A" w14:textId="77777777" w:rsidR="00C825DC" w:rsidRPr="00525A1C" w:rsidRDefault="00C825DC" w:rsidP="003C4573">
      <w:pPr>
        <w:rPr>
          <w:rFonts w:ascii="Cambria" w:hAnsi="Cambria"/>
          <w:iCs/>
          <w:color w:val="FF0000"/>
          <w:sz w:val="22"/>
        </w:rPr>
      </w:pPr>
    </w:p>
    <w:p w14:paraId="16739C46" w14:textId="05F0FD44" w:rsidR="0013259A" w:rsidRPr="00C825DC" w:rsidRDefault="0013259A" w:rsidP="0013259A">
      <w:pPr>
        <w:jc w:val="center"/>
        <w:rPr>
          <w:rFonts w:ascii="Cambria" w:hAnsi="Cambria"/>
          <w:iCs/>
          <w:color w:val="C00000"/>
          <w:sz w:val="28"/>
          <w:szCs w:val="28"/>
        </w:rPr>
      </w:pPr>
      <w:r w:rsidRPr="00C825DC">
        <w:rPr>
          <w:rFonts w:ascii="Cambria" w:hAnsi="Cambria"/>
          <w:iCs/>
          <w:color w:val="C00000"/>
          <w:sz w:val="28"/>
          <w:szCs w:val="28"/>
        </w:rPr>
        <w:t>J3023719/J3023819 : Médias dans le monde contemporain</w:t>
      </w:r>
    </w:p>
    <w:p w14:paraId="6C3EF6FA" w14:textId="77777777" w:rsidR="0013259A" w:rsidRPr="00525A1C" w:rsidRDefault="0013259A" w:rsidP="0013259A">
      <w:pPr>
        <w:rPr>
          <w:rFonts w:ascii="Cambria" w:hAnsi="Cambria"/>
          <w:b w:val="0"/>
          <w:iCs/>
          <w:sz w:val="22"/>
        </w:rPr>
      </w:pPr>
    </w:p>
    <w:p w14:paraId="7D173921" w14:textId="03698378" w:rsidR="0013259A" w:rsidRPr="00525A1C" w:rsidRDefault="0013259A" w:rsidP="00AB006F">
      <w:pPr>
        <w:jc w:val="center"/>
        <w:rPr>
          <w:rFonts w:ascii="Cambria" w:hAnsi="Cambria"/>
          <w:bCs/>
          <w:iCs/>
          <w:sz w:val="22"/>
        </w:rPr>
      </w:pPr>
      <w:r w:rsidRPr="00525A1C">
        <w:rPr>
          <w:rFonts w:ascii="Cambria" w:hAnsi="Cambria"/>
          <w:bCs/>
          <w:iCs/>
          <w:sz w:val="22"/>
        </w:rPr>
        <w:t>Sébastien Denis (S1), Sébastien Le Pajolec (S2)</w:t>
      </w:r>
    </w:p>
    <w:p w14:paraId="6038C17D" w14:textId="31EDD73D" w:rsidR="00E518F0" w:rsidRPr="00525A1C" w:rsidRDefault="0013259A" w:rsidP="00E518F0">
      <w:pPr>
        <w:spacing w:line="240" w:lineRule="auto"/>
        <w:ind w:left="142" w:hanging="142"/>
        <w:jc w:val="both"/>
        <w:rPr>
          <w:rFonts w:ascii="Cambria" w:hAnsi="Cambria"/>
          <w:b w:val="0"/>
          <w:bCs/>
        </w:rPr>
      </w:pPr>
      <w:r w:rsidRPr="00C825DC">
        <w:rPr>
          <w:rFonts w:ascii="Cambria" w:hAnsi="Cambria"/>
          <w:color w:val="C00000"/>
          <w:sz w:val="22"/>
          <w:u w:val="single"/>
        </w:rPr>
        <w:t>Sujet du cours</w:t>
      </w:r>
      <w:r w:rsidR="00E518F0" w:rsidRPr="00C825DC">
        <w:rPr>
          <w:rFonts w:ascii="Cambria" w:hAnsi="Cambria"/>
          <w:color w:val="C00000"/>
          <w:sz w:val="22"/>
          <w:u w:val="single"/>
        </w:rPr>
        <w:t xml:space="preserve"> S1</w:t>
      </w:r>
      <w:r w:rsidR="00E518F0" w:rsidRPr="00C825DC">
        <w:rPr>
          <w:rFonts w:ascii="Cambria" w:hAnsi="Cambria"/>
          <w:color w:val="C00000"/>
          <w:sz w:val="22"/>
        </w:rPr>
        <w:t xml:space="preserve"> :</w:t>
      </w:r>
      <w:r w:rsidRPr="00C825DC">
        <w:rPr>
          <w:rFonts w:ascii="Cambria" w:hAnsi="Cambria"/>
          <w:color w:val="C00000"/>
          <w:sz w:val="22"/>
        </w:rPr>
        <w:t xml:space="preserve"> </w:t>
      </w:r>
      <w:bookmarkStart w:id="40" w:name="_Hlk233711730"/>
      <w:r w:rsidR="00EA0122" w:rsidRPr="00C825DC">
        <w:rPr>
          <w:color w:val="C00000"/>
        </w:rPr>
        <w:t>L’histoire par rebonds. Histoire, cinéma et médias</w:t>
      </w:r>
      <w:bookmarkEnd w:id="40"/>
      <w:r w:rsidRPr="00525A1C">
        <w:rPr>
          <w:rFonts w:ascii="Cambria" w:hAnsi="Cambria"/>
          <w:b w:val="0"/>
          <w:bCs/>
          <w:color w:val="881631" w:themeColor="accent1" w:themeShade="BF"/>
          <w:sz w:val="22"/>
        </w:rPr>
        <w:br/>
      </w:r>
      <w:r w:rsidR="00EA0122" w:rsidRPr="00525A1C">
        <w:br/>
      </w:r>
      <w:r w:rsidR="00EA0122" w:rsidRPr="00525A1C">
        <w:rPr>
          <w:rFonts w:ascii="Cambria" w:hAnsi="Cambria"/>
          <w:b w:val="0"/>
          <w:bCs/>
        </w:rPr>
        <w:t>Résumé : Les relations entre histoire, cinéma et médias ont fait l’objet de nombreux ouvrages et articles universitaires. Ce cours vise à faire une synthèse des différents courants de pensée sur les mises en scène audiovisuelles de l’histoire, et à proposer la notion d’ « histoire par rebonds ». Un film ou un programme télévisé ne donnent en effet jamais à voir un événement historique tel qu’il s’est déroulé, mais des rebonds de cet événement à travers le temps, en prenant en compte aussi bien l’historiographie à un moment donné que les temps de production et de réalisation, puis de diffusion (parfois bien après la finalisation du film ou du programme). Ainsi, l’histoire rebondit à travers la sphère médiatique, laissant des traces qui forment autant de sources pour l’historien/ne. Après plusieurs séances générales, il s’agira d’analyser des cas précis de films ou de programmes</w:t>
      </w:r>
      <w:r w:rsidR="00EA0122" w:rsidRPr="00525A1C">
        <w:t>.</w:t>
      </w:r>
      <w:r w:rsidR="00EA0122" w:rsidRPr="00525A1C">
        <w:br/>
        <w:t> </w:t>
      </w:r>
      <w:r w:rsidR="00EA0122" w:rsidRPr="00525A1C">
        <w:br/>
      </w:r>
      <w:r w:rsidR="00EA0122" w:rsidRPr="00525A1C">
        <w:rPr>
          <w:rFonts w:ascii="Cambria" w:hAnsi="Cambria"/>
        </w:rPr>
        <w:t>Bibliographie</w:t>
      </w:r>
      <w:r w:rsidR="00E518F0" w:rsidRPr="00525A1C">
        <w:rPr>
          <w:rFonts w:ascii="Cambria" w:hAnsi="Cambria"/>
        </w:rPr>
        <w:t xml:space="preserve"> indicative</w:t>
      </w:r>
    </w:p>
    <w:p w14:paraId="0EC36ED1" w14:textId="77777777" w:rsidR="00E518F0" w:rsidRPr="00525A1C" w:rsidRDefault="00EA0122" w:rsidP="00E518F0">
      <w:pPr>
        <w:spacing w:line="240" w:lineRule="auto"/>
        <w:ind w:left="142" w:hanging="142"/>
        <w:jc w:val="both"/>
        <w:rPr>
          <w:rFonts w:ascii="Cambria" w:hAnsi="Cambria"/>
          <w:b w:val="0"/>
          <w:bCs/>
          <w:sz w:val="22"/>
        </w:rPr>
      </w:pPr>
      <w:r w:rsidRPr="00525A1C">
        <w:rPr>
          <w:rFonts w:ascii="Cambria" w:hAnsi="Cambria"/>
          <w:b w:val="0"/>
          <w:bCs/>
        </w:rPr>
        <w:t xml:space="preserve"> </w:t>
      </w:r>
      <w:r w:rsidRPr="00525A1C">
        <w:rPr>
          <w:rFonts w:ascii="Cambria" w:hAnsi="Cambria"/>
          <w:b w:val="0"/>
          <w:bCs/>
        </w:rPr>
        <w:br/>
        <w:t xml:space="preserve">Baecque, Antoine de, </w:t>
      </w:r>
      <w:r w:rsidRPr="00525A1C">
        <w:rPr>
          <w:rStyle w:val="Accentuation"/>
          <w:rFonts w:ascii="Cambria" w:hAnsi="Cambria"/>
          <w:b w:val="0"/>
          <w:bCs/>
        </w:rPr>
        <w:t>L’Histoire-caméra</w:t>
      </w:r>
      <w:r w:rsidRPr="00525A1C">
        <w:rPr>
          <w:rFonts w:ascii="Cambria" w:hAnsi="Cambria"/>
          <w:b w:val="0"/>
          <w:bCs/>
        </w:rPr>
        <w:t>, Paris, Gallimard, 2008.</w:t>
      </w:r>
      <w:r w:rsidRPr="00525A1C">
        <w:rPr>
          <w:rFonts w:ascii="Cambria" w:hAnsi="Cambria"/>
          <w:b w:val="0"/>
          <w:bCs/>
        </w:rPr>
        <w:br/>
        <w:t xml:space="preserve">Ferro, Marc, </w:t>
      </w:r>
      <w:r w:rsidRPr="00525A1C">
        <w:rPr>
          <w:rStyle w:val="Accentuation"/>
          <w:rFonts w:ascii="Cambria" w:hAnsi="Cambria"/>
          <w:b w:val="0"/>
          <w:bCs/>
        </w:rPr>
        <w:t>Cinéma et histoire</w:t>
      </w:r>
      <w:r w:rsidRPr="00525A1C">
        <w:rPr>
          <w:rFonts w:ascii="Cambria" w:hAnsi="Cambria"/>
          <w:b w:val="0"/>
          <w:bCs/>
        </w:rPr>
        <w:t>, Paris, Gallimard, 1993 (2</w:t>
      </w:r>
      <w:r w:rsidRPr="00525A1C">
        <w:rPr>
          <w:rFonts w:ascii="Cambria" w:hAnsi="Cambria"/>
          <w:b w:val="0"/>
          <w:bCs/>
          <w:sz w:val="17"/>
          <w:szCs w:val="17"/>
        </w:rPr>
        <w:t>e</w:t>
      </w:r>
      <w:r w:rsidRPr="00525A1C">
        <w:rPr>
          <w:rFonts w:ascii="Cambria" w:hAnsi="Cambria"/>
          <w:b w:val="0"/>
          <w:bCs/>
        </w:rPr>
        <w:t> éd.).</w:t>
      </w:r>
      <w:r w:rsidRPr="00525A1C">
        <w:rPr>
          <w:rFonts w:ascii="Cambria" w:hAnsi="Cambria"/>
          <w:b w:val="0"/>
          <w:bCs/>
        </w:rPr>
        <w:br/>
      </w:r>
      <w:r w:rsidRPr="00525A1C">
        <w:rPr>
          <w:rFonts w:ascii="Cambria" w:hAnsi="Cambria"/>
          <w:b w:val="0"/>
          <w:bCs/>
          <w:lang w:val="en-US"/>
        </w:rPr>
        <w:t xml:space="preserve">Rosenstone, Robert, </w:t>
      </w:r>
      <w:r w:rsidRPr="00525A1C">
        <w:rPr>
          <w:rStyle w:val="Accentuation"/>
          <w:rFonts w:ascii="Cambria" w:hAnsi="Cambria"/>
          <w:b w:val="0"/>
          <w:bCs/>
          <w:lang w:val="en-US"/>
        </w:rPr>
        <w:t>History on Film, Film on History,</w:t>
      </w:r>
      <w:r w:rsidRPr="00525A1C">
        <w:rPr>
          <w:rFonts w:ascii="Cambria" w:hAnsi="Cambria"/>
          <w:b w:val="0"/>
          <w:bCs/>
          <w:lang w:val="en-US"/>
        </w:rPr>
        <w:t xml:space="preserve"> Londres, Routledge,2013(2</w:t>
      </w:r>
      <w:r w:rsidRPr="00525A1C">
        <w:rPr>
          <w:rFonts w:ascii="Cambria" w:hAnsi="Cambria"/>
          <w:b w:val="0"/>
          <w:bCs/>
          <w:sz w:val="17"/>
          <w:szCs w:val="17"/>
          <w:lang w:val="en-US"/>
        </w:rPr>
        <w:t>e</w:t>
      </w:r>
      <w:r w:rsidRPr="00525A1C">
        <w:rPr>
          <w:rFonts w:ascii="Cambria" w:hAnsi="Cambria"/>
          <w:b w:val="0"/>
          <w:bCs/>
          <w:lang w:val="en-US"/>
        </w:rPr>
        <w:t> éd.).</w:t>
      </w:r>
      <w:r w:rsidRPr="00525A1C">
        <w:rPr>
          <w:rFonts w:ascii="Cambria" w:hAnsi="Cambria"/>
          <w:b w:val="0"/>
          <w:bCs/>
          <w:lang w:val="en-US"/>
        </w:rPr>
        <w:br/>
      </w:r>
      <w:r w:rsidRPr="00525A1C">
        <w:rPr>
          <w:rFonts w:ascii="Cambria" w:hAnsi="Cambria"/>
          <w:b w:val="0"/>
          <w:bCs/>
        </w:rPr>
        <w:t xml:space="preserve">Sorlin, Pierre, </w:t>
      </w:r>
      <w:r w:rsidRPr="00525A1C">
        <w:rPr>
          <w:rStyle w:val="Accentuation"/>
          <w:rFonts w:ascii="Cambria" w:hAnsi="Cambria"/>
          <w:b w:val="0"/>
          <w:bCs/>
        </w:rPr>
        <w:t>Introduction à une sociologie du cinéma</w:t>
      </w:r>
      <w:r w:rsidRPr="00525A1C">
        <w:rPr>
          <w:rFonts w:ascii="Cambria" w:hAnsi="Cambria"/>
          <w:b w:val="0"/>
          <w:bCs/>
        </w:rPr>
        <w:t>, Paris, Klincksieck,2015(2</w:t>
      </w:r>
      <w:r w:rsidRPr="00525A1C">
        <w:rPr>
          <w:rFonts w:ascii="Cambria" w:hAnsi="Cambria"/>
          <w:b w:val="0"/>
          <w:bCs/>
          <w:sz w:val="17"/>
          <w:szCs w:val="17"/>
        </w:rPr>
        <w:t>e</w:t>
      </w:r>
      <w:r w:rsidRPr="00525A1C">
        <w:rPr>
          <w:rFonts w:ascii="Cambria" w:hAnsi="Cambria"/>
          <w:b w:val="0"/>
          <w:bCs/>
        </w:rPr>
        <w:t> éd.) .</w:t>
      </w:r>
      <w:r w:rsidRPr="00525A1C">
        <w:rPr>
          <w:rFonts w:ascii="Cambria" w:hAnsi="Cambria"/>
          <w:b w:val="0"/>
          <w:bCs/>
        </w:rPr>
        <w:br/>
        <w:t xml:space="preserve">Veyrat-Masson, Isabelle, </w:t>
      </w:r>
      <w:r w:rsidRPr="00525A1C">
        <w:rPr>
          <w:rStyle w:val="Accentuation"/>
          <w:rFonts w:ascii="Cambria" w:hAnsi="Cambria"/>
          <w:b w:val="0"/>
          <w:bCs/>
        </w:rPr>
        <w:t>Quand la télévision explore le temps</w:t>
      </w:r>
      <w:r w:rsidRPr="00525A1C">
        <w:rPr>
          <w:rFonts w:ascii="Cambria" w:hAnsi="Cambria"/>
          <w:b w:val="0"/>
          <w:bCs/>
        </w:rPr>
        <w:t>, Paris, Fayard,2000.</w:t>
      </w:r>
      <w:r w:rsidR="0013259A" w:rsidRPr="00525A1C">
        <w:rPr>
          <w:rFonts w:ascii="Cambria" w:hAnsi="Cambria"/>
          <w:b w:val="0"/>
          <w:bCs/>
          <w:sz w:val="22"/>
        </w:rPr>
        <w:br/>
        <w:t> </w:t>
      </w:r>
    </w:p>
    <w:p w14:paraId="73519DAB" w14:textId="77777777" w:rsidR="00E518F0" w:rsidRPr="00525A1C" w:rsidRDefault="00E518F0" w:rsidP="00E518F0">
      <w:pPr>
        <w:spacing w:line="240" w:lineRule="auto"/>
        <w:ind w:left="142" w:hanging="142"/>
        <w:jc w:val="both"/>
        <w:rPr>
          <w:rFonts w:ascii="Cambria" w:hAnsi="Cambria"/>
          <w:b w:val="0"/>
          <w:bCs/>
          <w:sz w:val="22"/>
        </w:rPr>
      </w:pPr>
    </w:p>
    <w:p w14:paraId="45ACEFF3" w14:textId="77777777" w:rsidR="0077449C" w:rsidRPr="00525A1C" w:rsidRDefault="0013259A" w:rsidP="00E518F0">
      <w:pPr>
        <w:spacing w:line="240" w:lineRule="auto"/>
        <w:ind w:left="142" w:hanging="142"/>
        <w:jc w:val="both"/>
        <w:rPr>
          <w:rFonts w:ascii="Cambria" w:hAnsi="Cambria"/>
          <w:color w:val="5B0F21" w:themeColor="accent1" w:themeShade="80"/>
          <w:sz w:val="22"/>
        </w:rPr>
      </w:pPr>
      <w:r w:rsidRPr="00525A1C">
        <w:rPr>
          <w:rFonts w:ascii="Cambria" w:hAnsi="Cambria"/>
          <w:b w:val="0"/>
          <w:bCs/>
          <w:sz w:val="22"/>
        </w:rPr>
        <w:br/>
      </w:r>
    </w:p>
    <w:p w14:paraId="00B3C6C6" w14:textId="77777777" w:rsidR="0077449C" w:rsidRPr="00525A1C" w:rsidRDefault="0077449C" w:rsidP="00E518F0">
      <w:pPr>
        <w:spacing w:line="240" w:lineRule="auto"/>
        <w:ind w:left="142" w:hanging="142"/>
        <w:jc w:val="both"/>
        <w:rPr>
          <w:rFonts w:ascii="Cambria" w:hAnsi="Cambria"/>
          <w:color w:val="5B0F21" w:themeColor="accent1" w:themeShade="80"/>
          <w:sz w:val="22"/>
        </w:rPr>
      </w:pPr>
    </w:p>
    <w:p w14:paraId="62C81C85" w14:textId="1E7BD179" w:rsidR="00B04D1F" w:rsidRPr="00C825DC" w:rsidRDefault="0013259A" w:rsidP="00B04D1F">
      <w:pPr>
        <w:spacing w:line="240" w:lineRule="auto"/>
        <w:jc w:val="both"/>
        <w:rPr>
          <w:rStyle w:val="lev"/>
          <w:b/>
          <w:bCs w:val="0"/>
          <w:color w:val="C00000"/>
        </w:rPr>
      </w:pPr>
      <w:r w:rsidRPr="00C825DC">
        <w:rPr>
          <w:rFonts w:ascii="Cambria" w:hAnsi="Cambria"/>
          <w:color w:val="C00000"/>
          <w:sz w:val="22"/>
          <w:u w:val="single"/>
        </w:rPr>
        <w:t>Sujet du cours S2</w:t>
      </w:r>
      <w:r w:rsidRPr="00C825DC">
        <w:rPr>
          <w:rFonts w:ascii="Cambria" w:hAnsi="Cambria"/>
          <w:b w:val="0"/>
          <w:bCs/>
          <w:color w:val="C00000"/>
          <w:sz w:val="22"/>
        </w:rPr>
        <w:t xml:space="preserve"> : </w:t>
      </w:r>
      <w:bookmarkStart w:id="41" w:name="_Hlk233713338"/>
      <w:r w:rsidR="00B04D1F" w:rsidRPr="00C825DC">
        <w:rPr>
          <w:color w:val="C00000"/>
        </w:rPr>
        <w:t>Les représentations audiovisuelles de l'immigration en France</w:t>
      </w:r>
    </w:p>
    <w:bookmarkEnd w:id="41"/>
    <w:p w14:paraId="6DD93C57" w14:textId="6427B7EE" w:rsidR="0077449C" w:rsidRPr="00525A1C" w:rsidRDefault="0013259A" w:rsidP="00B04D1F">
      <w:pPr>
        <w:spacing w:line="240" w:lineRule="auto"/>
        <w:ind w:hanging="142"/>
        <w:jc w:val="both"/>
        <w:rPr>
          <w:color w:val="881631" w:themeColor="accent1" w:themeShade="BF"/>
        </w:rPr>
      </w:pPr>
      <w:r w:rsidRPr="00525A1C">
        <w:rPr>
          <w:rFonts w:ascii="Cambria" w:hAnsi="Cambria"/>
          <w:b w:val="0"/>
          <w:bCs/>
          <w:sz w:val="22"/>
        </w:rPr>
        <w:br/>
      </w:r>
      <w:r w:rsidR="0077449C" w:rsidRPr="00525A1C">
        <w:rPr>
          <w:rFonts w:ascii="Times New Roman" w:eastAsia="Times New Roman" w:hAnsi="Times New Roman" w:cs="Times New Roman"/>
          <w:b w:val="0"/>
          <w:kern w:val="0"/>
          <w:szCs w:val="24"/>
          <w:lang w:eastAsia="fr-FR"/>
        </w:rPr>
        <w:t>Ce cours td vise à fournir aux étudiant.e.s.la méthodologie pour analyser les discours médiatiques et audiovisuels dans la perspective d'une histoire des représentations sociales et culturelles en France.</w:t>
      </w:r>
    </w:p>
    <w:p w14:paraId="41ECB943" w14:textId="77777777" w:rsidR="0077449C" w:rsidRPr="00525A1C" w:rsidRDefault="0077449C" w:rsidP="00B04D1F">
      <w:pPr>
        <w:spacing w:after="0" w:line="240" w:lineRule="auto"/>
        <w:jc w:val="both"/>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Il s'appuiera sur des séquences de reportage et des extraits de fiction pour voir comment a été traitée sur plus d'un demi-siècle la question de l'immigration.</w:t>
      </w:r>
    </w:p>
    <w:p w14:paraId="2F938250" w14:textId="318C094C" w:rsidR="0013259A" w:rsidRPr="00525A1C" w:rsidRDefault="0013259A" w:rsidP="00B04D1F">
      <w:pPr>
        <w:spacing w:line="240" w:lineRule="auto"/>
        <w:ind w:hanging="142"/>
        <w:jc w:val="both"/>
        <w:rPr>
          <w:rFonts w:ascii="Cambria" w:hAnsi="Cambria"/>
          <w:b w:val="0"/>
          <w:bCs/>
          <w:sz w:val="22"/>
        </w:rPr>
      </w:pPr>
    </w:p>
    <w:p w14:paraId="48FAF926" w14:textId="7B238508" w:rsidR="0013259A" w:rsidRPr="00525A1C" w:rsidRDefault="0013259A" w:rsidP="00B04D1F">
      <w:pPr>
        <w:spacing w:line="240" w:lineRule="auto"/>
        <w:ind w:hanging="142"/>
        <w:jc w:val="both"/>
        <w:rPr>
          <w:rFonts w:ascii="Cambria" w:hAnsi="Cambria"/>
          <w:sz w:val="22"/>
        </w:rPr>
      </w:pPr>
      <w:r w:rsidRPr="00525A1C">
        <w:rPr>
          <w:rFonts w:ascii="Cambria" w:hAnsi="Cambria"/>
          <w:b w:val="0"/>
          <w:bCs/>
          <w:sz w:val="22"/>
        </w:rPr>
        <w:br/>
      </w:r>
      <w:r w:rsidR="0077449C" w:rsidRPr="00525A1C">
        <w:rPr>
          <w:rFonts w:ascii="Cambria" w:hAnsi="Cambria"/>
          <w:sz w:val="22"/>
        </w:rPr>
        <w:t>Une b</w:t>
      </w:r>
      <w:r w:rsidRPr="00525A1C">
        <w:rPr>
          <w:rFonts w:ascii="Cambria" w:hAnsi="Cambria"/>
          <w:sz w:val="22"/>
        </w:rPr>
        <w:t xml:space="preserve">ibliographie </w:t>
      </w:r>
      <w:r w:rsidR="0077449C" w:rsidRPr="00525A1C">
        <w:rPr>
          <w:rFonts w:ascii="Cambria" w:hAnsi="Cambria"/>
          <w:sz w:val="22"/>
        </w:rPr>
        <w:t>détaillée sera donnée à l’issue du premier cours</w:t>
      </w:r>
      <w:r w:rsidR="00B04D1F" w:rsidRPr="00525A1C">
        <w:rPr>
          <w:rFonts w:ascii="Cambria" w:hAnsi="Cambria"/>
          <w:sz w:val="22"/>
        </w:rPr>
        <w:t>.</w:t>
      </w:r>
      <w:r w:rsidR="0077449C" w:rsidRPr="00525A1C">
        <w:rPr>
          <w:rFonts w:ascii="Cambria" w:hAnsi="Cambria"/>
          <w:sz w:val="22"/>
        </w:rPr>
        <w:t xml:space="preserve"> </w:t>
      </w:r>
    </w:p>
    <w:p w14:paraId="5F350896" w14:textId="6D6CCCDE" w:rsidR="0013259A" w:rsidRPr="00525A1C" w:rsidRDefault="0013259A" w:rsidP="0013259A">
      <w:pPr>
        <w:rPr>
          <w:rFonts w:ascii="Cambria" w:hAnsi="Cambria"/>
          <w:b w:val="0"/>
          <w:bCs/>
          <w:iCs/>
          <w:sz w:val="22"/>
        </w:rPr>
      </w:pPr>
      <w:r w:rsidRPr="00525A1C">
        <w:rPr>
          <w:rFonts w:ascii="Cambria" w:hAnsi="Cambria"/>
          <w:sz w:val="22"/>
        </w:rPr>
        <w:br/>
      </w:r>
    </w:p>
    <w:p w14:paraId="10973DE8"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152EB7D6"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4F5C51"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48AB7E" w14:textId="77777777" w:rsidR="0013259A" w:rsidRPr="00525A1C"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F69605C"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0B479F6"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324B315"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400A356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84DE75A"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1267A5B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B23A7B8"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34CC49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064993BC"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A9F321F"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AEE059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BFA32A9"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DF7D63D"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2F35536"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1BE23E4"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E30C3C0" w14:textId="051EC12E" w:rsidR="00AE70D3" w:rsidRPr="00C825DC" w:rsidRDefault="00AE70D3" w:rsidP="005422AA">
      <w:pPr>
        <w:jc w:val="center"/>
        <w:rPr>
          <w:rFonts w:ascii="Cambria" w:hAnsi="Cambria"/>
          <w:b w:val="0"/>
          <w:iCs/>
          <w:color w:val="C00000"/>
          <w:sz w:val="28"/>
          <w:szCs w:val="28"/>
        </w:rPr>
      </w:pPr>
      <w:r w:rsidRPr="00C825DC">
        <w:rPr>
          <w:rFonts w:ascii="Cambria" w:hAnsi="Cambria"/>
          <w:iCs/>
          <w:color w:val="C00000"/>
          <w:sz w:val="28"/>
          <w:szCs w:val="28"/>
        </w:rPr>
        <w:t xml:space="preserve">J3015525/J3015625 : Sources et méthodes de l’histoire sociale Contemporaine </w:t>
      </w:r>
    </w:p>
    <w:p w14:paraId="1039FD13" w14:textId="10E60A79" w:rsidR="005422AA" w:rsidRPr="00C825DC" w:rsidRDefault="00C825DC" w:rsidP="005422AA">
      <w:pPr>
        <w:jc w:val="center"/>
        <w:rPr>
          <w:rFonts w:ascii="Cambria" w:hAnsi="Cambria"/>
          <w:bCs/>
          <w:iCs/>
          <w:color w:val="FF0000"/>
          <w:sz w:val="22"/>
          <w:u w:val="single"/>
        </w:rPr>
      </w:pPr>
      <w:r w:rsidRPr="00C825DC">
        <w:rPr>
          <w:rFonts w:ascii="Cambria" w:hAnsi="Cambria"/>
          <w:bCs/>
          <w:iCs/>
          <w:color w:val="FF0000"/>
          <w:sz w:val="22"/>
          <w:u w:val="single"/>
        </w:rPr>
        <w:t>Cet enseignement se déroulera uniquement au semestre 2</w:t>
      </w:r>
    </w:p>
    <w:p w14:paraId="29D41CBE" w14:textId="43241439" w:rsidR="00AE70D3" w:rsidRPr="00C825DC" w:rsidRDefault="00AE70D3" w:rsidP="00C825DC">
      <w:pPr>
        <w:jc w:val="center"/>
        <w:rPr>
          <w:rFonts w:ascii="Cambria" w:hAnsi="Cambria" w:cs="Times New Roman"/>
          <w:iCs/>
          <w:sz w:val="22"/>
          <w:lang w:val="en-US"/>
        </w:rPr>
      </w:pPr>
      <w:r w:rsidRPr="00525A1C">
        <w:rPr>
          <w:rFonts w:ascii="Cambria" w:hAnsi="Cambria" w:cs="Times New Roman"/>
          <w:iCs/>
          <w:sz w:val="22"/>
          <w:lang w:val="en-US"/>
        </w:rPr>
        <w:t xml:space="preserve">Lola Zappi </w:t>
      </w:r>
    </w:p>
    <w:p w14:paraId="0732038B" w14:textId="0746D348" w:rsidR="00227384" w:rsidRPr="00C825DC" w:rsidRDefault="00AE70D3" w:rsidP="00227384">
      <w:pPr>
        <w:rPr>
          <w:rFonts w:ascii="Cambria" w:hAnsi="Cambria"/>
          <w:color w:val="C00000"/>
          <w:sz w:val="22"/>
        </w:rPr>
      </w:pPr>
      <w:r w:rsidRPr="00C825DC">
        <w:rPr>
          <w:rFonts w:ascii="Cambria" w:hAnsi="Cambria" w:cs="Times New Roman"/>
          <w:bCs/>
          <w:color w:val="C00000"/>
          <w:sz w:val="22"/>
        </w:rPr>
        <w:t xml:space="preserve"> </w:t>
      </w:r>
      <w:r w:rsidRPr="00C825DC">
        <w:rPr>
          <w:rFonts w:ascii="Cambria" w:hAnsi="Cambria" w:cs="Times New Roman"/>
          <w:bCs/>
          <w:color w:val="C00000"/>
          <w:sz w:val="22"/>
          <w:u w:val="single"/>
        </w:rPr>
        <w:t>Sujet du cours</w:t>
      </w:r>
      <w:r w:rsidR="00C825DC" w:rsidRPr="00C825DC">
        <w:rPr>
          <w:rFonts w:ascii="Cambria" w:hAnsi="Cambria" w:cs="Times New Roman"/>
          <w:bCs/>
          <w:color w:val="C00000"/>
          <w:sz w:val="22"/>
        </w:rPr>
        <w:t xml:space="preserve"> </w:t>
      </w:r>
      <w:r w:rsidRPr="00C825DC">
        <w:rPr>
          <w:rFonts w:ascii="Cambria" w:hAnsi="Cambria" w:cs="Times New Roman"/>
          <w:bCs/>
          <w:color w:val="C00000"/>
          <w:sz w:val="22"/>
        </w:rPr>
        <w:t xml:space="preserve">: </w:t>
      </w:r>
      <w:r w:rsidR="00227384" w:rsidRPr="00C825DC">
        <w:rPr>
          <w:rFonts w:ascii="Cambria" w:hAnsi="Cambria"/>
          <w:color w:val="C00000"/>
          <w:sz w:val="22"/>
        </w:rPr>
        <w:t>Vivre en milieu rural dans la France contemporaine, XIX</w:t>
      </w:r>
      <w:r w:rsidR="00227384" w:rsidRPr="00C825DC">
        <w:rPr>
          <w:rFonts w:ascii="Cambria" w:hAnsi="Cambria"/>
          <w:color w:val="C00000"/>
          <w:sz w:val="22"/>
          <w:vertAlign w:val="superscript"/>
        </w:rPr>
        <w:t>e</w:t>
      </w:r>
      <w:r w:rsidR="00227384" w:rsidRPr="00C825DC">
        <w:rPr>
          <w:rFonts w:ascii="Cambria" w:hAnsi="Cambria"/>
          <w:color w:val="C00000"/>
          <w:sz w:val="22"/>
        </w:rPr>
        <w:t>-XXI</w:t>
      </w:r>
      <w:r w:rsidR="00227384" w:rsidRPr="00C825DC">
        <w:rPr>
          <w:rFonts w:ascii="Cambria" w:hAnsi="Cambria"/>
          <w:color w:val="C00000"/>
          <w:sz w:val="22"/>
          <w:vertAlign w:val="superscript"/>
        </w:rPr>
        <w:t>e</w:t>
      </w:r>
      <w:r w:rsidR="00227384" w:rsidRPr="00C825DC">
        <w:rPr>
          <w:rFonts w:ascii="Cambria" w:hAnsi="Cambria"/>
          <w:color w:val="C00000"/>
          <w:sz w:val="22"/>
        </w:rPr>
        <w:t xml:space="preserve"> siècles</w:t>
      </w:r>
    </w:p>
    <w:p w14:paraId="24BE9768" w14:textId="77777777" w:rsidR="00227384" w:rsidRPr="00C825DC" w:rsidRDefault="00227384" w:rsidP="00227384">
      <w:pPr>
        <w:ind w:firstLine="708"/>
        <w:jc w:val="both"/>
        <w:rPr>
          <w:rFonts w:ascii="Cambria" w:hAnsi="Cambria"/>
          <w:b w:val="0"/>
          <w:bCs/>
          <w:sz w:val="22"/>
        </w:rPr>
      </w:pPr>
      <w:r w:rsidRPr="00C825DC">
        <w:rPr>
          <w:rFonts w:ascii="Cambria" w:hAnsi="Cambria"/>
          <w:b w:val="0"/>
          <w:bCs/>
          <w:sz w:val="22"/>
        </w:rPr>
        <w:t>Le cours propose d’explorer l’histoire sociale des campagnes françaises à la période contemporaine. Alors que l’histoire des sociétés industrielles a souvent été envisagée par le prisme des villes, le cours renverse la focale et analyse ces mutations (déclin de l’aristocratie, entrée dans le capitalisme marchand, affirmation de l’État, mouvements démographiques, reconfigurations des rôles sociaux et familiaux) à partir des populations rurales. Qui sont celles et ceux « qui restent » alors que les campagnes passent d’un monde du plein, accueillant la majorité de la population française jusqu’au début des années 1930, à des territoires marqués par l’exode rural et la déprise démographique ? Comment leurs modes de vie se trouvent-ils restructurés avec l’intégration économique et politique des campagnes dans la société industrielle française ? Enfin, comment s’incarne leur quotidien, entre travail, sociabilités, vie familiale et participation à la vie publique, dans des territoires allant du bocage vendéen aux terrains miniers du Nord en passant par les pays de grande culture ?</w:t>
      </w:r>
    </w:p>
    <w:p w14:paraId="61DC6C6B" w14:textId="7FF68C87" w:rsidR="00227384" w:rsidRPr="00C825DC" w:rsidRDefault="00227384" w:rsidP="00227384">
      <w:pPr>
        <w:ind w:firstLine="708"/>
        <w:jc w:val="both"/>
        <w:rPr>
          <w:rFonts w:ascii="Cambria" w:hAnsi="Cambria"/>
          <w:b w:val="0"/>
          <w:bCs/>
          <w:sz w:val="22"/>
        </w:rPr>
      </w:pPr>
      <w:r w:rsidRPr="00C825DC">
        <w:rPr>
          <w:rFonts w:ascii="Cambria" w:hAnsi="Cambria"/>
          <w:b w:val="0"/>
          <w:bCs/>
          <w:sz w:val="22"/>
        </w:rPr>
        <w:t>Le cours aborde ces questions à partir d’études de cas variées, donnant à voir la diversité des territoires ruraux et des populations qui les habitent : paysans bretons et fermiers aisés de la Beauce au XIX</w:t>
      </w:r>
      <w:r w:rsidRPr="00C825DC">
        <w:rPr>
          <w:rFonts w:ascii="Cambria" w:hAnsi="Cambria"/>
          <w:b w:val="0"/>
          <w:bCs/>
          <w:sz w:val="22"/>
          <w:vertAlign w:val="superscript"/>
        </w:rPr>
        <w:t>e</w:t>
      </w:r>
      <w:r w:rsidRPr="00C825DC">
        <w:rPr>
          <w:rFonts w:ascii="Cambria" w:hAnsi="Cambria"/>
          <w:b w:val="0"/>
          <w:bCs/>
          <w:sz w:val="22"/>
        </w:rPr>
        <w:t xml:space="preserve"> siècle, nourrices morvandelles, agriculteurs embourgeoisés ou laissés-pour-compte de la « révolution silencieuse » des années 1950, néo-ruraux ardéchois du post-1968… Il s’étend jusqu’au très contemporain afin de dialoguer avec les travaux de sociologie sur le genre et les classes sociales en milieu rural. Enfin, bien que centré sur la France, il prend appui sur des comparaisons européennes et américaines afin de discuter les temporalités et les modalités de la modernisation des campagnes dans les sociétés industrielles.</w:t>
      </w:r>
    </w:p>
    <w:p w14:paraId="56480427" w14:textId="77777777" w:rsidR="00227384" w:rsidRPr="00C825DC" w:rsidRDefault="00227384" w:rsidP="00227384">
      <w:pPr>
        <w:ind w:firstLine="708"/>
        <w:jc w:val="both"/>
        <w:rPr>
          <w:rFonts w:ascii="Cambria" w:hAnsi="Cambria"/>
          <w:b w:val="0"/>
          <w:bCs/>
          <w:sz w:val="22"/>
        </w:rPr>
      </w:pPr>
    </w:p>
    <w:p w14:paraId="1F71ED7E" w14:textId="77777777" w:rsidR="00227384" w:rsidRPr="00C825DC" w:rsidRDefault="00227384" w:rsidP="00227384">
      <w:pPr>
        <w:ind w:firstLine="708"/>
        <w:jc w:val="both"/>
        <w:rPr>
          <w:rFonts w:ascii="Cambria" w:hAnsi="Cambria"/>
          <w:b w:val="0"/>
          <w:bCs/>
          <w:sz w:val="22"/>
        </w:rPr>
      </w:pPr>
    </w:p>
    <w:p w14:paraId="603839FB" w14:textId="77777777" w:rsidR="00227384" w:rsidRPr="00C825DC" w:rsidRDefault="00227384" w:rsidP="00227384">
      <w:pPr>
        <w:rPr>
          <w:rFonts w:ascii="Cambria" w:hAnsi="Cambria"/>
          <w:sz w:val="22"/>
          <w:u w:val="single"/>
        </w:rPr>
      </w:pPr>
      <w:r w:rsidRPr="00C825DC">
        <w:rPr>
          <w:rFonts w:ascii="Cambria" w:hAnsi="Cambria"/>
          <w:sz w:val="22"/>
          <w:u w:val="single"/>
        </w:rPr>
        <w:t>Bibliographie indicative :</w:t>
      </w:r>
    </w:p>
    <w:p w14:paraId="68154EB6"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Alary Éric, </w:t>
      </w:r>
      <w:r w:rsidRPr="00C825DC">
        <w:rPr>
          <w:rFonts w:ascii="Cambria" w:hAnsi="Cambria"/>
          <w:b w:val="0"/>
          <w:bCs/>
          <w:i/>
          <w:iCs/>
          <w:sz w:val="22"/>
        </w:rPr>
        <w:t>L’histoire des paysans français</w:t>
      </w:r>
      <w:r w:rsidRPr="00C825DC">
        <w:rPr>
          <w:rFonts w:ascii="Cambria" w:hAnsi="Cambria"/>
          <w:b w:val="0"/>
          <w:bCs/>
          <w:sz w:val="22"/>
        </w:rPr>
        <w:t>, Paris, Perrin, 2016</w:t>
      </w:r>
    </w:p>
    <w:p w14:paraId="147997FA"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Annie Antoine et Julian Mischi (eds.), </w:t>
      </w:r>
      <w:r w:rsidRPr="00C825DC">
        <w:rPr>
          <w:rFonts w:ascii="Cambria" w:hAnsi="Cambria"/>
          <w:b w:val="0"/>
          <w:bCs/>
          <w:i/>
          <w:iCs/>
          <w:sz w:val="22"/>
        </w:rPr>
        <w:t>Sociabilité et politique en milieu rural</w:t>
      </w:r>
      <w:r w:rsidRPr="00C825DC">
        <w:rPr>
          <w:rFonts w:ascii="Cambria" w:hAnsi="Cambria"/>
          <w:b w:val="0"/>
          <w:bCs/>
          <w:sz w:val="22"/>
        </w:rPr>
        <w:t>, Rennes, Presses universitaires de Rennes, 2008</w:t>
      </w:r>
    </w:p>
    <w:p w14:paraId="17C80EF7"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Clémence Gadenne-Rosfelder et Anthony Hamon (eds.), </w:t>
      </w:r>
      <w:r w:rsidRPr="00C825DC">
        <w:rPr>
          <w:rFonts w:ascii="Cambria" w:hAnsi="Cambria"/>
          <w:b w:val="0"/>
          <w:bCs/>
          <w:i/>
          <w:iCs/>
          <w:sz w:val="22"/>
        </w:rPr>
        <w:t>La vie des femmes dans les campagnes: France, XIXe-XXe siècles</w:t>
      </w:r>
      <w:r w:rsidRPr="00C825DC">
        <w:rPr>
          <w:rFonts w:ascii="Cambria" w:hAnsi="Cambria"/>
          <w:b w:val="0"/>
          <w:bCs/>
          <w:sz w:val="22"/>
        </w:rPr>
        <w:t>, Rennes, Presses Universitaires de Rennes, 2025</w:t>
      </w:r>
    </w:p>
    <w:p w14:paraId="70F2D598"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Georges Duby et Armand Wallon (eds.), </w:t>
      </w:r>
      <w:r w:rsidRPr="00C825DC">
        <w:rPr>
          <w:rFonts w:ascii="Cambria" w:hAnsi="Cambria"/>
          <w:b w:val="0"/>
          <w:bCs/>
          <w:i/>
          <w:iCs/>
          <w:sz w:val="22"/>
        </w:rPr>
        <w:t>Histoire de la France rurale</w:t>
      </w:r>
      <w:r w:rsidRPr="00C825DC">
        <w:rPr>
          <w:rFonts w:ascii="Cambria" w:hAnsi="Cambria"/>
          <w:b w:val="0"/>
          <w:bCs/>
          <w:sz w:val="22"/>
        </w:rPr>
        <w:t>, Paris, Ed. du Seuil, 1975-1977, 4 vol.</w:t>
      </w:r>
    </w:p>
    <w:p w14:paraId="2EF92D71"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Jessenne Jean-Pierre, </w:t>
      </w:r>
      <w:r w:rsidRPr="00C825DC">
        <w:rPr>
          <w:rFonts w:ascii="Cambria" w:hAnsi="Cambria"/>
          <w:b w:val="0"/>
          <w:bCs/>
          <w:i/>
          <w:iCs/>
          <w:sz w:val="22"/>
        </w:rPr>
        <w:t>Les campagnes françaises entre mythe et histoire: XVIIIe-XXIe siècle</w:t>
      </w:r>
      <w:r w:rsidRPr="00C825DC">
        <w:rPr>
          <w:rFonts w:ascii="Cambria" w:hAnsi="Cambria"/>
          <w:b w:val="0"/>
          <w:bCs/>
          <w:sz w:val="22"/>
        </w:rPr>
        <w:t>, Paris, Armand Colin, 2006</w:t>
      </w:r>
    </w:p>
    <w:p w14:paraId="28512065"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Marcel Lachiver, </w:t>
      </w:r>
      <w:r w:rsidRPr="00C825DC">
        <w:rPr>
          <w:rFonts w:ascii="Cambria" w:hAnsi="Cambria"/>
          <w:b w:val="0"/>
          <w:bCs/>
          <w:i/>
          <w:iCs/>
          <w:sz w:val="22"/>
        </w:rPr>
        <w:t>Dictionnaire du monde rural: les mots du passé</w:t>
      </w:r>
      <w:r w:rsidRPr="00C825DC">
        <w:rPr>
          <w:rFonts w:ascii="Cambria" w:hAnsi="Cambria"/>
          <w:b w:val="0"/>
          <w:bCs/>
          <w:sz w:val="22"/>
        </w:rPr>
        <w:t>, Paris, Fayard, 2006</w:t>
      </w:r>
    </w:p>
    <w:p w14:paraId="4B547C16"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Lyautey Margot, Humbert Léna, et Bonneuil Christophe, </w:t>
      </w:r>
      <w:r w:rsidRPr="00C825DC">
        <w:rPr>
          <w:rFonts w:ascii="Cambria" w:hAnsi="Cambria"/>
          <w:b w:val="0"/>
          <w:bCs/>
          <w:i/>
          <w:iCs/>
          <w:sz w:val="22"/>
        </w:rPr>
        <w:t>Histoire des modernisations agricoles au XXe siècle</w:t>
      </w:r>
      <w:r w:rsidRPr="00C825DC">
        <w:rPr>
          <w:rFonts w:ascii="Cambria" w:hAnsi="Cambria"/>
          <w:b w:val="0"/>
          <w:bCs/>
          <w:sz w:val="22"/>
        </w:rPr>
        <w:t>, Rennes, Presses universitaires de Rennes, 2021</w:t>
      </w:r>
    </w:p>
    <w:p w14:paraId="03293715"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Jean-Luc Mayaud et Lutz Raphael (eds.), </w:t>
      </w:r>
      <w:r w:rsidRPr="00C825DC">
        <w:rPr>
          <w:rFonts w:ascii="Cambria" w:hAnsi="Cambria"/>
          <w:b w:val="0"/>
          <w:bCs/>
          <w:i/>
          <w:iCs/>
          <w:sz w:val="22"/>
        </w:rPr>
        <w:t>Histoire de l’Europe rurale contemporaine : du village à l’État</w:t>
      </w:r>
      <w:r w:rsidRPr="00C825DC">
        <w:rPr>
          <w:rFonts w:ascii="Cambria" w:hAnsi="Cambria"/>
          <w:b w:val="0"/>
          <w:bCs/>
          <w:sz w:val="22"/>
        </w:rPr>
        <w:t>, Paris, Armand Colin, 2006</w:t>
      </w:r>
    </w:p>
    <w:p w14:paraId="179010D6" w14:textId="5F32C0FF" w:rsidR="00AE70D3" w:rsidRPr="00C825DC" w:rsidRDefault="00AE70D3" w:rsidP="00227384">
      <w:pPr>
        <w:jc w:val="both"/>
        <w:rPr>
          <w:rFonts w:ascii="Cambria" w:hAnsi="Cambria"/>
          <w:b w:val="0"/>
          <w:bCs/>
          <w:sz w:val="22"/>
        </w:rPr>
      </w:pPr>
    </w:p>
    <w:p w14:paraId="0CE294FF" w14:textId="77777777" w:rsidR="00AE70D3" w:rsidRPr="00C825DC" w:rsidRDefault="00AE70D3" w:rsidP="00AE70D3">
      <w:pPr>
        <w:keepNext/>
        <w:spacing w:after="0" w:line="240" w:lineRule="auto"/>
        <w:jc w:val="both"/>
        <w:outlineLvl w:val="0"/>
        <w:rPr>
          <w:rFonts w:ascii="Cambria" w:hAnsi="Cambria"/>
          <w:bCs/>
          <w:iCs/>
          <w:sz w:val="22"/>
        </w:rPr>
      </w:pPr>
    </w:p>
    <w:p w14:paraId="6B7AB767" w14:textId="77777777" w:rsidR="00AE70D3" w:rsidRPr="00C825DC" w:rsidRDefault="00AE70D3" w:rsidP="00AE70D3">
      <w:pPr>
        <w:keepNext/>
        <w:spacing w:after="0" w:line="240" w:lineRule="auto"/>
        <w:jc w:val="both"/>
        <w:outlineLvl w:val="0"/>
        <w:rPr>
          <w:rFonts w:ascii="Cambria" w:hAnsi="Cambria"/>
          <w:bCs/>
          <w:iCs/>
          <w:sz w:val="22"/>
        </w:rPr>
      </w:pPr>
    </w:p>
    <w:p w14:paraId="5DDAD02B" w14:textId="77777777" w:rsidR="00AE70D3" w:rsidRPr="00C825DC" w:rsidRDefault="00AE70D3" w:rsidP="00AE70D3">
      <w:pPr>
        <w:keepNext/>
        <w:spacing w:after="0" w:line="240" w:lineRule="auto"/>
        <w:jc w:val="both"/>
        <w:outlineLvl w:val="0"/>
        <w:rPr>
          <w:rFonts w:ascii="Cambria" w:hAnsi="Cambria"/>
          <w:bCs/>
          <w:iCs/>
          <w:sz w:val="22"/>
        </w:rPr>
      </w:pPr>
    </w:p>
    <w:p w14:paraId="72BCAD35" w14:textId="77777777" w:rsidR="00AE70D3" w:rsidRPr="00525A1C" w:rsidRDefault="00AE70D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E7CE30D" w14:textId="77777777" w:rsidR="00AE70D3" w:rsidRPr="00525A1C" w:rsidRDefault="00AE70D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0DDADAC4" w14:textId="77777777" w:rsidR="00E846A1" w:rsidRPr="00525A1C" w:rsidRDefault="00E846A1"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5AA4C1E2" w14:textId="77777777" w:rsidR="007763A8" w:rsidRPr="00525A1C" w:rsidRDefault="007763A8"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37F899DD" w14:textId="77777777" w:rsidR="006376A3" w:rsidRPr="00525A1C" w:rsidRDefault="006376A3"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2AAAF666" w14:textId="77777777" w:rsidR="007763A8" w:rsidRPr="00525A1C" w:rsidRDefault="007763A8"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083C91E4" w14:textId="77777777" w:rsidR="00E846A1" w:rsidRPr="00525A1C" w:rsidRDefault="00E846A1" w:rsidP="00FF06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4CD0AAF7" w14:textId="77777777" w:rsidR="00E846A1" w:rsidRPr="00525A1C" w:rsidRDefault="00E846A1"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B1F02B9" w14:textId="77777777" w:rsidR="00001F7A" w:rsidRPr="00FF062B" w:rsidRDefault="00001F7A" w:rsidP="00001F7A">
      <w:pPr>
        <w:spacing w:after="0"/>
        <w:jc w:val="center"/>
        <w:rPr>
          <w:rFonts w:ascii="Cambria" w:eastAsia="Calibri" w:hAnsi="Cambria" w:cs="Times New Roman"/>
          <w:bCs/>
          <w:color w:val="C00000"/>
          <w:kern w:val="0"/>
          <w:sz w:val="28"/>
          <w:szCs w:val="28"/>
          <w:lang w:eastAsia="en-US"/>
        </w:rPr>
      </w:pPr>
      <w:r w:rsidRPr="00FF062B">
        <w:rPr>
          <w:rFonts w:ascii="Cambria" w:eastAsia="Calibri" w:hAnsi="Cambria" w:cs="Times New Roman"/>
          <w:bCs/>
          <w:color w:val="C00000"/>
          <w:kern w:val="0"/>
          <w:sz w:val="28"/>
          <w:szCs w:val="28"/>
          <w:lang w:eastAsia="en-US"/>
        </w:rPr>
        <w:t>J3012525-J3011625 : Approches comparées des sociétés passées</w:t>
      </w:r>
    </w:p>
    <w:p w14:paraId="3B5123F7" w14:textId="77777777" w:rsidR="00001F7A" w:rsidRPr="00525A1C" w:rsidRDefault="00001F7A" w:rsidP="00001F7A">
      <w:pPr>
        <w:spacing w:after="0"/>
        <w:contextualSpacing/>
        <w:rPr>
          <w:rFonts w:ascii="Cambria" w:eastAsia="Times New Roman" w:hAnsi="Cambria" w:cs="Times New Roman"/>
          <w:bCs/>
          <w:kern w:val="0"/>
          <w:sz w:val="22"/>
          <w:lang w:eastAsia="fr-FR"/>
        </w:rPr>
      </w:pPr>
    </w:p>
    <w:p w14:paraId="32DD8A3B" w14:textId="0451F38B" w:rsidR="00001F7A" w:rsidRPr="00525A1C" w:rsidRDefault="00001F7A" w:rsidP="00001F7A">
      <w:pPr>
        <w:spacing w:after="0"/>
        <w:contextualSpacing/>
        <w:rPr>
          <w:rFonts w:ascii="Cambria" w:eastAsia="Times New Roman" w:hAnsi="Cambria" w:cs="Times New Roman"/>
          <w:bCs/>
          <w:color w:val="FF0000"/>
          <w:kern w:val="0"/>
          <w:szCs w:val="24"/>
          <w:lang w:eastAsia="fr-FR"/>
        </w:rPr>
      </w:pPr>
      <w:r w:rsidRPr="00FF062B">
        <w:rPr>
          <w:rFonts w:ascii="Cambria" w:eastAsia="Times New Roman" w:hAnsi="Cambria" w:cs="Times New Roman"/>
          <w:bCs/>
          <w:color w:val="FF0000"/>
          <w:kern w:val="0"/>
          <w:sz w:val="28"/>
          <w:szCs w:val="28"/>
          <w:lang w:eastAsia="fr-FR"/>
        </w:rPr>
        <w:t>Histoire du genre</w:t>
      </w:r>
      <w:r w:rsidRPr="00525A1C">
        <w:rPr>
          <w:rFonts w:ascii="Cambria" w:eastAsia="Times New Roman" w:hAnsi="Cambria" w:cs="Times New Roman"/>
          <w:bCs/>
          <w:color w:val="FF0000"/>
          <w:kern w:val="0"/>
          <w:szCs w:val="24"/>
          <w:lang w:eastAsia="fr-FR"/>
        </w:rPr>
        <w:t xml:space="preserve">  </w:t>
      </w:r>
    </w:p>
    <w:p w14:paraId="780CC88E" w14:textId="77777777" w:rsidR="00001F7A" w:rsidRPr="00525A1C" w:rsidRDefault="00001F7A" w:rsidP="00001F7A">
      <w:pPr>
        <w:spacing w:after="0"/>
        <w:contextualSpacing/>
        <w:rPr>
          <w:rFonts w:ascii="Cambria" w:eastAsia="Times New Roman" w:hAnsi="Cambria" w:cs="Times New Roman"/>
          <w:bCs/>
          <w:color w:val="FF0000"/>
          <w:kern w:val="0"/>
          <w:sz w:val="22"/>
          <w:lang w:eastAsia="fr-FR"/>
        </w:rPr>
      </w:pPr>
    </w:p>
    <w:p w14:paraId="1D76E899" w14:textId="77777777" w:rsidR="00001F7A" w:rsidRPr="00525A1C" w:rsidRDefault="00001F7A" w:rsidP="00001F7A">
      <w:pPr>
        <w:spacing w:after="0"/>
        <w:jc w:val="center"/>
        <w:rPr>
          <w:rFonts w:ascii="Cambria" w:eastAsia="Calibri" w:hAnsi="Cambria" w:cs="Times New Roman"/>
          <w:bCs/>
          <w:color w:val="000000" w:themeColor="text1"/>
          <w:kern w:val="0"/>
          <w:sz w:val="22"/>
          <w:lang w:eastAsia="en-US"/>
        </w:rPr>
      </w:pPr>
      <w:r w:rsidRPr="00525A1C">
        <w:rPr>
          <w:rFonts w:ascii="Cambria" w:eastAsia="Calibri" w:hAnsi="Cambria" w:cs="Times New Roman"/>
          <w:bCs/>
          <w:color w:val="000000" w:themeColor="text1"/>
          <w:kern w:val="0"/>
          <w:sz w:val="22"/>
          <w:lang w:eastAsia="en-US"/>
        </w:rPr>
        <w:t xml:space="preserve">Éric Fournier (S1), Florence Wenzek (S2) </w:t>
      </w:r>
    </w:p>
    <w:p w14:paraId="75C5F68B" w14:textId="77777777" w:rsidR="00001F7A" w:rsidRPr="00525A1C" w:rsidRDefault="00001F7A" w:rsidP="00001F7A">
      <w:pPr>
        <w:spacing w:after="0"/>
        <w:contextualSpacing/>
        <w:rPr>
          <w:rFonts w:ascii="Cambria" w:eastAsia="Times New Roman" w:hAnsi="Cambria" w:cs="Times New Roman"/>
          <w:bCs/>
          <w:color w:val="FF0000"/>
          <w:kern w:val="0"/>
          <w:sz w:val="22"/>
          <w:lang w:eastAsia="fr-FR"/>
        </w:rPr>
      </w:pPr>
    </w:p>
    <w:p w14:paraId="46901ED8" w14:textId="14B98B6B" w:rsidR="00001F7A" w:rsidRPr="00FF062B" w:rsidRDefault="00001F7A" w:rsidP="00001F7A">
      <w:pPr>
        <w:spacing w:after="0"/>
        <w:contextualSpacing/>
        <w:jc w:val="both"/>
        <w:rPr>
          <w:rFonts w:ascii="Cambria" w:eastAsia="Times New Roman" w:hAnsi="Cambria" w:cs="Times New Roman"/>
          <w:bCs/>
          <w:color w:val="C00000"/>
          <w:kern w:val="0"/>
          <w:sz w:val="22"/>
          <w:lang w:eastAsia="fr-FR"/>
        </w:rPr>
      </w:pPr>
      <w:r w:rsidRPr="00FF062B">
        <w:rPr>
          <w:rFonts w:ascii="Cambria" w:eastAsia="Times New Roman" w:hAnsi="Cambria" w:cs="Times New Roman"/>
          <w:bCs/>
          <w:color w:val="C00000"/>
          <w:kern w:val="0"/>
          <w:sz w:val="22"/>
          <w:u w:val="single"/>
          <w:lang w:eastAsia="fr-FR"/>
        </w:rPr>
        <w:t>Sujet du cours S1</w:t>
      </w:r>
      <w:r w:rsidRPr="00FF062B">
        <w:rPr>
          <w:rFonts w:ascii="Cambria" w:eastAsia="Times New Roman" w:hAnsi="Cambria" w:cs="Times New Roman"/>
          <w:bCs/>
          <w:color w:val="C00000"/>
          <w:kern w:val="0"/>
          <w:sz w:val="22"/>
          <w:lang w:eastAsia="fr-FR"/>
        </w:rPr>
        <w:t> : Régimes de masculinités, l'histoire du genre au masculin, Europe - XIX</w:t>
      </w:r>
      <w:r w:rsidRPr="00FF062B">
        <w:rPr>
          <w:rFonts w:ascii="Cambria" w:eastAsia="Times New Roman" w:hAnsi="Cambria" w:cs="Times New Roman"/>
          <w:bCs/>
          <w:color w:val="C00000"/>
          <w:kern w:val="0"/>
          <w:sz w:val="22"/>
          <w:vertAlign w:val="superscript"/>
          <w:lang w:eastAsia="fr-FR"/>
        </w:rPr>
        <w:t>e</w:t>
      </w:r>
      <w:r w:rsidRPr="00FF062B">
        <w:rPr>
          <w:rFonts w:ascii="Cambria" w:eastAsia="Times New Roman" w:hAnsi="Cambria" w:cs="Times New Roman"/>
          <w:bCs/>
          <w:color w:val="C00000"/>
          <w:kern w:val="0"/>
          <w:sz w:val="22"/>
          <w:lang w:eastAsia="fr-FR"/>
        </w:rPr>
        <w:t xml:space="preserve"> – XX</w:t>
      </w:r>
      <w:r w:rsidRPr="00FF062B">
        <w:rPr>
          <w:rFonts w:ascii="Cambria" w:eastAsia="Times New Roman" w:hAnsi="Cambria" w:cs="Times New Roman"/>
          <w:bCs/>
          <w:color w:val="C00000"/>
          <w:kern w:val="0"/>
          <w:sz w:val="22"/>
          <w:vertAlign w:val="superscript"/>
          <w:lang w:eastAsia="fr-FR"/>
        </w:rPr>
        <w:t>e</w:t>
      </w:r>
      <w:r w:rsidRPr="00FF062B">
        <w:rPr>
          <w:rFonts w:ascii="Cambria" w:eastAsia="Times New Roman" w:hAnsi="Cambria" w:cs="Times New Roman"/>
          <w:bCs/>
          <w:color w:val="C00000"/>
          <w:kern w:val="0"/>
          <w:sz w:val="22"/>
          <w:lang w:eastAsia="fr-FR"/>
        </w:rPr>
        <w:t xml:space="preserve"> siècles.</w:t>
      </w:r>
    </w:p>
    <w:p w14:paraId="21FC111F" w14:textId="77777777" w:rsidR="00001F7A" w:rsidRPr="00525A1C" w:rsidRDefault="00001F7A" w:rsidP="00001F7A">
      <w:pPr>
        <w:spacing w:after="0"/>
        <w:contextualSpacing/>
        <w:jc w:val="both"/>
        <w:rPr>
          <w:rFonts w:ascii="Cambria" w:eastAsia="Times New Roman" w:hAnsi="Cambria" w:cs="Times New Roman"/>
          <w:b w:val="0"/>
          <w:color w:val="8F8F8F" w:themeColor="text2" w:themeTint="99"/>
          <w:kern w:val="0"/>
          <w:sz w:val="22"/>
          <w:lang w:eastAsia="fr-FR"/>
        </w:rPr>
      </w:pPr>
    </w:p>
    <w:p w14:paraId="7EB0DF24" w14:textId="3487E61D" w:rsidR="00001F7A" w:rsidRPr="00FF062B" w:rsidRDefault="00001F7A" w:rsidP="00001F7A">
      <w:pPr>
        <w:spacing w:after="0"/>
        <w:jc w:val="both"/>
        <w:rPr>
          <w:rFonts w:ascii="Cambria" w:eastAsia="Times New Roman" w:hAnsi="Cambria" w:cs="Times New Roman"/>
          <w:bCs/>
          <w:kern w:val="0"/>
          <w:sz w:val="22"/>
          <w:lang w:eastAsia="fr-FR"/>
        </w:rPr>
      </w:pPr>
      <w:r w:rsidRPr="00525A1C">
        <w:rPr>
          <w:rFonts w:ascii="Cambria" w:eastAsia="Times New Roman" w:hAnsi="Cambria" w:cs="Times New Roman"/>
          <w:bCs/>
          <w:kern w:val="0"/>
          <w:sz w:val="22"/>
          <w:lang w:eastAsia="fr-FR"/>
        </w:rPr>
        <w:t xml:space="preserve">Résumé : </w:t>
      </w:r>
    </w:p>
    <w:p w14:paraId="626D6774" w14:textId="77777777" w:rsidR="00001F7A" w:rsidRPr="00525A1C" w:rsidRDefault="00001F7A" w:rsidP="00001F7A">
      <w:pPr>
        <w:spacing w:after="0"/>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L'étude des différents régimes de masculinités – des formes hégémoniques des façons d'être un homme aux virilités les plus agressives ou aux masculinités subalternes – participe pleinement d'une histoire du genre. Il s'agit de travailler sur l'historicité d'identités masculines plurielles, se construisant et se reconfigurant en se confrontant à des situations diverses, politiques, culturels, étatiques, notamment ; de travailler sur l'articulation entre une histoire sociale et une histoire culturelle, sur la construction des catégories et leur mises en œuvre par des répertoires de pratiques ; d'interroger enfin un autre « silence de l'histoire », une évidence trompeuse postulant l'invariabilité du masculin, en accordant une attention accrue au travail sur les sources : témoignages et mémoires, presse, romans, iconographie. Le « long XIX</w:t>
      </w:r>
      <w:r w:rsidRPr="00525A1C">
        <w:rPr>
          <w:rFonts w:ascii="Cambria" w:eastAsia="Times New Roman" w:hAnsi="Cambria" w:cs="Times New Roman"/>
          <w:b w:val="0"/>
          <w:kern w:val="0"/>
          <w:sz w:val="22"/>
          <w:vertAlign w:val="superscript"/>
          <w:lang w:eastAsia="fr-FR"/>
        </w:rPr>
        <w:t>e</w:t>
      </w:r>
      <w:r w:rsidRPr="00525A1C">
        <w:rPr>
          <w:rFonts w:ascii="Cambria" w:eastAsia="Times New Roman" w:hAnsi="Cambria" w:cs="Times New Roman"/>
          <w:b w:val="0"/>
          <w:kern w:val="0"/>
          <w:sz w:val="22"/>
          <w:lang w:eastAsia="fr-FR"/>
        </w:rPr>
        <w:t xml:space="preserve"> siècle », jusqu’à l’entre-deux-guerres, est le théâtre d’une révolution virile, où de nouvelles masculinités – bourgeoises, militaro-viriles, ouvrières, révolutionnaires, etc. – créent une hiérarchie entre les hommes et surtout portent une modernité émancipatrice, mais non universelle car excluant les femmes. </w:t>
      </w:r>
    </w:p>
    <w:p w14:paraId="1A26C541" w14:textId="77777777" w:rsidR="00001F7A" w:rsidRPr="00525A1C" w:rsidRDefault="00001F7A" w:rsidP="00001F7A">
      <w:pPr>
        <w:spacing w:after="0"/>
        <w:contextualSpacing/>
        <w:jc w:val="both"/>
        <w:rPr>
          <w:rFonts w:ascii="Cambria" w:eastAsia="Times New Roman" w:hAnsi="Cambria" w:cs="Times New Roman"/>
          <w:bCs/>
          <w:kern w:val="0"/>
          <w:sz w:val="22"/>
          <w:lang w:eastAsia="fr-FR"/>
        </w:rPr>
      </w:pPr>
    </w:p>
    <w:p w14:paraId="5C6A089B" w14:textId="77777777" w:rsidR="00001F7A" w:rsidRPr="00525A1C" w:rsidRDefault="00001F7A" w:rsidP="00001F7A">
      <w:pPr>
        <w:spacing w:after="0"/>
        <w:contextualSpacing/>
        <w:jc w:val="both"/>
        <w:rPr>
          <w:rFonts w:ascii="Cambria" w:eastAsia="Times New Roman" w:hAnsi="Cambria" w:cs="Times New Roman"/>
          <w:b w:val="0"/>
          <w:bCs/>
          <w:kern w:val="0"/>
          <w:sz w:val="22"/>
          <w:lang w:eastAsia="fr-FR"/>
        </w:rPr>
      </w:pPr>
      <w:r w:rsidRPr="00525A1C">
        <w:rPr>
          <w:rFonts w:ascii="Cambria" w:eastAsia="Times New Roman" w:hAnsi="Cambria" w:cs="Times New Roman"/>
          <w:bCs/>
          <w:kern w:val="0"/>
          <w:sz w:val="22"/>
          <w:lang w:eastAsia="fr-FR"/>
        </w:rPr>
        <w:t xml:space="preserve">Bibliographie conseillée </w:t>
      </w:r>
    </w:p>
    <w:p w14:paraId="6AD912C6" w14:textId="77777777" w:rsidR="00001F7A" w:rsidRPr="00525A1C" w:rsidRDefault="00001F7A" w:rsidP="00001F7A">
      <w:pPr>
        <w:spacing w:before="240"/>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Connel</w:t>
      </w:r>
      <w:r w:rsidRPr="00525A1C">
        <w:rPr>
          <w:rFonts w:ascii="Cambria" w:eastAsia="Calibri" w:hAnsi="Cambria" w:cs="Times New Roman"/>
          <w:b w:val="0"/>
          <w:kern w:val="0"/>
          <w:sz w:val="22"/>
          <w:lang w:eastAsia="en-US"/>
        </w:rPr>
        <w:t xml:space="preserve"> Raewyn, </w:t>
      </w:r>
      <w:r w:rsidRPr="00525A1C">
        <w:rPr>
          <w:rFonts w:ascii="Cambria" w:eastAsia="Calibri" w:hAnsi="Cambria" w:cs="Times New Roman"/>
          <w:b w:val="0"/>
          <w:i/>
          <w:kern w:val="0"/>
          <w:sz w:val="22"/>
          <w:lang w:eastAsia="en-US"/>
        </w:rPr>
        <w:t>Masculinités, enjeux sociaux de l’hégémonie</w:t>
      </w:r>
      <w:r w:rsidRPr="00525A1C">
        <w:rPr>
          <w:rFonts w:ascii="Cambria" w:eastAsia="Calibri" w:hAnsi="Cambria" w:cs="Times New Roman"/>
          <w:b w:val="0"/>
          <w:kern w:val="0"/>
          <w:sz w:val="22"/>
          <w:lang w:eastAsia="en-US"/>
        </w:rPr>
        <w:t>, Amsterdam, 2022.</w:t>
      </w:r>
    </w:p>
    <w:p w14:paraId="24B2286C" w14:textId="77777777" w:rsidR="00001F7A" w:rsidRPr="00525A1C" w:rsidRDefault="00001F7A" w:rsidP="00001F7A">
      <w:pPr>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Corbin</w:t>
      </w:r>
      <w:r w:rsidRPr="00525A1C">
        <w:rPr>
          <w:rFonts w:ascii="Cambria" w:eastAsia="Calibri" w:hAnsi="Cambria" w:cs="Times New Roman"/>
          <w:b w:val="0"/>
          <w:kern w:val="0"/>
          <w:sz w:val="22"/>
          <w:lang w:eastAsia="en-US"/>
        </w:rPr>
        <w:t xml:space="preserve"> Alain, </w:t>
      </w:r>
      <w:r w:rsidRPr="00525A1C">
        <w:rPr>
          <w:rFonts w:ascii="Cambria" w:eastAsia="Calibri" w:hAnsi="Cambria" w:cs="Times New Roman"/>
          <w:b w:val="0"/>
          <w:smallCaps/>
          <w:kern w:val="0"/>
          <w:sz w:val="22"/>
          <w:lang w:eastAsia="en-US"/>
        </w:rPr>
        <w:t>Courtine</w:t>
      </w:r>
      <w:r w:rsidRPr="00525A1C">
        <w:rPr>
          <w:rFonts w:ascii="Cambria" w:eastAsia="Calibri" w:hAnsi="Cambria" w:cs="Times New Roman"/>
          <w:b w:val="0"/>
          <w:kern w:val="0"/>
          <w:sz w:val="22"/>
          <w:lang w:eastAsia="en-US"/>
        </w:rPr>
        <w:t xml:space="preserve"> Jean-Jacques, </w:t>
      </w:r>
      <w:r w:rsidRPr="00525A1C">
        <w:rPr>
          <w:rFonts w:ascii="Cambria" w:eastAsia="Calibri" w:hAnsi="Cambria" w:cs="Times New Roman"/>
          <w:b w:val="0"/>
          <w:smallCaps/>
          <w:kern w:val="0"/>
          <w:sz w:val="22"/>
          <w:lang w:eastAsia="en-US"/>
        </w:rPr>
        <w:t>Vigarello</w:t>
      </w:r>
      <w:r w:rsidRPr="00525A1C">
        <w:rPr>
          <w:rFonts w:ascii="Cambria" w:eastAsia="Calibri" w:hAnsi="Cambria" w:cs="Times New Roman"/>
          <w:b w:val="0"/>
          <w:kern w:val="0"/>
          <w:sz w:val="22"/>
          <w:lang w:eastAsia="en-US"/>
        </w:rPr>
        <w:t xml:space="preserve"> Georges, </w:t>
      </w:r>
      <w:r w:rsidRPr="00525A1C">
        <w:rPr>
          <w:rFonts w:ascii="Cambria" w:eastAsia="Calibri" w:hAnsi="Cambria" w:cs="Times New Roman"/>
          <w:b w:val="0"/>
          <w:i/>
          <w:kern w:val="0"/>
          <w:sz w:val="22"/>
          <w:lang w:eastAsia="en-US"/>
        </w:rPr>
        <w:t>Histoire de la virilité</w:t>
      </w:r>
      <w:r w:rsidRPr="00525A1C">
        <w:rPr>
          <w:rFonts w:ascii="Cambria" w:eastAsia="Calibri" w:hAnsi="Cambria" w:cs="Times New Roman"/>
          <w:b w:val="0"/>
          <w:kern w:val="0"/>
          <w:sz w:val="22"/>
          <w:lang w:eastAsia="en-US"/>
        </w:rPr>
        <w:t>, « Le Triomphe de la virilité (XIX</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siècle) » (T. 2) &amp; « La Virilité en crise (XX</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-XXI</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siècles) » (T. 3) Seuil, 2011</w:t>
      </w:r>
    </w:p>
    <w:p w14:paraId="61C57FB0" w14:textId="77777777" w:rsidR="00001F7A" w:rsidRPr="00525A1C" w:rsidRDefault="00001F7A" w:rsidP="00001F7A">
      <w:pPr>
        <w:jc w:val="both"/>
        <w:rPr>
          <w:rFonts w:ascii="Cambria" w:eastAsia="Calibri" w:hAnsi="Cambria" w:cs="Times New Roman"/>
          <w:bCs/>
          <w:kern w:val="0"/>
          <w:sz w:val="22"/>
          <w:lang w:eastAsia="en-US"/>
        </w:rPr>
      </w:pPr>
    </w:p>
    <w:p w14:paraId="70C07593" w14:textId="77777777" w:rsidR="00001F7A" w:rsidRPr="00525A1C" w:rsidRDefault="00001F7A" w:rsidP="00001F7A">
      <w:pPr>
        <w:spacing w:after="0" w:line="240" w:lineRule="auto"/>
        <w:jc w:val="both"/>
        <w:rPr>
          <w:rFonts w:ascii="Cambria" w:eastAsia="Times New Roman" w:hAnsi="Cambria" w:cs="Times New Roman"/>
          <w:bCs/>
          <w:iCs/>
          <w:color w:val="5B0F21" w:themeColor="accent1" w:themeShade="80"/>
          <w:kern w:val="0"/>
          <w:sz w:val="22"/>
          <w:lang w:eastAsia="fr-FR"/>
        </w:rPr>
      </w:pPr>
      <w:r w:rsidRPr="00FF062B">
        <w:rPr>
          <w:rFonts w:ascii="Cambria" w:eastAsia="Times New Roman" w:hAnsi="Cambria" w:cs="Times New Roman"/>
          <w:bCs/>
          <w:iCs/>
          <w:color w:val="C00000"/>
          <w:kern w:val="0"/>
          <w:sz w:val="22"/>
          <w:u w:val="single"/>
          <w:lang w:eastAsia="fr-FR"/>
        </w:rPr>
        <w:t>Sujet du cours S2</w:t>
      </w:r>
      <w:r w:rsidRPr="00FF062B">
        <w:rPr>
          <w:rFonts w:ascii="Cambria" w:eastAsia="Times New Roman" w:hAnsi="Cambria" w:cs="Times New Roman"/>
          <w:bCs/>
          <w:iCs/>
          <w:color w:val="C00000"/>
          <w:kern w:val="0"/>
          <w:sz w:val="22"/>
          <w:lang w:eastAsia="fr-FR"/>
        </w:rPr>
        <w:t> : Histoire des féminismes en Europe et en Afrique au XXe siècle</w:t>
      </w:r>
    </w:p>
    <w:p w14:paraId="226B8529" w14:textId="77777777" w:rsidR="00001F7A" w:rsidRPr="00525A1C" w:rsidRDefault="00001F7A" w:rsidP="00001F7A">
      <w:pPr>
        <w:spacing w:after="0" w:line="240" w:lineRule="auto"/>
        <w:jc w:val="both"/>
        <w:rPr>
          <w:rFonts w:ascii="Cambria" w:eastAsia="Times New Roman" w:hAnsi="Cambria" w:cs="Times New Roman"/>
          <w:b w:val="0"/>
          <w:iCs/>
          <w:kern w:val="0"/>
          <w:sz w:val="22"/>
          <w:lang w:eastAsia="fr-FR"/>
        </w:rPr>
      </w:pPr>
    </w:p>
    <w:p w14:paraId="11E03A02"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Ce cours propose un aperçu général des féminismes qui se développent en Europe et en Afrique au cours du XXe siècle. On étudiera des productions écrites et visuelles de collectifs féministes européens et africains pour comprendre la manière dont, dans ces deux espaces, les femmes ont pensé l’oppression, défini leurs causes et construit leurs luttes.</w:t>
      </w:r>
    </w:p>
    <w:p w14:paraId="621E1679"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En Europe, le XXe siècle voit un progrès relativement continu des droits des femmes, tandis qu’en Afrique, la colonisation marque une dégradation nette de la condition féminine. Pourtant, les mobilisations féministes sur les deux continents ont des chronologies comparables : aux luttes pour l’accès à l’éducation et au droit de vote succèdent, dans les années 1970, des revendications sur l’avortement et la contraception, même si les mêmes sujets ne sont pas toujours traités dans les mêmes termes et n’ont pas la même importance selon les lieux et collectifs. En Afrique comme en Europe, les féminismes sont pluriels, les femmes de milieux populaires n’ayant pas les mêmes priorités que les femmes plus aisées, et ne choisissant pas les mêmes moyens de mobilisation. La comparaison entre la diversité des féminismes s’appuiera donc sur une approche intersectionnelle, faisant place à la construction de féminismes noirs en Europe et aux mobilisations LGBTQI+. Au-delà de la comparaison, on interrogera aussi les circulations entre ces collectifs. En effet, en dépit du contexte colonial puis post-colonial, certaines féministes européennes et africaines ont réussi à dialoguer, et, parfois, construire des mobilisations partagées.</w:t>
      </w:r>
    </w:p>
    <w:p w14:paraId="3750FF31"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Avoir suivi des cours d’histoire du genre en L1, L2 ou au S1 de la L3 sera un atout mais n’est pas nécessaire : ce cours est tout à la fois complémentaire et indépendant.</w:t>
      </w:r>
    </w:p>
    <w:p w14:paraId="395ACF78"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w:t>
      </w:r>
    </w:p>
    <w:p w14:paraId="6BD6122C"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Cs/>
          <w:kern w:val="0"/>
          <w:sz w:val="22"/>
          <w:lang w:eastAsia="en-US"/>
        </w:rPr>
        <w:t xml:space="preserve">Bibliographie: </w:t>
      </w:r>
    </w:p>
    <w:p w14:paraId="0E840B3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Dieng Rama Salla, </w:t>
      </w:r>
      <w:r w:rsidRPr="00525A1C">
        <w:rPr>
          <w:rFonts w:ascii="Cambria" w:eastAsia="Calibri" w:hAnsi="Cambria" w:cs="Times New Roman"/>
          <w:b w:val="0"/>
          <w:i/>
          <w:iCs/>
          <w:kern w:val="0"/>
          <w:sz w:val="22"/>
          <w:lang w:eastAsia="en-US"/>
        </w:rPr>
        <w:t>Féminismes africains. Une histoire décoloniale</w:t>
      </w:r>
      <w:r w:rsidRPr="00525A1C">
        <w:rPr>
          <w:rFonts w:ascii="Cambria" w:eastAsia="Calibri" w:hAnsi="Cambria" w:cs="Times New Roman"/>
          <w:b w:val="0"/>
          <w:kern w:val="0"/>
          <w:sz w:val="22"/>
          <w:lang w:eastAsia="en-US"/>
        </w:rPr>
        <w:t>, Paris, Présence africaine, 2021.</w:t>
      </w:r>
    </w:p>
    <w:p w14:paraId="7AADE4CF"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Larcher Silyane et Germain Félix (dirs.), </w:t>
      </w:r>
      <w:r w:rsidRPr="00525A1C">
        <w:rPr>
          <w:rFonts w:ascii="Cambria" w:eastAsia="Calibri" w:hAnsi="Cambria" w:cs="Times New Roman"/>
          <w:b w:val="0"/>
          <w:i/>
          <w:iCs/>
          <w:kern w:val="0"/>
          <w:sz w:val="22"/>
          <w:lang w:eastAsia="en-US"/>
        </w:rPr>
        <w:t>Marianne est aussi noire: luttes occultées pour l’égalité</w:t>
      </w:r>
      <w:r w:rsidRPr="00525A1C">
        <w:rPr>
          <w:rFonts w:ascii="Cambria" w:eastAsia="Calibri" w:hAnsi="Cambria" w:cs="Times New Roman"/>
          <w:b w:val="0"/>
          <w:kern w:val="0"/>
          <w:sz w:val="22"/>
          <w:lang w:eastAsia="en-US"/>
        </w:rPr>
        <w:t>, Paris, Éditions du Seuil, 2024.</w:t>
      </w:r>
    </w:p>
    <w:p w14:paraId="7C2FD82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Pavard Bibia, Rochefort Florence et Zancarini-Fournel Michelle, </w:t>
      </w:r>
      <w:r w:rsidRPr="00525A1C">
        <w:rPr>
          <w:rFonts w:ascii="Cambria" w:eastAsia="Calibri" w:hAnsi="Cambria" w:cs="Times New Roman"/>
          <w:b w:val="0"/>
          <w:i/>
          <w:kern w:val="0"/>
          <w:sz w:val="22"/>
          <w:lang w:eastAsia="en-US"/>
        </w:rPr>
        <w:t>Ne nous libérez pas, on s’en charge : une histoire des féminismes de 1789 à nos jours</w:t>
      </w:r>
      <w:r w:rsidRPr="00525A1C">
        <w:rPr>
          <w:rFonts w:ascii="Cambria" w:eastAsia="Calibri" w:hAnsi="Cambria" w:cs="Times New Roman"/>
          <w:b w:val="0"/>
          <w:kern w:val="0"/>
          <w:sz w:val="22"/>
          <w:lang w:eastAsia="en-US"/>
        </w:rPr>
        <w:t>, Paris, La Découverte, 2020.</w:t>
      </w:r>
    </w:p>
    <w:p w14:paraId="5283387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Ripa Yannick et Thébaud Françoise (dirs.), </w:t>
      </w:r>
      <w:r w:rsidRPr="00525A1C">
        <w:rPr>
          <w:rFonts w:ascii="Cambria" w:eastAsia="Calibri" w:hAnsi="Cambria" w:cs="Times New Roman"/>
          <w:b w:val="0"/>
          <w:i/>
          <w:kern w:val="0"/>
          <w:sz w:val="22"/>
          <w:lang w:eastAsia="en-US"/>
        </w:rPr>
        <w:t>Les féminismes.  Une histoire mondiale 19e–20e siècles</w:t>
      </w:r>
      <w:r w:rsidRPr="00525A1C">
        <w:rPr>
          <w:rFonts w:ascii="Cambria" w:eastAsia="Calibri" w:hAnsi="Cambria" w:cs="Times New Roman"/>
          <w:b w:val="0"/>
          <w:kern w:val="0"/>
          <w:sz w:val="22"/>
          <w:lang w:eastAsia="en-US"/>
        </w:rPr>
        <w:t>, Paris, Textuel, 2024.</w:t>
      </w:r>
    </w:p>
    <w:p w14:paraId="0F19016C"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Sutherland-Addy Esi, Diaw Aminata, Miller Judith et Owusu-Sarpong Christiane (dirs.), </w:t>
      </w:r>
      <w:r w:rsidRPr="00525A1C">
        <w:rPr>
          <w:rFonts w:ascii="Cambria" w:eastAsia="Calibri" w:hAnsi="Cambria" w:cs="Times New Roman"/>
          <w:b w:val="0"/>
          <w:i/>
          <w:iCs/>
          <w:kern w:val="0"/>
          <w:sz w:val="22"/>
          <w:lang w:eastAsia="en-US"/>
        </w:rPr>
        <w:t>Des femmes écrivent l’Afrique. L’Afrique de l’Ouest et le Sahel</w:t>
      </w:r>
      <w:r w:rsidRPr="00525A1C">
        <w:rPr>
          <w:rFonts w:ascii="Cambria" w:eastAsia="Calibri" w:hAnsi="Cambria" w:cs="Times New Roman"/>
          <w:b w:val="0"/>
          <w:kern w:val="0"/>
          <w:sz w:val="22"/>
          <w:lang w:eastAsia="en-US"/>
        </w:rPr>
        <w:t>, Paris, Karthala, 2007. (ainsi que les 3 volumes sur les autres parties du continent).</w:t>
      </w:r>
    </w:p>
    <w:p w14:paraId="4D5852D1" w14:textId="77777777" w:rsidR="00001F7A" w:rsidRPr="00525A1C" w:rsidRDefault="00001F7A" w:rsidP="00001F7A">
      <w:pPr>
        <w:spacing w:after="0" w:line="240" w:lineRule="auto"/>
        <w:jc w:val="both"/>
        <w:rPr>
          <w:rFonts w:ascii="Cambria" w:eastAsia="Times New Roman" w:hAnsi="Cambria" w:cs="Times New Roman"/>
          <w:b w:val="0"/>
          <w:iCs/>
          <w:kern w:val="0"/>
          <w:sz w:val="22"/>
          <w:lang w:eastAsia="fr-FR"/>
        </w:rPr>
      </w:pPr>
    </w:p>
    <w:p w14:paraId="506DF9CF" w14:textId="77777777" w:rsidR="00001F7A" w:rsidRPr="00FF062B" w:rsidRDefault="00001F7A" w:rsidP="00001F7A">
      <w:pPr>
        <w:spacing w:after="0" w:line="240" w:lineRule="auto"/>
        <w:rPr>
          <w:rFonts w:ascii="Cambria" w:eastAsia="Times New Roman" w:hAnsi="Cambria" w:cs="Times New Roman"/>
          <w:b w:val="0"/>
          <w:color w:val="FF0000"/>
          <w:kern w:val="0"/>
          <w:sz w:val="28"/>
          <w:szCs w:val="28"/>
          <w:lang w:eastAsia="fr-FR"/>
        </w:rPr>
      </w:pPr>
      <w:r w:rsidRPr="00FF062B">
        <w:rPr>
          <w:rFonts w:ascii="Cambria" w:eastAsia="Times New Roman" w:hAnsi="Cambria" w:cs="Times New Roman"/>
          <w:bCs/>
          <w:color w:val="FF0000"/>
          <w:kern w:val="0"/>
          <w:sz w:val="28"/>
          <w:szCs w:val="28"/>
          <w:lang w:eastAsia="fr-FR"/>
        </w:rPr>
        <w:t xml:space="preserve">Histoire globale de l’alimentation : </w:t>
      </w:r>
    </w:p>
    <w:p w14:paraId="26156AE5"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1EB28DDD" w14:textId="49A0EB36" w:rsidR="00001F7A" w:rsidRPr="00525A1C" w:rsidRDefault="00001F7A" w:rsidP="00001F7A">
      <w:pPr>
        <w:spacing w:after="0" w:line="240" w:lineRule="auto"/>
        <w:jc w:val="center"/>
        <w:rPr>
          <w:rFonts w:ascii="Cambria" w:eastAsia="Times New Roman" w:hAnsi="Cambria" w:cs="Times New Roman"/>
          <w:bCs/>
          <w:kern w:val="0"/>
          <w:sz w:val="22"/>
          <w:lang w:eastAsia="fr-FR"/>
        </w:rPr>
      </w:pPr>
      <w:r w:rsidRPr="00525A1C">
        <w:rPr>
          <w:rFonts w:ascii="Cambria" w:eastAsia="Times New Roman" w:hAnsi="Cambria" w:cs="Times New Roman"/>
          <w:bCs/>
          <w:kern w:val="0"/>
          <w:sz w:val="22"/>
          <w:lang w:eastAsia="fr-FR"/>
        </w:rPr>
        <w:t xml:space="preserve"> François-Xavier Nérard et Anne Wegener (S1) </w:t>
      </w:r>
    </w:p>
    <w:p w14:paraId="6ACFBE0C" w14:textId="77777777" w:rsidR="00A719A8" w:rsidRPr="00525A1C" w:rsidRDefault="00A719A8" w:rsidP="00001F7A">
      <w:pPr>
        <w:spacing w:after="0" w:line="240" w:lineRule="auto"/>
        <w:jc w:val="center"/>
        <w:rPr>
          <w:rFonts w:ascii="Cambria" w:eastAsia="Times New Roman" w:hAnsi="Cambria" w:cs="Times New Roman"/>
          <w:bCs/>
          <w:kern w:val="0"/>
          <w:sz w:val="22"/>
          <w:lang w:eastAsia="fr-FR"/>
        </w:rPr>
      </w:pPr>
    </w:p>
    <w:p w14:paraId="42F91361" w14:textId="77777777" w:rsidR="00001F7A" w:rsidRPr="00525A1C" w:rsidRDefault="00001F7A" w:rsidP="00001F7A">
      <w:pPr>
        <w:spacing w:after="0" w:line="240" w:lineRule="auto"/>
        <w:jc w:val="center"/>
        <w:rPr>
          <w:rFonts w:ascii="Cambria" w:eastAsia="Times New Roman" w:hAnsi="Cambria" w:cs="Times New Roman"/>
          <w:b w:val="0"/>
          <w:kern w:val="0"/>
          <w:sz w:val="22"/>
          <w:lang w:val="en-US" w:eastAsia="fr-FR"/>
        </w:rPr>
      </w:pPr>
      <w:r w:rsidRPr="00525A1C">
        <w:rPr>
          <w:rFonts w:ascii="Cambria" w:eastAsia="Times New Roman" w:hAnsi="Cambria" w:cs="Times New Roman"/>
          <w:bCs/>
          <w:kern w:val="0"/>
          <w:sz w:val="22"/>
          <w:lang w:val="en-US" w:eastAsia="fr-FR"/>
        </w:rPr>
        <w:t>Marion Tayart de Borms (S2)</w:t>
      </w:r>
    </w:p>
    <w:p w14:paraId="68693DA3" w14:textId="77777777" w:rsidR="00001F7A" w:rsidRPr="00B5553C" w:rsidRDefault="00001F7A" w:rsidP="00001F7A">
      <w:pPr>
        <w:spacing w:after="0" w:line="240" w:lineRule="auto"/>
        <w:rPr>
          <w:rFonts w:ascii="Cambria" w:eastAsia="Times New Roman" w:hAnsi="Cambria" w:cs="Times New Roman"/>
          <w:b w:val="0"/>
          <w:color w:val="C00000"/>
          <w:kern w:val="0"/>
          <w:sz w:val="22"/>
          <w:lang w:eastAsia="fr-FR"/>
        </w:rPr>
      </w:pPr>
      <w:r w:rsidRPr="00525A1C">
        <w:rPr>
          <w:rFonts w:ascii="Cambria" w:eastAsia="Times New Roman" w:hAnsi="Cambria" w:cs="Times New Roman"/>
          <w:bCs/>
          <w:kern w:val="0"/>
          <w:sz w:val="22"/>
          <w:lang w:val="en-US" w:eastAsia="fr-FR"/>
        </w:rPr>
        <w:t> </w:t>
      </w:r>
      <w:r w:rsidRPr="00B5553C">
        <w:rPr>
          <w:rFonts w:ascii="Cambria" w:eastAsia="Times New Roman" w:hAnsi="Cambria" w:cs="Times New Roman"/>
          <w:bCs/>
          <w:color w:val="C00000"/>
          <w:kern w:val="0"/>
          <w:sz w:val="22"/>
          <w:u w:val="single"/>
          <w:lang w:eastAsia="fr-FR"/>
        </w:rPr>
        <w:t>Semestre 1</w:t>
      </w:r>
      <w:r w:rsidRPr="00B5553C">
        <w:rPr>
          <w:rFonts w:ascii="Cambria" w:eastAsia="Times New Roman" w:hAnsi="Cambria" w:cs="Times New Roman"/>
          <w:b w:val="0"/>
          <w:color w:val="C00000"/>
          <w:kern w:val="0"/>
          <w:sz w:val="22"/>
          <w:lang w:eastAsia="fr-FR"/>
        </w:rPr>
        <w:t xml:space="preserve"> :</w:t>
      </w:r>
    </w:p>
    <w:p w14:paraId="286E8868"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p>
    <w:p w14:paraId="3373D0BA" w14:textId="77777777" w:rsidR="00001F7A" w:rsidRPr="00525A1C" w:rsidRDefault="00001F7A" w:rsidP="00001F7A">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L’histoire de l’alimentation en Europe dans les périodes moderne et contemporaine est un domaine de recherche particulièrement dynamique, résonnant fortement avec l’actualité. Il s’agit d’un champ transdisciplinaire qui combine entre autres des approches des sciences sociales, de l’anthropologie et de la géographie. Ce cours se propose d’introduire les étudiants de L3 à la question en s’appuyant sur une démarche croisant les périodes et les aires culturelles et abordant aussi bien les mondes américains qu’eurasiatiques. Il évoquera ainsi notamment la circulation des aliments, des goûts et des modes alimentaires. </w:t>
      </w:r>
    </w:p>
    <w:p w14:paraId="7D1B4C54" w14:textId="77777777" w:rsidR="00001F7A" w:rsidRPr="00525A1C" w:rsidRDefault="00001F7A" w:rsidP="00001F7A">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Dans ce cours, les étudiants travailleront sur un grand éventail de sources matérielles, iconographiques et écrites en français et en anglais, utilisées pour étudier la production de la nourriture et ses rapports avec l’environnement, mais aussi les normes, rituels, identités tout comme la cuisine et la gastronomie. À travers la lecture collective de fragments de textes d’historiens, géographes et sociologues, « classiques » pour certains et plus novateurs pour d’autres, les étudiants seront amenés à découvrir les paradigmes et méthodes des recherches sur l’alimentation du passé. Ce cours prolonge des thèmes abordés dans les enseignements fondamentaux de L1 et L2 et en ACT d'Histoire culturelle de l’Occident et s’appuie également sur les recherches en cours dans l’axe alimentation de l’UMR SIRICE.</w:t>
      </w:r>
    </w:p>
    <w:p w14:paraId="3BEE1C35" w14:textId="487997D5" w:rsidR="00F97A8E"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4520BCBA" w14:textId="77777777" w:rsidR="00F97A8E" w:rsidRPr="00525A1C" w:rsidRDefault="00F97A8E" w:rsidP="00001F7A">
      <w:pPr>
        <w:spacing w:after="0" w:line="240" w:lineRule="auto"/>
        <w:rPr>
          <w:rFonts w:ascii="Cambria" w:eastAsia="Times New Roman" w:hAnsi="Cambria" w:cs="Times New Roman"/>
          <w:b w:val="0"/>
          <w:kern w:val="0"/>
          <w:sz w:val="22"/>
          <w:lang w:eastAsia="fr-FR"/>
        </w:rPr>
      </w:pPr>
    </w:p>
    <w:p w14:paraId="073DCA6F"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Cs/>
          <w:kern w:val="0"/>
          <w:sz w:val="22"/>
          <w:lang w:eastAsia="fr-FR"/>
        </w:rPr>
        <w:t>Bibliographie pour débuter</w:t>
      </w:r>
    </w:p>
    <w:p w14:paraId="688BB5B3"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52C688C4"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xml:space="preserve">Philippe Meyzie, </w:t>
      </w:r>
      <w:r w:rsidRPr="00525A1C">
        <w:rPr>
          <w:rFonts w:ascii="Cambria" w:eastAsia="Times New Roman" w:hAnsi="Cambria" w:cs="Times New Roman"/>
          <w:b w:val="0"/>
          <w:i/>
          <w:iCs/>
          <w:kern w:val="0"/>
          <w:sz w:val="22"/>
          <w:lang w:eastAsia="fr-FR"/>
        </w:rPr>
        <w:t>L'alimentation en Europe à l'époque moderne. Manger et boire XVIe-XIXe s</w:t>
      </w:r>
      <w:r w:rsidRPr="00525A1C">
        <w:rPr>
          <w:rFonts w:ascii="Cambria" w:eastAsia="Times New Roman" w:hAnsi="Cambria" w:cs="Times New Roman"/>
          <w:b w:val="0"/>
          <w:kern w:val="0"/>
          <w:sz w:val="22"/>
          <w:lang w:eastAsia="fr-FR"/>
        </w:rPr>
        <w:t>., Paris, Armand Colin, 2010. </w:t>
      </w:r>
    </w:p>
    <w:p w14:paraId="2579A0E5" w14:textId="77777777" w:rsidR="00001F7A" w:rsidRPr="00525A1C" w:rsidRDefault="00001F7A" w:rsidP="00001F7A">
      <w:pPr>
        <w:spacing w:after="0" w:line="240" w:lineRule="auto"/>
        <w:rPr>
          <w:rFonts w:ascii="Cambria" w:eastAsia="Times New Roman" w:hAnsi="Cambria" w:cs="Times New Roman"/>
          <w:b w:val="0"/>
          <w:kern w:val="0"/>
          <w:sz w:val="22"/>
          <w:lang w:val="en-US" w:eastAsia="fr-FR"/>
        </w:rPr>
      </w:pPr>
      <w:r w:rsidRPr="00525A1C">
        <w:rPr>
          <w:rFonts w:ascii="Cambria" w:eastAsia="Times New Roman" w:hAnsi="Cambria" w:cs="Times New Roman"/>
          <w:b w:val="0"/>
          <w:kern w:val="0"/>
          <w:sz w:val="22"/>
          <w:lang w:val="en-US" w:eastAsia="fr-FR"/>
        </w:rPr>
        <w:t xml:space="preserve">Fabio Parasecoli et Peter Scholliers (dir.), </w:t>
      </w:r>
      <w:r w:rsidRPr="00525A1C">
        <w:rPr>
          <w:rFonts w:ascii="Cambria" w:eastAsia="Times New Roman" w:hAnsi="Cambria" w:cs="Times New Roman"/>
          <w:b w:val="0"/>
          <w:i/>
          <w:iCs/>
          <w:kern w:val="0"/>
          <w:sz w:val="22"/>
          <w:lang w:val="en-US" w:eastAsia="fr-FR"/>
        </w:rPr>
        <w:t>A Cultural History of Foo</w:t>
      </w:r>
      <w:r w:rsidRPr="00525A1C">
        <w:rPr>
          <w:rFonts w:ascii="Cambria" w:eastAsia="Times New Roman" w:hAnsi="Cambria" w:cs="Times New Roman"/>
          <w:b w:val="0"/>
          <w:kern w:val="0"/>
          <w:sz w:val="22"/>
          <w:lang w:val="en-US" w:eastAsia="fr-FR"/>
        </w:rPr>
        <w:t>d, Londres, Bloomsbury, 2014, t. 3-6.</w:t>
      </w:r>
      <w:r w:rsidRPr="00525A1C">
        <w:rPr>
          <w:rFonts w:ascii="Cambria" w:eastAsia="Times New Roman" w:hAnsi="Cambria" w:cs="Times New Roman"/>
          <w:b w:val="0"/>
          <w:kern w:val="0"/>
          <w:sz w:val="22"/>
          <w:lang w:val="en-US" w:eastAsia="fr-FR"/>
        </w:rPr>
        <w:br/>
        <w:t>Jeffrey M. Pilcher (dir.),</w:t>
      </w:r>
      <w:r w:rsidRPr="00525A1C">
        <w:rPr>
          <w:rFonts w:ascii="Cambria" w:eastAsia="Times New Roman" w:hAnsi="Cambria" w:cs="Times New Roman"/>
          <w:b w:val="0"/>
          <w:i/>
          <w:iCs/>
          <w:kern w:val="0"/>
          <w:sz w:val="22"/>
          <w:lang w:val="en-US" w:eastAsia="fr-FR"/>
        </w:rPr>
        <w:t xml:space="preserve"> The Oxford Handbook of Food History</w:t>
      </w:r>
      <w:r w:rsidRPr="00525A1C">
        <w:rPr>
          <w:rFonts w:ascii="Cambria" w:eastAsia="Times New Roman" w:hAnsi="Cambria" w:cs="Times New Roman"/>
          <w:b w:val="0"/>
          <w:kern w:val="0"/>
          <w:sz w:val="22"/>
          <w:lang w:val="en-US" w:eastAsia="fr-FR"/>
        </w:rPr>
        <w:t>, Oxford, OUP, 2017.</w:t>
      </w:r>
    </w:p>
    <w:p w14:paraId="2B7C19D8" w14:textId="13F4FD65" w:rsidR="00F97A8E" w:rsidRPr="00525A1C" w:rsidRDefault="00001F7A" w:rsidP="00F97A8E">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xml:space="preserve">Florent Quellier (dir.), </w:t>
      </w:r>
      <w:r w:rsidRPr="00525A1C">
        <w:rPr>
          <w:rFonts w:ascii="Cambria" w:eastAsia="Times New Roman" w:hAnsi="Cambria" w:cs="Times New Roman"/>
          <w:b w:val="0"/>
          <w:i/>
          <w:iCs/>
          <w:kern w:val="0"/>
          <w:sz w:val="22"/>
          <w:lang w:eastAsia="fr-FR"/>
        </w:rPr>
        <w:t>Histoire de l'alimentation - De la préhistoire à nos jours</w:t>
      </w:r>
      <w:r w:rsidRPr="00525A1C">
        <w:rPr>
          <w:rFonts w:ascii="Cambria" w:eastAsia="Times New Roman" w:hAnsi="Cambria" w:cs="Times New Roman"/>
          <w:b w:val="0"/>
          <w:kern w:val="0"/>
          <w:sz w:val="22"/>
          <w:lang w:eastAsia="fr-FR"/>
        </w:rPr>
        <w:t>, Paris, Belin, 2020.</w:t>
      </w:r>
    </w:p>
    <w:p w14:paraId="0FE149BC" w14:textId="166E95F8" w:rsidR="00001F7A" w:rsidRPr="00525A1C" w:rsidRDefault="00001F7A" w:rsidP="00001F7A">
      <w:pPr>
        <w:spacing w:before="100" w:beforeAutospacing="1" w:after="100" w:afterAutospacing="1" w:line="240" w:lineRule="auto"/>
        <w:rPr>
          <w:rFonts w:ascii="Cambria" w:eastAsia="Times New Roman" w:hAnsi="Cambria" w:cs="Times New Roman"/>
          <w:b w:val="0"/>
          <w:kern w:val="0"/>
          <w:sz w:val="22"/>
          <w:lang w:eastAsia="fr-FR"/>
        </w:rPr>
      </w:pPr>
      <w:r w:rsidRPr="00B5553C">
        <w:rPr>
          <w:rFonts w:ascii="Cambria" w:eastAsia="Times New Roman" w:hAnsi="Cambria" w:cs="Times New Roman"/>
          <w:bCs/>
          <w:color w:val="C00000"/>
          <w:kern w:val="0"/>
          <w:sz w:val="22"/>
          <w:u w:val="single"/>
          <w:lang w:eastAsia="fr-FR"/>
        </w:rPr>
        <w:t>Semestre 2</w:t>
      </w:r>
      <w:r w:rsidRPr="00525A1C">
        <w:rPr>
          <w:rFonts w:ascii="Cambria" w:eastAsia="Times New Roman" w:hAnsi="Cambria" w:cs="Times New Roman"/>
          <w:b w:val="0"/>
          <w:kern w:val="0"/>
          <w:sz w:val="22"/>
          <w:lang w:eastAsia="fr-FR"/>
        </w:rPr>
        <w:t xml:space="preserve"> : </w:t>
      </w:r>
    </w:p>
    <w:p w14:paraId="35C0D4E2"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Au deuxième semestre, le cours d’histoire de l’alimentation s’inscrit dans les thématiques déployées au premier semestre et les traite sur le socle d’un corpus de textes et d’illustrations, tout comme de sources orales du début du XIXe siècle à l’aube du XXIe. Ainsi les étudiants s’attacheront à travailler la diplomatie des arts culinaires et confronteront à la fois les sources de Marie-Antoine Carême (1784-1833) comme le legs Bernard Vaussion à la Bibliothèque nationale de France (question muséale de l’œuvre culinaire), un point particulier sera fait sur le sucre, objet de recherches et dans son application en pâtisserie ; les famines, la circulation des aliments ne sauraient être ignorées comme les lieux à travers l’étude du restaurant du Fouquet’s et les dynamiques  déployées travers cet exemple entre micro et macrohistoire. Les genders sont également abordés à travers la figure du chef ou celle de la ménagère au XXe siècle. Une place est naturellement accordée à l’histoire des savoirs et de leur transmission tout comme celle des techniques. Chaque séance de cours magistral se poursuit en travaux dirigés à travers le commentaire d’un ou de plusieurs textes. L’objectif est d’appréhender la variété du corpus et les apports les plus récents dans l’historiographie de l’histoire des arts et pratiques culinaires. Ce cours prolonge les thèmes abordés dans les enseignements fondamentaux de L1 et L2 et en ACT d'Histoire culturelle de l’Occident et s’appuie également sur les recherches en cours dans l’axe alimentation de l’UMR SIRICE.</w:t>
      </w:r>
    </w:p>
    <w:p w14:paraId="649878A5"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248ED42D"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2435C125"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Bibliographie pour commencer</w:t>
      </w:r>
    </w:p>
    <w:p w14:paraId="66A74946"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3D3F5B9E"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FLANDRIN Jean-Louis et Massimo MONTANARI, </w:t>
      </w:r>
      <w:r w:rsidRPr="00525A1C">
        <w:rPr>
          <w:rFonts w:ascii="Cambria" w:eastAsia="Times New Roman" w:hAnsi="Cambria" w:cs="Times New Roman"/>
          <w:b w:val="0"/>
          <w:bCs/>
          <w:i/>
          <w:iCs/>
          <w:kern w:val="0"/>
          <w:sz w:val="22"/>
          <w:lang w:eastAsia="fr-FR"/>
        </w:rPr>
        <w:t>Histoire de l’alimentation</w:t>
      </w:r>
      <w:r w:rsidRPr="00525A1C">
        <w:rPr>
          <w:rFonts w:ascii="Cambria" w:eastAsia="Times New Roman" w:hAnsi="Cambria" w:cs="Times New Roman"/>
          <w:b w:val="0"/>
          <w:bCs/>
          <w:kern w:val="0"/>
          <w:sz w:val="22"/>
          <w:lang w:eastAsia="fr-FR"/>
        </w:rPr>
        <w:t xml:space="preserve">, Paris, Fayard, 1996. </w:t>
      </w:r>
    </w:p>
    <w:p w14:paraId="42AA988F"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HACHE-BISSETTE Françoise et SAILLARD Bruno (dir.), </w:t>
      </w:r>
      <w:r w:rsidRPr="00525A1C">
        <w:rPr>
          <w:rFonts w:ascii="Cambria" w:eastAsia="Times New Roman" w:hAnsi="Cambria" w:cs="Times New Roman"/>
          <w:b w:val="0"/>
          <w:bCs/>
          <w:i/>
          <w:iCs/>
          <w:kern w:val="0"/>
          <w:sz w:val="22"/>
          <w:lang w:eastAsia="fr-FR"/>
        </w:rPr>
        <w:t xml:space="preserve">Gastronomie et identité culturelle française, discours et représentations, </w:t>
      </w:r>
      <w:r w:rsidRPr="00525A1C">
        <w:rPr>
          <w:rFonts w:ascii="Cambria" w:eastAsia="Times New Roman" w:hAnsi="Cambria" w:cs="Times New Roman"/>
          <w:b w:val="0"/>
          <w:bCs/>
          <w:kern w:val="0"/>
          <w:sz w:val="22"/>
          <w:lang w:eastAsia="fr-FR"/>
        </w:rPr>
        <w:t>Paris, Nouveau Monde éditions, 2007.</w:t>
      </w:r>
    </w:p>
    <w:p w14:paraId="25AB8FD3" w14:textId="77777777" w:rsidR="00F97A8E" w:rsidRPr="00525A1C" w:rsidRDefault="00F97A8E" w:rsidP="00F97A8E">
      <w:pPr>
        <w:spacing w:after="0" w:line="240" w:lineRule="auto"/>
        <w:jc w:val="both"/>
        <w:rPr>
          <w:rFonts w:ascii="Cambria" w:eastAsia="Times New Roman" w:hAnsi="Cambria" w:cs="Times New Roman"/>
          <w:b w:val="0"/>
          <w:bCs/>
          <w:kern w:val="0"/>
          <w:sz w:val="22"/>
          <w:lang w:val="en-US" w:eastAsia="fr-FR"/>
        </w:rPr>
      </w:pPr>
      <w:r w:rsidRPr="00525A1C">
        <w:rPr>
          <w:rFonts w:ascii="Cambria" w:eastAsia="Times New Roman" w:hAnsi="Cambria" w:cs="Times New Roman"/>
          <w:b w:val="0"/>
          <w:bCs/>
          <w:kern w:val="0"/>
          <w:sz w:val="22"/>
          <w:lang w:val="en-US" w:eastAsia="fr-FR"/>
        </w:rPr>
        <w:t xml:space="preserve">KIPLE Kenneth, </w:t>
      </w:r>
      <w:r w:rsidRPr="00525A1C">
        <w:rPr>
          <w:rFonts w:ascii="Cambria" w:eastAsia="Times New Roman" w:hAnsi="Cambria" w:cs="Times New Roman"/>
          <w:b w:val="0"/>
          <w:bCs/>
          <w:i/>
          <w:iCs/>
          <w:kern w:val="0"/>
          <w:sz w:val="22"/>
          <w:lang w:val="en-US" w:eastAsia="fr-FR"/>
        </w:rPr>
        <w:t xml:space="preserve">The Cambridge World History of Food, </w:t>
      </w:r>
      <w:r w:rsidRPr="00525A1C">
        <w:rPr>
          <w:rFonts w:ascii="Cambria" w:eastAsia="Times New Roman" w:hAnsi="Cambria" w:cs="Times New Roman"/>
          <w:b w:val="0"/>
          <w:bCs/>
          <w:kern w:val="0"/>
          <w:sz w:val="22"/>
          <w:lang w:val="en-US" w:eastAsia="fr-FR"/>
        </w:rPr>
        <w:t>Cambridge, Cambridge university Presse, 2000.</w:t>
      </w:r>
    </w:p>
    <w:p w14:paraId="41B95E61"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QUELLIER Florent, </w:t>
      </w:r>
      <w:r w:rsidRPr="00525A1C">
        <w:rPr>
          <w:rFonts w:ascii="Cambria" w:eastAsia="Times New Roman" w:hAnsi="Cambria" w:cs="Times New Roman"/>
          <w:b w:val="0"/>
          <w:bCs/>
          <w:i/>
          <w:iCs/>
          <w:kern w:val="0"/>
          <w:sz w:val="22"/>
          <w:lang w:eastAsia="fr-FR"/>
        </w:rPr>
        <w:t xml:space="preserve">La table des Français, une histoire culturelle, </w:t>
      </w:r>
      <w:r w:rsidRPr="00525A1C">
        <w:rPr>
          <w:rFonts w:ascii="Cambria" w:eastAsia="Times New Roman" w:hAnsi="Cambria" w:cs="Times New Roman"/>
          <w:b w:val="0"/>
          <w:bCs/>
          <w:kern w:val="0"/>
          <w:sz w:val="22"/>
          <w:lang w:eastAsia="fr-FR"/>
        </w:rPr>
        <w:t>Rennes, Presses universitaires de Rennes, 2007.</w:t>
      </w:r>
    </w:p>
    <w:p w14:paraId="7F668913"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RAMBOURG Patrick, </w:t>
      </w:r>
      <w:r w:rsidRPr="00525A1C">
        <w:rPr>
          <w:rFonts w:ascii="Cambria" w:eastAsia="Times New Roman" w:hAnsi="Cambria" w:cs="Times New Roman"/>
          <w:b w:val="0"/>
          <w:bCs/>
          <w:i/>
          <w:iCs/>
          <w:kern w:val="0"/>
          <w:sz w:val="22"/>
          <w:lang w:eastAsia="fr-FR"/>
        </w:rPr>
        <w:t>Histoire de la cuisine et de la gastronomie françaises</w:t>
      </w:r>
      <w:r w:rsidRPr="00525A1C">
        <w:rPr>
          <w:rFonts w:ascii="Cambria" w:eastAsia="Times New Roman" w:hAnsi="Cambria" w:cs="Times New Roman"/>
          <w:b w:val="0"/>
          <w:bCs/>
          <w:kern w:val="0"/>
          <w:sz w:val="22"/>
          <w:lang w:eastAsia="fr-FR"/>
        </w:rPr>
        <w:t>, Paris,</w:t>
      </w:r>
      <w:r w:rsidRPr="00525A1C">
        <w:rPr>
          <w:rFonts w:ascii="Cambria" w:eastAsia="Times New Roman" w:hAnsi="Cambria" w:cs="Times New Roman"/>
          <w:b w:val="0"/>
          <w:bCs/>
          <w:i/>
          <w:iCs/>
          <w:kern w:val="0"/>
          <w:sz w:val="22"/>
          <w:lang w:eastAsia="fr-FR"/>
        </w:rPr>
        <w:t xml:space="preserve"> </w:t>
      </w:r>
      <w:r w:rsidRPr="00525A1C">
        <w:rPr>
          <w:rFonts w:ascii="Cambria" w:eastAsia="Times New Roman" w:hAnsi="Cambria" w:cs="Times New Roman"/>
          <w:b w:val="0"/>
          <w:bCs/>
          <w:kern w:val="0"/>
          <w:sz w:val="22"/>
          <w:lang w:eastAsia="fr-FR"/>
        </w:rPr>
        <w:t>Perrin, coll. Tempus, 2010.</w:t>
      </w:r>
    </w:p>
    <w:p w14:paraId="1BA595F1"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REDON Odile, Sallmann Line et Streinberg Sylvie(dir.), </w:t>
      </w:r>
      <w:r w:rsidRPr="00525A1C">
        <w:rPr>
          <w:rFonts w:ascii="Cambria" w:eastAsia="Times New Roman" w:hAnsi="Cambria" w:cs="Times New Roman"/>
          <w:b w:val="0"/>
          <w:bCs/>
          <w:i/>
          <w:iCs/>
          <w:kern w:val="0"/>
          <w:sz w:val="22"/>
          <w:lang w:eastAsia="fr-FR"/>
        </w:rPr>
        <w:t>Le désir et le goût, Une autre histoire</w:t>
      </w:r>
      <w:r w:rsidRPr="00525A1C">
        <w:rPr>
          <w:rFonts w:ascii="Cambria" w:eastAsia="Times New Roman" w:hAnsi="Cambria" w:cs="Times New Roman"/>
          <w:b w:val="0"/>
          <w:bCs/>
          <w:kern w:val="0"/>
          <w:sz w:val="22"/>
          <w:lang w:eastAsia="fr-FR"/>
        </w:rPr>
        <w:t>, Saint Denis, Presses universitaires de Vincennes, 2005.</w:t>
      </w:r>
    </w:p>
    <w:p w14:paraId="3A75F1BA" w14:textId="77777777" w:rsidR="00F97A8E" w:rsidRPr="00525A1C" w:rsidRDefault="00F97A8E" w:rsidP="00F97A8E">
      <w:pPr>
        <w:spacing w:after="0" w:line="240" w:lineRule="auto"/>
        <w:jc w:val="both"/>
        <w:rPr>
          <w:rFonts w:ascii="Cambria" w:eastAsia="Times New Roman" w:hAnsi="Cambria" w:cs="Times New Roman"/>
          <w:b w:val="0"/>
          <w:bCs/>
          <w:kern w:val="0"/>
          <w:sz w:val="22"/>
          <w:lang w:val="en-US" w:eastAsia="fr-FR"/>
        </w:rPr>
      </w:pPr>
      <w:r w:rsidRPr="00525A1C">
        <w:rPr>
          <w:rFonts w:ascii="Cambria" w:eastAsia="Times New Roman" w:hAnsi="Cambria" w:cs="Times New Roman"/>
          <w:b w:val="0"/>
          <w:bCs/>
          <w:kern w:val="0"/>
          <w:sz w:val="22"/>
          <w:lang w:val="en-US" w:eastAsia="fr-FR"/>
        </w:rPr>
        <w:t xml:space="preserve">SPANG Rebecca L., </w:t>
      </w:r>
      <w:r w:rsidRPr="00525A1C">
        <w:rPr>
          <w:rFonts w:ascii="Cambria" w:eastAsia="Times New Roman" w:hAnsi="Cambria" w:cs="Times New Roman"/>
          <w:b w:val="0"/>
          <w:bCs/>
          <w:i/>
          <w:iCs/>
          <w:kern w:val="0"/>
          <w:sz w:val="22"/>
          <w:lang w:val="en-US" w:eastAsia="fr-FR"/>
        </w:rPr>
        <w:t>The Invention of the Restaurant: Paris and Modern Gastronomic Culture,</w:t>
      </w:r>
      <w:r w:rsidRPr="00525A1C">
        <w:rPr>
          <w:rFonts w:ascii="Cambria" w:eastAsia="Times New Roman" w:hAnsi="Cambria" w:cs="Times New Roman"/>
          <w:b w:val="0"/>
          <w:bCs/>
          <w:kern w:val="0"/>
          <w:sz w:val="22"/>
          <w:lang w:val="en-US" w:eastAsia="fr-FR"/>
        </w:rPr>
        <w:t xml:space="preserve"> Cambridge, Harvard University Press, 2000. </w:t>
      </w:r>
    </w:p>
    <w:p w14:paraId="59C748BB"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TAYART DE BORMS, </w:t>
      </w:r>
      <w:r w:rsidRPr="00525A1C">
        <w:rPr>
          <w:rFonts w:ascii="Cambria" w:eastAsia="Times New Roman" w:hAnsi="Cambria" w:cs="Times New Roman"/>
          <w:b w:val="0"/>
          <w:bCs/>
          <w:i/>
          <w:iCs/>
          <w:kern w:val="0"/>
          <w:sz w:val="22"/>
          <w:lang w:eastAsia="fr-FR"/>
        </w:rPr>
        <w:t xml:space="preserve">Chef Histoire d’un artiste en cuisine, </w:t>
      </w:r>
      <w:r w:rsidRPr="00525A1C">
        <w:rPr>
          <w:rFonts w:ascii="Cambria" w:eastAsia="Times New Roman" w:hAnsi="Cambria" w:cs="Times New Roman"/>
          <w:b w:val="0"/>
          <w:bCs/>
          <w:kern w:val="0"/>
          <w:sz w:val="22"/>
          <w:lang w:eastAsia="fr-FR"/>
        </w:rPr>
        <w:t>Paris, Les Belles Lettres, 2026.</w:t>
      </w:r>
    </w:p>
    <w:p w14:paraId="4D3E17CF"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WILLIOT Jean-Pierre, FUMEY Gilles, </w:t>
      </w:r>
      <w:r w:rsidRPr="00525A1C">
        <w:rPr>
          <w:rFonts w:ascii="Cambria" w:eastAsia="Times New Roman" w:hAnsi="Cambria" w:cs="Times New Roman"/>
          <w:b w:val="0"/>
          <w:bCs/>
          <w:i/>
          <w:iCs/>
          <w:kern w:val="0"/>
          <w:sz w:val="22"/>
          <w:lang w:eastAsia="fr-FR"/>
        </w:rPr>
        <w:t>Histoire de l’alimentation</w:t>
      </w:r>
      <w:r w:rsidRPr="00525A1C">
        <w:rPr>
          <w:rFonts w:ascii="Cambria" w:eastAsia="Times New Roman" w:hAnsi="Cambria" w:cs="Times New Roman"/>
          <w:b w:val="0"/>
          <w:bCs/>
          <w:kern w:val="0"/>
          <w:sz w:val="22"/>
          <w:lang w:eastAsia="fr-FR"/>
        </w:rPr>
        <w:t xml:space="preserve">, Paris, Presses universitaires de France, collection « Que sais-je », 2021. </w:t>
      </w:r>
    </w:p>
    <w:p w14:paraId="6EF565E7" w14:textId="77777777" w:rsidR="00001F7A" w:rsidRPr="00525A1C" w:rsidRDefault="00001F7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3B82B6D" w14:textId="77777777" w:rsidR="007D2804" w:rsidRPr="00525A1C" w:rsidRDefault="007D2804"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704429C" w14:textId="77777777" w:rsidR="00E846A1" w:rsidRDefault="00E846A1" w:rsidP="00E846A1">
      <w:pPr>
        <w:spacing w:after="0" w:line="240" w:lineRule="auto"/>
        <w:rPr>
          <w:rFonts w:ascii="Cambria" w:eastAsia="Times New Roman" w:hAnsi="Cambria"/>
          <w:iCs/>
          <w:kern w:val="0"/>
          <w:sz w:val="22"/>
          <w:lang w:eastAsia="fr-FR"/>
        </w:rPr>
      </w:pPr>
    </w:p>
    <w:p w14:paraId="7E67EA51" w14:textId="77777777" w:rsidR="00F97A8E" w:rsidRDefault="00F97A8E" w:rsidP="00E846A1">
      <w:pPr>
        <w:spacing w:after="0" w:line="240" w:lineRule="auto"/>
        <w:rPr>
          <w:rFonts w:ascii="Cambria" w:eastAsia="Times New Roman" w:hAnsi="Cambria"/>
          <w:iCs/>
          <w:kern w:val="0"/>
          <w:sz w:val="22"/>
          <w:lang w:eastAsia="fr-FR"/>
        </w:rPr>
      </w:pPr>
    </w:p>
    <w:p w14:paraId="3A673388" w14:textId="77777777" w:rsidR="00F97A8E" w:rsidRDefault="00F97A8E" w:rsidP="00E846A1">
      <w:pPr>
        <w:spacing w:after="0" w:line="240" w:lineRule="auto"/>
        <w:rPr>
          <w:rFonts w:ascii="Cambria" w:eastAsia="Times New Roman" w:hAnsi="Cambria"/>
          <w:iCs/>
          <w:kern w:val="0"/>
          <w:sz w:val="22"/>
          <w:lang w:eastAsia="fr-FR"/>
        </w:rPr>
      </w:pPr>
    </w:p>
    <w:p w14:paraId="7BE98FF4" w14:textId="77777777" w:rsidR="00F97A8E" w:rsidRDefault="00F97A8E" w:rsidP="00E846A1">
      <w:pPr>
        <w:spacing w:after="0" w:line="240" w:lineRule="auto"/>
        <w:rPr>
          <w:rFonts w:ascii="Cambria" w:eastAsia="Times New Roman" w:hAnsi="Cambria"/>
          <w:iCs/>
          <w:kern w:val="0"/>
          <w:sz w:val="22"/>
          <w:lang w:eastAsia="fr-FR"/>
        </w:rPr>
      </w:pPr>
    </w:p>
    <w:p w14:paraId="4218407E" w14:textId="77777777" w:rsidR="00F97A8E" w:rsidRDefault="00F97A8E" w:rsidP="00E846A1">
      <w:pPr>
        <w:spacing w:after="0" w:line="240" w:lineRule="auto"/>
        <w:rPr>
          <w:rFonts w:ascii="Cambria" w:eastAsia="Times New Roman" w:hAnsi="Cambria"/>
          <w:iCs/>
          <w:kern w:val="0"/>
          <w:sz w:val="22"/>
          <w:lang w:eastAsia="fr-FR"/>
        </w:rPr>
      </w:pPr>
    </w:p>
    <w:p w14:paraId="35534341" w14:textId="77777777" w:rsidR="00F97A8E" w:rsidRDefault="00F97A8E" w:rsidP="00E846A1">
      <w:pPr>
        <w:spacing w:after="0" w:line="240" w:lineRule="auto"/>
        <w:rPr>
          <w:rFonts w:ascii="Cambria" w:eastAsia="Times New Roman" w:hAnsi="Cambria"/>
          <w:iCs/>
          <w:kern w:val="0"/>
          <w:sz w:val="22"/>
          <w:lang w:eastAsia="fr-FR"/>
        </w:rPr>
      </w:pPr>
    </w:p>
    <w:p w14:paraId="1FD3127B" w14:textId="77777777" w:rsidR="00F97A8E" w:rsidRDefault="00F97A8E" w:rsidP="00E846A1">
      <w:pPr>
        <w:spacing w:after="0" w:line="240" w:lineRule="auto"/>
        <w:rPr>
          <w:rFonts w:ascii="Cambria" w:eastAsia="Times New Roman" w:hAnsi="Cambria"/>
          <w:iCs/>
          <w:kern w:val="0"/>
          <w:sz w:val="22"/>
          <w:lang w:eastAsia="fr-FR"/>
        </w:rPr>
      </w:pPr>
    </w:p>
    <w:p w14:paraId="54828648" w14:textId="77777777" w:rsidR="00F97A8E" w:rsidRDefault="00F97A8E" w:rsidP="00E846A1">
      <w:pPr>
        <w:spacing w:after="0" w:line="240" w:lineRule="auto"/>
        <w:rPr>
          <w:rFonts w:ascii="Cambria" w:eastAsia="Times New Roman" w:hAnsi="Cambria"/>
          <w:iCs/>
          <w:kern w:val="0"/>
          <w:sz w:val="22"/>
          <w:lang w:eastAsia="fr-FR"/>
        </w:rPr>
      </w:pPr>
    </w:p>
    <w:p w14:paraId="25284389" w14:textId="77777777" w:rsidR="00F97A8E" w:rsidRDefault="00F97A8E" w:rsidP="00E846A1">
      <w:pPr>
        <w:spacing w:after="0" w:line="240" w:lineRule="auto"/>
        <w:rPr>
          <w:rFonts w:ascii="Cambria" w:eastAsia="Times New Roman" w:hAnsi="Cambria"/>
          <w:iCs/>
          <w:kern w:val="0"/>
          <w:sz w:val="22"/>
          <w:lang w:eastAsia="fr-FR"/>
        </w:rPr>
      </w:pPr>
    </w:p>
    <w:p w14:paraId="4C9E9747" w14:textId="77777777" w:rsidR="00F97A8E" w:rsidRDefault="00F97A8E" w:rsidP="00E846A1">
      <w:pPr>
        <w:spacing w:after="0" w:line="240" w:lineRule="auto"/>
        <w:rPr>
          <w:rFonts w:ascii="Cambria" w:eastAsia="Times New Roman" w:hAnsi="Cambria"/>
          <w:iCs/>
          <w:kern w:val="0"/>
          <w:sz w:val="22"/>
          <w:lang w:eastAsia="fr-FR"/>
        </w:rPr>
      </w:pPr>
    </w:p>
    <w:p w14:paraId="54AE625F" w14:textId="77777777" w:rsidR="00F97A8E" w:rsidRDefault="00F97A8E" w:rsidP="00E846A1">
      <w:pPr>
        <w:spacing w:after="0" w:line="240" w:lineRule="auto"/>
        <w:rPr>
          <w:rFonts w:ascii="Cambria" w:eastAsia="Times New Roman" w:hAnsi="Cambria"/>
          <w:iCs/>
          <w:kern w:val="0"/>
          <w:sz w:val="22"/>
          <w:lang w:eastAsia="fr-FR"/>
        </w:rPr>
      </w:pPr>
    </w:p>
    <w:p w14:paraId="51664AC8" w14:textId="77777777" w:rsidR="00F97A8E" w:rsidRDefault="00F97A8E" w:rsidP="00E846A1">
      <w:pPr>
        <w:spacing w:after="0" w:line="240" w:lineRule="auto"/>
        <w:rPr>
          <w:rFonts w:ascii="Cambria" w:eastAsia="Times New Roman" w:hAnsi="Cambria"/>
          <w:iCs/>
          <w:kern w:val="0"/>
          <w:sz w:val="22"/>
          <w:lang w:eastAsia="fr-FR"/>
        </w:rPr>
      </w:pPr>
    </w:p>
    <w:p w14:paraId="7A86E9E4" w14:textId="77777777" w:rsidR="00F97A8E" w:rsidRDefault="00F97A8E" w:rsidP="00E846A1">
      <w:pPr>
        <w:spacing w:after="0" w:line="240" w:lineRule="auto"/>
        <w:rPr>
          <w:rFonts w:ascii="Cambria" w:eastAsia="Times New Roman" w:hAnsi="Cambria"/>
          <w:iCs/>
          <w:kern w:val="0"/>
          <w:sz w:val="22"/>
          <w:lang w:eastAsia="fr-FR"/>
        </w:rPr>
      </w:pPr>
    </w:p>
    <w:p w14:paraId="1D543962" w14:textId="77777777" w:rsidR="00F97A8E" w:rsidRDefault="00F97A8E" w:rsidP="00E846A1">
      <w:pPr>
        <w:spacing w:after="0" w:line="240" w:lineRule="auto"/>
        <w:rPr>
          <w:rFonts w:ascii="Cambria" w:eastAsia="Times New Roman" w:hAnsi="Cambria"/>
          <w:iCs/>
          <w:kern w:val="0"/>
          <w:sz w:val="22"/>
          <w:lang w:eastAsia="fr-FR"/>
        </w:rPr>
      </w:pPr>
    </w:p>
    <w:p w14:paraId="44CFFC10" w14:textId="77777777" w:rsidR="00F97A8E" w:rsidRDefault="00F97A8E" w:rsidP="00E846A1">
      <w:pPr>
        <w:spacing w:after="0" w:line="240" w:lineRule="auto"/>
        <w:rPr>
          <w:rFonts w:ascii="Cambria" w:eastAsia="Times New Roman" w:hAnsi="Cambria"/>
          <w:iCs/>
          <w:kern w:val="0"/>
          <w:sz w:val="22"/>
          <w:lang w:eastAsia="fr-FR"/>
        </w:rPr>
      </w:pPr>
    </w:p>
    <w:p w14:paraId="49BC0A5A" w14:textId="77777777" w:rsidR="00F97A8E" w:rsidRDefault="00F97A8E" w:rsidP="00E846A1">
      <w:pPr>
        <w:spacing w:after="0" w:line="240" w:lineRule="auto"/>
        <w:rPr>
          <w:rFonts w:ascii="Cambria" w:eastAsia="Times New Roman" w:hAnsi="Cambria"/>
          <w:iCs/>
          <w:kern w:val="0"/>
          <w:sz w:val="22"/>
          <w:lang w:eastAsia="fr-FR"/>
        </w:rPr>
      </w:pPr>
    </w:p>
    <w:p w14:paraId="093A7FEE" w14:textId="77777777" w:rsidR="00F97A8E" w:rsidRDefault="00F97A8E" w:rsidP="00E846A1">
      <w:pPr>
        <w:spacing w:after="0" w:line="240" w:lineRule="auto"/>
        <w:rPr>
          <w:rFonts w:ascii="Cambria" w:eastAsia="Times New Roman" w:hAnsi="Cambria"/>
          <w:iCs/>
          <w:kern w:val="0"/>
          <w:sz w:val="22"/>
          <w:lang w:eastAsia="fr-FR"/>
        </w:rPr>
      </w:pPr>
    </w:p>
    <w:p w14:paraId="595E0791" w14:textId="77777777" w:rsidR="00F97A8E" w:rsidRDefault="00F97A8E" w:rsidP="00E846A1">
      <w:pPr>
        <w:spacing w:after="0" w:line="240" w:lineRule="auto"/>
        <w:rPr>
          <w:rFonts w:ascii="Cambria" w:eastAsia="Times New Roman" w:hAnsi="Cambria"/>
          <w:iCs/>
          <w:kern w:val="0"/>
          <w:sz w:val="22"/>
          <w:lang w:eastAsia="fr-FR"/>
        </w:rPr>
      </w:pPr>
    </w:p>
    <w:p w14:paraId="67286250" w14:textId="77777777" w:rsidR="00F97A8E" w:rsidRDefault="00F97A8E" w:rsidP="00E846A1">
      <w:pPr>
        <w:spacing w:after="0" w:line="240" w:lineRule="auto"/>
        <w:rPr>
          <w:rFonts w:ascii="Cambria" w:eastAsia="Times New Roman" w:hAnsi="Cambria"/>
          <w:iCs/>
          <w:kern w:val="0"/>
          <w:sz w:val="22"/>
          <w:lang w:eastAsia="fr-FR"/>
        </w:rPr>
      </w:pPr>
    </w:p>
    <w:p w14:paraId="14243042" w14:textId="77777777" w:rsidR="00F97A8E" w:rsidRDefault="00F97A8E" w:rsidP="00E846A1">
      <w:pPr>
        <w:spacing w:after="0" w:line="240" w:lineRule="auto"/>
        <w:rPr>
          <w:rFonts w:ascii="Cambria" w:eastAsia="Times New Roman" w:hAnsi="Cambria"/>
          <w:iCs/>
          <w:kern w:val="0"/>
          <w:sz w:val="22"/>
          <w:lang w:eastAsia="fr-FR"/>
        </w:rPr>
      </w:pPr>
    </w:p>
    <w:p w14:paraId="28739253" w14:textId="77777777" w:rsidR="00F97A8E" w:rsidRDefault="00F97A8E" w:rsidP="00E846A1">
      <w:pPr>
        <w:spacing w:after="0" w:line="240" w:lineRule="auto"/>
        <w:rPr>
          <w:rFonts w:ascii="Cambria" w:eastAsia="Times New Roman" w:hAnsi="Cambria"/>
          <w:iCs/>
          <w:kern w:val="0"/>
          <w:sz w:val="22"/>
          <w:lang w:eastAsia="fr-FR"/>
        </w:rPr>
      </w:pPr>
    </w:p>
    <w:p w14:paraId="37F3C69E" w14:textId="77777777" w:rsidR="00F97A8E" w:rsidRDefault="00F97A8E" w:rsidP="00E846A1">
      <w:pPr>
        <w:spacing w:after="0" w:line="240" w:lineRule="auto"/>
        <w:rPr>
          <w:rFonts w:ascii="Cambria" w:eastAsia="Times New Roman" w:hAnsi="Cambria"/>
          <w:iCs/>
          <w:kern w:val="0"/>
          <w:sz w:val="22"/>
          <w:lang w:eastAsia="fr-FR"/>
        </w:rPr>
      </w:pPr>
    </w:p>
    <w:p w14:paraId="0549F337" w14:textId="77777777" w:rsidR="00F97A8E" w:rsidRDefault="00F97A8E" w:rsidP="00E846A1">
      <w:pPr>
        <w:spacing w:after="0" w:line="240" w:lineRule="auto"/>
        <w:rPr>
          <w:rFonts w:ascii="Cambria" w:eastAsia="Times New Roman" w:hAnsi="Cambria"/>
          <w:iCs/>
          <w:kern w:val="0"/>
          <w:sz w:val="22"/>
          <w:lang w:eastAsia="fr-FR"/>
        </w:rPr>
      </w:pPr>
    </w:p>
    <w:p w14:paraId="19D9F379" w14:textId="77777777" w:rsidR="00F97A8E" w:rsidRDefault="00F97A8E" w:rsidP="00E846A1">
      <w:pPr>
        <w:spacing w:after="0" w:line="240" w:lineRule="auto"/>
        <w:rPr>
          <w:rFonts w:ascii="Cambria" w:eastAsia="Times New Roman" w:hAnsi="Cambria"/>
          <w:iCs/>
          <w:kern w:val="0"/>
          <w:sz w:val="22"/>
          <w:lang w:eastAsia="fr-FR"/>
        </w:rPr>
      </w:pPr>
    </w:p>
    <w:p w14:paraId="0AD1A75D" w14:textId="77777777" w:rsidR="00F97A8E" w:rsidRDefault="00F97A8E" w:rsidP="00E846A1">
      <w:pPr>
        <w:spacing w:after="0" w:line="240" w:lineRule="auto"/>
        <w:rPr>
          <w:rFonts w:ascii="Cambria" w:eastAsia="Times New Roman" w:hAnsi="Cambria"/>
          <w:iCs/>
          <w:kern w:val="0"/>
          <w:sz w:val="22"/>
          <w:lang w:eastAsia="fr-FR"/>
        </w:rPr>
      </w:pPr>
    </w:p>
    <w:p w14:paraId="4778968A" w14:textId="77777777" w:rsidR="00F97A8E" w:rsidRDefault="00F97A8E" w:rsidP="00E846A1">
      <w:pPr>
        <w:spacing w:after="0" w:line="240" w:lineRule="auto"/>
        <w:rPr>
          <w:rFonts w:ascii="Cambria" w:eastAsia="Times New Roman" w:hAnsi="Cambria"/>
          <w:iCs/>
          <w:kern w:val="0"/>
          <w:sz w:val="22"/>
          <w:lang w:eastAsia="fr-FR"/>
        </w:rPr>
      </w:pPr>
    </w:p>
    <w:p w14:paraId="7D6323CF" w14:textId="77777777" w:rsidR="00F97A8E" w:rsidRDefault="00F97A8E" w:rsidP="00E846A1">
      <w:pPr>
        <w:spacing w:after="0" w:line="240" w:lineRule="auto"/>
        <w:rPr>
          <w:rFonts w:ascii="Cambria" w:eastAsia="Times New Roman" w:hAnsi="Cambria"/>
          <w:iCs/>
          <w:kern w:val="0"/>
          <w:sz w:val="22"/>
          <w:lang w:eastAsia="fr-FR"/>
        </w:rPr>
      </w:pPr>
    </w:p>
    <w:p w14:paraId="42A55741" w14:textId="77777777" w:rsidR="00F97A8E" w:rsidRDefault="00F97A8E" w:rsidP="00E846A1">
      <w:pPr>
        <w:spacing w:after="0" w:line="240" w:lineRule="auto"/>
        <w:rPr>
          <w:rFonts w:ascii="Cambria" w:eastAsia="Times New Roman" w:hAnsi="Cambria"/>
          <w:iCs/>
          <w:kern w:val="0"/>
          <w:sz w:val="22"/>
          <w:lang w:eastAsia="fr-FR"/>
        </w:rPr>
      </w:pPr>
    </w:p>
    <w:p w14:paraId="18315BB1" w14:textId="77777777" w:rsidR="00F97A8E" w:rsidRDefault="00F97A8E" w:rsidP="00E846A1">
      <w:pPr>
        <w:spacing w:after="0" w:line="240" w:lineRule="auto"/>
        <w:rPr>
          <w:rFonts w:ascii="Cambria" w:eastAsia="Times New Roman" w:hAnsi="Cambria"/>
          <w:iCs/>
          <w:kern w:val="0"/>
          <w:sz w:val="22"/>
          <w:lang w:eastAsia="fr-FR"/>
        </w:rPr>
      </w:pPr>
    </w:p>
    <w:p w14:paraId="1DAD7907" w14:textId="77777777" w:rsidR="00F97A8E" w:rsidRDefault="00F97A8E" w:rsidP="00E846A1">
      <w:pPr>
        <w:spacing w:after="0" w:line="240" w:lineRule="auto"/>
        <w:rPr>
          <w:rFonts w:ascii="Cambria" w:eastAsia="Times New Roman" w:hAnsi="Cambria"/>
          <w:iCs/>
          <w:kern w:val="0"/>
          <w:sz w:val="22"/>
          <w:lang w:eastAsia="fr-FR"/>
        </w:rPr>
      </w:pPr>
    </w:p>
    <w:p w14:paraId="24E67B02" w14:textId="77777777" w:rsidR="00F97A8E" w:rsidRDefault="00F97A8E" w:rsidP="00E846A1">
      <w:pPr>
        <w:spacing w:after="0" w:line="240" w:lineRule="auto"/>
        <w:rPr>
          <w:rFonts w:ascii="Cambria" w:eastAsia="Times New Roman" w:hAnsi="Cambria"/>
          <w:iCs/>
          <w:kern w:val="0"/>
          <w:sz w:val="22"/>
          <w:lang w:eastAsia="fr-FR"/>
        </w:rPr>
      </w:pPr>
    </w:p>
    <w:p w14:paraId="48C613AF" w14:textId="77777777" w:rsidR="00F97A8E" w:rsidRDefault="00F97A8E" w:rsidP="00E846A1">
      <w:pPr>
        <w:spacing w:after="0" w:line="240" w:lineRule="auto"/>
        <w:rPr>
          <w:rFonts w:ascii="Cambria" w:eastAsia="Times New Roman" w:hAnsi="Cambria"/>
          <w:iCs/>
          <w:kern w:val="0"/>
          <w:sz w:val="22"/>
          <w:lang w:eastAsia="fr-FR"/>
        </w:rPr>
      </w:pPr>
    </w:p>
    <w:p w14:paraId="531F557F" w14:textId="77777777" w:rsidR="00F97A8E" w:rsidRDefault="00F97A8E" w:rsidP="00E846A1">
      <w:pPr>
        <w:spacing w:after="0" w:line="240" w:lineRule="auto"/>
        <w:rPr>
          <w:rFonts w:ascii="Cambria" w:eastAsia="Times New Roman" w:hAnsi="Cambria"/>
          <w:iCs/>
          <w:kern w:val="0"/>
          <w:sz w:val="22"/>
          <w:lang w:eastAsia="fr-FR"/>
        </w:rPr>
      </w:pPr>
    </w:p>
    <w:p w14:paraId="024B39B4" w14:textId="77777777" w:rsidR="00F97A8E" w:rsidRDefault="00F97A8E" w:rsidP="00E846A1">
      <w:pPr>
        <w:spacing w:after="0" w:line="240" w:lineRule="auto"/>
        <w:rPr>
          <w:rFonts w:ascii="Cambria" w:eastAsia="Times New Roman" w:hAnsi="Cambria"/>
          <w:iCs/>
          <w:kern w:val="0"/>
          <w:sz w:val="22"/>
          <w:lang w:eastAsia="fr-FR"/>
        </w:rPr>
      </w:pPr>
    </w:p>
    <w:p w14:paraId="37786804" w14:textId="77777777" w:rsidR="00F97A8E" w:rsidRDefault="00F97A8E" w:rsidP="00E846A1">
      <w:pPr>
        <w:spacing w:after="0" w:line="240" w:lineRule="auto"/>
        <w:rPr>
          <w:rFonts w:ascii="Cambria" w:eastAsia="Times New Roman" w:hAnsi="Cambria"/>
          <w:iCs/>
          <w:kern w:val="0"/>
          <w:sz w:val="22"/>
          <w:lang w:eastAsia="fr-FR"/>
        </w:rPr>
      </w:pPr>
    </w:p>
    <w:p w14:paraId="7713ECCA" w14:textId="77777777" w:rsidR="00F97A8E" w:rsidRDefault="00F97A8E" w:rsidP="00E846A1">
      <w:pPr>
        <w:spacing w:after="0" w:line="240" w:lineRule="auto"/>
        <w:rPr>
          <w:rFonts w:ascii="Cambria" w:eastAsia="Times New Roman" w:hAnsi="Cambria"/>
          <w:iCs/>
          <w:kern w:val="0"/>
          <w:sz w:val="22"/>
          <w:lang w:eastAsia="fr-FR"/>
        </w:rPr>
      </w:pPr>
    </w:p>
    <w:p w14:paraId="2A30F4E6" w14:textId="77777777" w:rsidR="00F97A8E" w:rsidRDefault="00F97A8E" w:rsidP="00E846A1">
      <w:pPr>
        <w:spacing w:after="0" w:line="240" w:lineRule="auto"/>
        <w:rPr>
          <w:rFonts w:ascii="Cambria" w:eastAsia="Times New Roman" w:hAnsi="Cambria"/>
          <w:iCs/>
          <w:kern w:val="0"/>
          <w:sz w:val="22"/>
          <w:lang w:eastAsia="fr-FR"/>
        </w:rPr>
      </w:pPr>
    </w:p>
    <w:p w14:paraId="4F53B2FA" w14:textId="77777777" w:rsidR="00F97A8E" w:rsidRDefault="00F97A8E" w:rsidP="00E846A1">
      <w:pPr>
        <w:spacing w:after="0" w:line="240" w:lineRule="auto"/>
        <w:rPr>
          <w:rFonts w:ascii="Cambria" w:eastAsia="Times New Roman" w:hAnsi="Cambria"/>
          <w:iCs/>
          <w:kern w:val="0"/>
          <w:sz w:val="22"/>
          <w:lang w:eastAsia="fr-FR"/>
        </w:rPr>
      </w:pPr>
    </w:p>
    <w:p w14:paraId="58CF3023" w14:textId="77777777" w:rsidR="00F97A8E" w:rsidRDefault="00F97A8E" w:rsidP="00E846A1">
      <w:pPr>
        <w:spacing w:after="0" w:line="240" w:lineRule="auto"/>
        <w:rPr>
          <w:rFonts w:ascii="Cambria" w:eastAsia="Times New Roman" w:hAnsi="Cambria"/>
          <w:iCs/>
          <w:kern w:val="0"/>
          <w:sz w:val="22"/>
          <w:lang w:eastAsia="fr-FR"/>
        </w:rPr>
      </w:pPr>
    </w:p>
    <w:p w14:paraId="252475F0" w14:textId="77777777" w:rsidR="00F97A8E" w:rsidRDefault="00F97A8E" w:rsidP="00E846A1">
      <w:pPr>
        <w:spacing w:after="0" w:line="240" w:lineRule="auto"/>
        <w:rPr>
          <w:rFonts w:ascii="Cambria" w:eastAsia="Times New Roman" w:hAnsi="Cambria"/>
          <w:iCs/>
          <w:kern w:val="0"/>
          <w:sz w:val="22"/>
          <w:lang w:eastAsia="fr-FR"/>
        </w:rPr>
      </w:pPr>
    </w:p>
    <w:p w14:paraId="1413CA4E" w14:textId="77777777" w:rsidR="00F97A8E" w:rsidRDefault="00F97A8E" w:rsidP="00E846A1">
      <w:pPr>
        <w:spacing w:after="0" w:line="240" w:lineRule="auto"/>
        <w:rPr>
          <w:rFonts w:ascii="Cambria" w:eastAsia="Times New Roman" w:hAnsi="Cambria"/>
          <w:iCs/>
          <w:kern w:val="0"/>
          <w:sz w:val="22"/>
          <w:lang w:eastAsia="fr-FR"/>
        </w:rPr>
      </w:pPr>
    </w:p>
    <w:p w14:paraId="26B64D21" w14:textId="77777777" w:rsidR="00F97A8E" w:rsidRDefault="00F97A8E" w:rsidP="00E846A1">
      <w:pPr>
        <w:spacing w:after="0" w:line="240" w:lineRule="auto"/>
        <w:rPr>
          <w:rFonts w:ascii="Cambria" w:eastAsia="Times New Roman" w:hAnsi="Cambria"/>
          <w:iCs/>
          <w:kern w:val="0"/>
          <w:sz w:val="22"/>
          <w:lang w:eastAsia="fr-FR"/>
        </w:rPr>
      </w:pPr>
    </w:p>
    <w:p w14:paraId="7FC178B9" w14:textId="77777777" w:rsidR="00F97A8E" w:rsidRDefault="00F97A8E" w:rsidP="00E846A1">
      <w:pPr>
        <w:spacing w:after="0" w:line="240" w:lineRule="auto"/>
        <w:rPr>
          <w:rFonts w:ascii="Cambria" w:eastAsia="Times New Roman" w:hAnsi="Cambria"/>
          <w:iCs/>
          <w:kern w:val="0"/>
          <w:sz w:val="22"/>
          <w:lang w:eastAsia="fr-FR"/>
        </w:rPr>
      </w:pPr>
    </w:p>
    <w:p w14:paraId="32302BA2" w14:textId="77777777" w:rsidR="00F97A8E" w:rsidRDefault="00F97A8E" w:rsidP="00E846A1">
      <w:pPr>
        <w:spacing w:after="0" w:line="240" w:lineRule="auto"/>
        <w:rPr>
          <w:rFonts w:ascii="Cambria" w:eastAsia="Times New Roman" w:hAnsi="Cambria"/>
          <w:iCs/>
          <w:kern w:val="0"/>
          <w:sz w:val="22"/>
          <w:lang w:eastAsia="fr-FR"/>
        </w:rPr>
      </w:pPr>
    </w:p>
    <w:p w14:paraId="040C3C79" w14:textId="77777777" w:rsidR="00F97A8E" w:rsidRDefault="00F97A8E" w:rsidP="00E846A1">
      <w:pPr>
        <w:spacing w:after="0" w:line="240" w:lineRule="auto"/>
        <w:rPr>
          <w:rFonts w:ascii="Cambria" w:eastAsia="Times New Roman" w:hAnsi="Cambria"/>
          <w:iCs/>
          <w:kern w:val="0"/>
          <w:sz w:val="22"/>
          <w:lang w:eastAsia="fr-FR"/>
        </w:rPr>
      </w:pPr>
    </w:p>
    <w:p w14:paraId="01C1FD6A" w14:textId="77777777" w:rsidR="00F97A8E" w:rsidRDefault="00F97A8E" w:rsidP="00E846A1">
      <w:pPr>
        <w:spacing w:after="0" w:line="240" w:lineRule="auto"/>
        <w:rPr>
          <w:rFonts w:ascii="Cambria" w:eastAsia="Times New Roman" w:hAnsi="Cambria"/>
          <w:iCs/>
          <w:kern w:val="0"/>
          <w:sz w:val="22"/>
          <w:lang w:eastAsia="fr-FR"/>
        </w:rPr>
      </w:pPr>
    </w:p>
    <w:p w14:paraId="1086074F" w14:textId="77777777" w:rsidR="00F97A8E" w:rsidRDefault="00F97A8E" w:rsidP="00E846A1">
      <w:pPr>
        <w:spacing w:after="0" w:line="240" w:lineRule="auto"/>
        <w:rPr>
          <w:rFonts w:ascii="Cambria" w:eastAsia="Times New Roman" w:hAnsi="Cambria"/>
          <w:iCs/>
          <w:kern w:val="0"/>
          <w:sz w:val="22"/>
          <w:lang w:eastAsia="fr-FR"/>
        </w:rPr>
      </w:pPr>
    </w:p>
    <w:p w14:paraId="3D21F212" w14:textId="77777777" w:rsidR="00F97A8E" w:rsidRDefault="00F97A8E" w:rsidP="00E846A1">
      <w:pPr>
        <w:spacing w:after="0" w:line="240" w:lineRule="auto"/>
        <w:rPr>
          <w:rFonts w:ascii="Cambria" w:eastAsia="Times New Roman" w:hAnsi="Cambria"/>
          <w:iCs/>
          <w:kern w:val="0"/>
          <w:sz w:val="22"/>
          <w:lang w:eastAsia="fr-FR"/>
        </w:rPr>
      </w:pPr>
    </w:p>
    <w:p w14:paraId="5C2950DB" w14:textId="77777777" w:rsidR="00F97A8E" w:rsidRDefault="00F97A8E" w:rsidP="00E846A1">
      <w:pPr>
        <w:spacing w:after="0" w:line="240" w:lineRule="auto"/>
        <w:rPr>
          <w:rFonts w:ascii="Cambria" w:eastAsia="Times New Roman" w:hAnsi="Cambria"/>
          <w:iCs/>
          <w:kern w:val="0"/>
          <w:sz w:val="22"/>
          <w:lang w:eastAsia="fr-FR"/>
        </w:rPr>
      </w:pPr>
    </w:p>
    <w:p w14:paraId="4E196F49" w14:textId="77777777" w:rsidR="00F97A8E" w:rsidRDefault="00F97A8E" w:rsidP="00E846A1">
      <w:pPr>
        <w:spacing w:after="0" w:line="240" w:lineRule="auto"/>
        <w:rPr>
          <w:rFonts w:ascii="Cambria" w:eastAsia="Times New Roman" w:hAnsi="Cambria"/>
          <w:iCs/>
          <w:kern w:val="0"/>
          <w:sz w:val="22"/>
          <w:lang w:eastAsia="fr-FR"/>
        </w:rPr>
      </w:pPr>
    </w:p>
    <w:p w14:paraId="68241BDF" w14:textId="77777777" w:rsidR="00F97A8E" w:rsidRDefault="00F97A8E" w:rsidP="00E846A1">
      <w:pPr>
        <w:spacing w:after="0" w:line="240" w:lineRule="auto"/>
        <w:rPr>
          <w:rFonts w:ascii="Cambria" w:eastAsia="Times New Roman" w:hAnsi="Cambria"/>
          <w:iCs/>
          <w:kern w:val="0"/>
          <w:sz w:val="22"/>
          <w:lang w:eastAsia="fr-FR"/>
        </w:rPr>
      </w:pPr>
    </w:p>
    <w:p w14:paraId="3B6CFB3B" w14:textId="77777777" w:rsidR="00F97A8E" w:rsidRDefault="00F97A8E" w:rsidP="00E846A1">
      <w:pPr>
        <w:spacing w:after="0" w:line="240" w:lineRule="auto"/>
        <w:rPr>
          <w:rFonts w:ascii="Cambria" w:eastAsia="Times New Roman" w:hAnsi="Cambria"/>
          <w:iCs/>
          <w:kern w:val="0"/>
          <w:sz w:val="22"/>
          <w:lang w:eastAsia="fr-FR"/>
        </w:rPr>
      </w:pPr>
    </w:p>
    <w:p w14:paraId="76E50651" w14:textId="77777777" w:rsidR="00F464F4" w:rsidRDefault="00F464F4" w:rsidP="00E846A1">
      <w:pPr>
        <w:spacing w:after="0" w:line="240" w:lineRule="auto"/>
        <w:rPr>
          <w:rFonts w:ascii="Cambria" w:eastAsia="Times New Roman" w:hAnsi="Cambria"/>
          <w:iCs/>
          <w:kern w:val="0"/>
          <w:sz w:val="22"/>
          <w:lang w:eastAsia="fr-FR"/>
        </w:rPr>
      </w:pPr>
    </w:p>
    <w:p w14:paraId="6F218DE8" w14:textId="77777777" w:rsidR="00F97A8E" w:rsidRPr="008D5702" w:rsidRDefault="00F97A8E" w:rsidP="00E846A1">
      <w:pPr>
        <w:spacing w:after="0" w:line="240" w:lineRule="auto"/>
        <w:rPr>
          <w:rFonts w:ascii="Cambria" w:eastAsia="Times New Roman" w:hAnsi="Cambria"/>
          <w:iCs/>
          <w:kern w:val="0"/>
          <w:sz w:val="22"/>
          <w:lang w:eastAsia="fr-FR"/>
        </w:rPr>
      </w:pPr>
    </w:p>
    <w:p w14:paraId="697C2BBE" w14:textId="77777777" w:rsidR="00E846A1" w:rsidRPr="001A2342" w:rsidRDefault="00E846A1" w:rsidP="00E846A1">
      <w:pPr>
        <w:spacing w:after="0" w:line="240" w:lineRule="auto"/>
        <w:jc w:val="center"/>
        <w:rPr>
          <w:rFonts w:ascii="Cambria" w:eastAsiaTheme="minorHAnsi" w:hAnsi="Cambria"/>
          <w:iCs/>
          <w:color w:val="C00000"/>
          <w:kern w:val="0"/>
          <w:sz w:val="28"/>
          <w:szCs w:val="28"/>
          <w:lang w:eastAsia="en-US"/>
        </w:rPr>
      </w:pPr>
      <w:r w:rsidRPr="001A2342">
        <w:rPr>
          <w:rFonts w:ascii="Cambria" w:eastAsia="Times New Roman" w:hAnsi="Cambria"/>
          <w:iCs/>
          <w:color w:val="C00000"/>
          <w:kern w:val="0"/>
          <w:sz w:val="28"/>
          <w:szCs w:val="28"/>
          <w:lang w:eastAsia="fr-FR"/>
        </w:rPr>
        <w:t xml:space="preserve">J3013719/J3013819 : </w:t>
      </w:r>
      <w:r w:rsidRPr="001A2342">
        <w:rPr>
          <w:rFonts w:ascii="Cambria" w:eastAsia="Times New Roman" w:hAnsi="Cambria"/>
          <w:bCs/>
          <w:iCs/>
          <w:color w:val="C00000"/>
          <w:kern w:val="0"/>
          <w:sz w:val="28"/>
          <w:szCs w:val="28"/>
          <w:lang w:eastAsia="fr-FR"/>
        </w:rPr>
        <w:t>Histoire et informatique</w:t>
      </w:r>
    </w:p>
    <w:p w14:paraId="5BA70664" w14:textId="77777777" w:rsidR="00E846A1" w:rsidRPr="00525A1C" w:rsidRDefault="00E846A1" w:rsidP="00E846A1">
      <w:pPr>
        <w:spacing w:after="0" w:line="240" w:lineRule="auto"/>
        <w:jc w:val="both"/>
        <w:rPr>
          <w:rFonts w:ascii="Cambria" w:eastAsiaTheme="minorHAnsi" w:hAnsi="Cambria"/>
          <w:b w:val="0"/>
          <w:iCs/>
          <w:kern w:val="0"/>
          <w:sz w:val="22"/>
          <w:lang w:eastAsia="en-US"/>
        </w:rPr>
      </w:pPr>
    </w:p>
    <w:p w14:paraId="31AD1986" w14:textId="77777777" w:rsidR="00E846A1" w:rsidRPr="00525A1C" w:rsidRDefault="00E846A1" w:rsidP="00E846A1">
      <w:pPr>
        <w:spacing w:after="0" w:line="240" w:lineRule="auto"/>
        <w:jc w:val="both"/>
        <w:rPr>
          <w:rFonts w:ascii="Cambria" w:eastAsiaTheme="minorHAnsi" w:hAnsi="Cambria"/>
          <w:bCs/>
          <w:iCs/>
          <w:kern w:val="0"/>
          <w:sz w:val="22"/>
          <w:lang w:eastAsia="en-US"/>
        </w:rPr>
      </w:pPr>
    </w:p>
    <w:p w14:paraId="4A397479" w14:textId="27703A09" w:rsidR="00E846A1" w:rsidRPr="00525A1C" w:rsidRDefault="00C640C7" w:rsidP="00D26490">
      <w:pPr>
        <w:pStyle w:val="Standard"/>
        <w:jc w:val="center"/>
        <w:rPr>
          <w:rFonts w:ascii="Cambria" w:hAnsi="Cambria"/>
          <w:b/>
          <w:bCs/>
          <w:iCs/>
          <w:sz w:val="22"/>
          <w:szCs w:val="22"/>
        </w:rPr>
      </w:pPr>
      <w:r w:rsidRPr="00525A1C">
        <w:rPr>
          <w:rFonts w:ascii="Cambria" w:eastAsia="Calibri" w:hAnsi="Cambria" w:cs="Times New Roman"/>
          <w:b/>
          <w:bCs/>
          <w:iCs/>
          <w:kern w:val="0"/>
          <w:sz w:val="22"/>
          <w:szCs w:val="22"/>
          <w:lang w:eastAsia="en-US"/>
        </w:rPr>
        <w:t xml:space="preserve">Gaëtan Bonnot </w:t>
      </w:r>
      <w:r w:rsidR="00E846A1" w:rsidRPr="00525A1C">
        <w:rPr>
          <w:rFonts w:ascii="Cambria" w:eastAsia="Calibri" w:hAnsi="Cambria" w:cs="Times New Roman"/>
          <w:b/>
          <w:bCs/>
          <w:iCs/>
          <w:kern w:val="0"/>
          <w:sz w:val="22"/>
          <w:szCs w:val="22"/>
          <w:lang w:eastAsia="en-US"/>
        </w:rPr>
        <w:t>(S1) et Léo Dumont (S2)</w:t>
      </w:r>
    </w:p>
    <w:p w14:paraId="499D99E3" w14:textId="77777777" w:rsidR="009F56E7" w:rsidRPr="00525A1C" w:rsidRDefault="009F56E7" w:rsidP="009F56E7">
      <w:pPr>
        <w:spacing w:before="100" w:beforeAutospacing="1" w:after="100" w:afterAutospacing="1" w:line="240" w:lineRule="auto"/>
        <w:jc w:val="both"/>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L'ouverture au public de ChatGPT en 2022 et la généralisation des usages de l'IA semble avoir accéléré une réalité maintenant ancienne : l'informatique est souvent au cœur de nombreuses démarches historiques. Que ce soit pour la reconnaissance de caractères dans les documents anciens, la gestion de l’information au travers de bases de données, l’utilisation de méthodes d’analyse textuelle et quantitative ou bien encore la diffusion en ligne des résultats.  À l’heure où l’on évoque beaucoup l'« intelligence artificielle » et le « big data », l’usage éclairé de ces méthodes prend une importance croissante dans le métier d’historien. Cet enseignement a pour objectif d’initier les étudiants à la recherche historique à travers les méthodes des humanités numériques. Il permet de fournir un socle de savoir-faire dont un des débouchés possibles est le master Science des données, histoire et culture (</w:t>
      </w:r>
      <w:hyperlink r:id="rId41" w:history="1">
        <w:r w:rsidRPr="00525A1C">
          <w:rPr>
            <w:rFonts w:ascii="Times New Roman" w:eastAsia="Times New Roman" w:hAnsi="Times New Roman" w:cs="Times New Roman"/>
            <w:b w:val="0"/>
            <w:color w:val="0000FF"/>
            <w:kern w:val="0"/>
            <w:szCs w:val="24"/>
            <w:u w:val="single"/>
            <w:lang w:eastAsia="fr-FR"/>
          </w:rPr>
          <w:t>https://master-humanites-numeriques.pantheonsorbonne.fr/</w:t>
        </w:r>
      </w:hyperlink>
      <w:r w:rsidRPr="00525A1C">
        <w:rPr>
          <w:rFonts w:ascii="Times New Roman" w:eastAsia="Times New Roman" w:hAnsi="Times New Roman" w:cs="Times New Roman"/>
          <w:b w:val="0"/>
          <w:kern w:val="0"/>
          <w:szCs w:val="24"/>
          <w:lang w:eastAsia="fr-FR"/>
        </w:rPr>
        <w:t>).</w:t>
      </w:r>
    </w:p>
    <w:p w14:paraId="3E256C1C" w14:textId="48C6A3FB" w:rsidR="009F56E7" w:rsidRPr="00525A1C" w:rsidRDefault="009F56E7" w:rsidP="009F56E7">
      <w:p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Pour une première approche, les références ci-dessous peuvent être intéressantes, une bibliographie plus complète sera distribuée aux étudiants en TD.</w:t>
      </w:r>
    </w:p>
    <w:p w14:paraId="3CB1556C"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L. Dumont, O. Julien, S. Lamassé, </w:t>
      </w:r>
      <w:r w:rsidRPr="00525A1C">
        <w:rPr>
          <w:rFonts w:ascii="Times New Roman" w:eastAsia="Times New Roman" w:hAnsi="Times New Roman" w:cs="Times New Roman"/>
          <w:b w:val="0"/>
          <w:i/>
          <w:iCs/>
          <w:kern w:val="0"/>
          <w:szCs w:val="24"/>
          <w:lang w:eastAsia="fr-FR"/>
        </w:rPr>
        <w:t>Histoires de mots. Saisir le passé grâce aux données textuelles</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Éditions</w:t>
      </w:r>
      <w:r w:rsidRPr="00525A1C">
        <w:rPr>
          <w:rFonts w:ascii="Times New Roman" w:eastAsia="Times New Roman" w:hAnsi="Times New Roman" w:cs="Times New Roman"/>
          <w:b w:val="0"/>
          <w:kern w:val="0"/>
          <w:szCs w:val="24"/>
          <w:lang w:eastAsia="fr-FR"/>
        </w:rPr>
        <w:t xml:space="preserve"> de la Sorbonne, coll. « Homme et société », 2023.</w:t>
      </w:r>
    </w:p>
    <w:p w14:paraId="7A26F59C"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Alexandre Gefen, </w:t>
      </w:r>
      <w:r w:rsidRPr="00525A1C">
        <w:rPr>
          <w:rFonts w:ascii="Times New Roman" w:eastAsia="Times New Roman" w:hAnsi="Times New Roman" w:cs="Times New Roman"/>
          <w:b w:val="0"/>
          <w:i/>
          <w:iCs/>
          <w:kern w:val="0"/>
          <w:szCs w:val="24"/>
          <w:lang w:eastAsia="fr-FR"/>
        </w:rPr>
        <w:t>Humanités numériques, Le savoir et l'enseignement à l'heure de l'IA</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w:t>
      </w:r>
      <w:r w:rsidRPr="00525A1C">
        <w:rPr>
          <w:rFonts w:ascii="Times New Roman" w:eastAsia="Times New Roman" w:hAnsi="Times New Roman" w:cs="Times New Roman"/>
          <w:b w:val="0"/>
          <w:kern w:val="0"/>
          <w:szCs w:val="24"/>
          <w:lang w:eastAsia="fr-FR"/>
        </w:rPr>
        <w:t>ditions Hermann, 2026.</w:t>
      </w:r>
    </w:p>
    <w:p w14:paraId="43A958A8"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S. Lamassé, G. Bonnot, </w:t>
      </w:r>
      <w:r w:rsidRPr="00525A1C">
        <w:rPr>
          <w:rFonts w:ascii="Times New Roman" w:eastAsia="Times New Roman" w:hAnsi="Times New Roman" w:cs="Times New Roman"/>
          <w:b w:val="0"/>
          <w:i/>
          <w:iCs/>
          <w:kern w:val="0"/>
          <w:szCs w:val="24"/>
          <w:lang w:eastAsia="fr-FR"/>
        </w:rPr>
        <w:t>Dans les dédales du web. Historiens en territoires numériques</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Éditions</w:t>
      </w:r>
      <w:r w:rsidRPr="00525A1C">
        <w:rPr>
          <w:rFonts w:ascii="Times New Roman" w:eastAsia="Times New Roman" w:hAnsi="Times New Roman" w:cs="Times New Roman"/>
          <w:b w:val="0"/>
          <w:kern w:val="0"/>
          <w:szCs w:val="24"/>
          <w:lang w:eastAsia="fr-FR"/>
        </w:rPr>
        <w:t xml:space="preserve"> de la Sorbonne, coll. « Homme et société », 2019.</w:t>
      </w:r>
    </w:p>
    <w:p w14:paraId="0BEA1E38" w14:textId="77777777" w:rsidR="00E846A1" w:rsidRPr="00525A1C" w:rsidRDefault="00E846A1" w:rsidP="00912DE3">
      <w:pPr>
        <w:tabs>
          <w:tab w:val="left" w:pos="6521"/>
        </w:tabs>
        <w:jc w:val="center"/>
        <w:rPr>
          <w:b w:val="0"/>
          <w:i/>
          <w:color w:val="333333" w:themeColor="text2" w:themeShade="BF"/>
          <w:sz w:val="28"/>
          <w:u w:val="single"/>
        </w:rPr>
      </w:pPr>
    </w:p>
    <w:p w14:paraId="37963B7E" w14:textId="77777777" w:rsidR="009F56E7" w:rsidRPr="00525A1C" w:rsidRDefault="009F56E7" w:rsidP="00912DE3">
      <w:pPr>
        <w:tabs>
          <w:tab w:val="left" w:pos="6521"/>
        </w:tabs>
        <w:jc w:val="center"/>
        <w:rPr>
          <w:b w:val="0"/>
          <w:i/>
          <w:color w:val="333333" w:themeColor="text2" w:themeShade="BF"/>
          <w:sz w:val="28"/>
          <w:u w:val="single"/>
        </w:rPr>
      </w:pPr>
    </w:p>
    <w:p w14:paraId="3F35979B" w14:textId="77777777" w:rsidR="009F56E7" w:rsidRPr="00525A1C" w:rsidRDefault="009F56E7" w:rsidP="00912DE3">
      <w:pPr>
        <w:tabs>
          <w:tab w:val="left" w:pos="6521"/>
        </w:tabs>
        <w:jc w:val="center"/>
        <w:rPr>
          <w:b w:val="0"/>
          <w:i/>
          <w:color w:val="333333" w:themeColor="text2" w:themeShade="BF"/>
          <w:sz w:val="28"/>
          <w:u w:val="single"/>
        </w:rPr>
      </w:pPr>
    </w:p>
    <w:p w14:paraId="29503D89" w14:textId="77777777" w:rsidR="009F56E7" w:rsidRPr="00525A1C" w:rsidRDefault="009F56E7" w:rsidP="00912DE3">
      <w:pPr>
        <w:tabs>
          <w:tab w:val="left" w:pos="6521"/>
        </w:tabs>
        <w:jc w:val="center"/>
        <w:rPr>
          <w:b w:val="0"/>
          <w:i/>
          <w:color w:val="333333" w:themeColor="text2" w:themeShade="BF"/>
          <w:sz w:val="28"/>
          <w:u w:val="single"/>
        </w:rPr>
      </w:pPr>
    </w:p>
    <w:p w14:paraId="176BFA1C" w14:textId="77777777" w:rsidR="009F56E7" w:rsidRPr="00525A1C" w:rsidRDefault="009F56E7" w:rsidP="00912DE3">
      <w:pPr>
        <w:tabs>
          <w:tab w:val="left" w:pos="6521"/>
        </w:tabs>
        <w:jc w:val="center"/>
        <w:rPr>
          <w:b w:val="0"/>
          <w:i/>
          <w:color w:val="333333" w:themeColor="text2" w:themeShade="BF"/>
          <w:sz w:val="28"/>
          <w:u w:val="single"/>
        </w:rPr>
      </w:pPr>
    </w:p>
    <w:p w14:paraId="15AB5571" w14:textId="77777777" w:rsidR="009F56E7" w:rsidRPr="00525A1C" w:rsidRDefault="009F56E7" w:rsidP="00912DE3">
      <w:pPr>
        <w:tabs>
          <w:tab w:val="left" w:pos="6521"/>
        </w:tabs>
        <w:jc w:val="center"/>
        <w:rPr>
          <w:b w:val="0"/>
          <w:i/>
          <w:color w:val="333333" w:themeColor="text2" w:themeShade="BF"/>
          <w:sz w:val="28"/>
          <w:u w:val="single"/>
        </w:rPr>
      </w:pPr>
    </w:p>
    <w:p w14:paraId="49BB86BF" w14:textId="77777777" w:rsidR="009F56E7" w:rsidRPr="00525A1C" w:rsidRDefault="009F56E7" w:rsidP="00912DE3">
      <w:pPr>
        <w:tabs>
          <w:tab w:val="left" w:pos="6521"/>
        </w:tabs>
        <w:jc w:val="center"/>
        <w:rPr>
          <w:b w:val="0"/>
          <w:i/>
          <w:color w:val="333333" w:themeColor="text2" w:themeShade="BF"/>
          <w:sz w:val="28"/>
          <w:u w:val="single"/>
        </w:rPr>
      </w:pPr>
    </w:p>
    <w:p w14:paraId="70D972A7" w14:textId="77777777" w:rsidR="009F56E7" w:rsidRPr="00525A1C" w:rsidRDefault="009F56E7" w:rsidP="00912DE3">
      <w:pPr>
        <w:tabs>
          <w:tab w:val="left" w:pos="6521"/>
        </w:tabs>
        <w:jc w:val="center"/>
        <w:rPr>
          <w:b w:val="0"/>
          <w:i/>
          <w:color w:val="333333" w:themeColor="text2" w:themeShade="BF"/>
          <w:sz w:val="28"/>
          <w:u w:val="single"/>
        </w:rPr>
      </w:pPr>
    </w:p>
    <w:p w14:paraId="4F2E681A" w14:textId="77777777" w:rsidR="009F56E7" w:rsidRPr="00525A1C" w:rsidRDefault="009F56E7" w:rsidP="00912DE3">
      <w:pPr>
        <w:tabs>
          <w:tab w:val="left" w:pos="6521"/>
        </w:tabs>
        <w:jc w:val="center"/>
        <w:rPr>
          <w:b w:val="0"/>
          <w:i/>
          <w:color w:val="333333" w:themeColor="text2" w:themeShade="BF"/>
          <w:sz w:val="28"/>
          <w:u w:val="single"/>
        </w:rPr>
      </w:pPr>
    </w:p>
    <w:p w14:paraId="747C5925" w14:textId="77777777" w:rsidR="009F56E7" w:rsidRPr="00525A1C" w:rsidRDefault="009F56E7" w:rsidP="00912DE3">
      <w:pPr>
        <w:tabs>
          <w:tab w:val="left" w:pos="6521"/>
        </w:tabs>
        <w:jc w:val="center"/>
        <w:rPr>
          <w:b w:val="0"/>
          <w:i/>
          <w:color w:val="333333" w:themeColor="text2" w:themeShade="BF"/>
          <w:sz w:val="28"/>
          <w:u w:val="single"/>
        </w:rPr>
      </w:pPr>
    </w:p>
    <w:p w14:paraId="580C7774" w14:textId="77777777" w:rsidR="009F56E7" w:rsidRPr="00525A1C" w:rsidRDefault="009F56E7" w:rsidP="00912DE3">
      <w:pPr>
        <w:tabs>
          <w:tab w:val="left" w:pos="6521"/>
        </w:tabs>
        <w:jc w:val="center"/>
        <w:rPr>
          <w:b w:val="0"/>
          <w:i/>
          <w:color w:val="333333" w:themeColor="text2" w:themeShade="BF"/>
          <w:sz w:val="28"/>
          <w:u w:val="single"/>
        </w:rPr>
      </w:pPr>
    </w:p>
    <w:p w14:paraId="12E75217" w14:textId="77777777" w:rsidR="009F56E7" w:rsidRPr="00525A1C" w:rsidRDefault="009F56E7" w:rsidP="00912DE3">
      <w:pPr>
        <w:tabs>
          <w:tab w:val="left" w:pos="6521"/>
        </w:tabs>
        <w:jc w:val="center"/>
        <w:rPr>
          <w:b w:val="0"/>
          <w:i/>
          <w:color w:val="333333" w:themeColor="text2" w:themeShade="BF"/>
          <w:sz w:val="28"/>
          <w:u w:val="single"/>
        </w:rPr>
      </w:pPr>
    </w:p>
    <w:p w14:paraId="21476059" w14:textId="77777777" w:rsidR="009F56E7" w:rsidRPr="00525A1C" w:rsidRDefault="009F56E7" w:rsidP="00912DE3">
      <w:pPr>
        <w:tabs>
          <w:tab w:val="left" w:pos="6521"/>
        </w:tabs>
        <w:jc w:val="center"/>
        <w:rPr>
          <w:b w:val="0"/>
          <w:i/>
          <w:color w:val="333333" w:themeColor="text2" w:themeShade="BF"/>
          <w:sz w:val="28"/>
          <w:u w:val="single"/>
        </w:rPr>
      </w:pPr>
    </w:p>
    <w:p w14:paraId="46E3D936" w14:textId="77777777" w:rsidR="009F56E7" w:rsidRPr="00525A1C" w:rsidRDefault="009F56E7" w:rsidP="00912DE3">
      <w:pPr>
        <w:tabs>
          <w:tab w:val="left" w:pos="6521"/>
        </w:tabs>
        <w:jc w:val="center"/>
        <w:rPr>
          <w:b w:val="0"/>
          <w:i/>
          <w:color w:val="333333" w:themeColor="text2" w:themeShade="BF"/>
          <w:sz w:val="28"/>
          <w:u w:val="single"/>
        </w:rPr>
      </w:pPr>
    </w:p>
    <w:p w14:paraId="55BF7AFC" w14:textId="77777777" w:rsidR="009F56E7" w:rsidRPr="00525A1C" w:rsidRDefault="009F56E7" w:rsidP="00912DE3">
      <w:pPr>
        <w:tabs>
          <w:tab w:val="left" w:pos="6521"/>
        </w:tabs>
        <w:jc w:val="center"/>
        <w:rPr>
          <w:b w:val="0"/>
          <w:i/>
          <w:color w:val="333333" w:themeColor="text2" w:themeShade="BF"/>
          <w:sz w:val="28"/>
          <w:u w:val="single"/>
        </w:rPr>
      </w:pPr>
    </w:p>
    <w:p w14:paraId="36637892" w14:textId="77777777" w:rsidR="009F56E7" w:rsidRPr="00525A1C" w:rsidRDefault="009F56E7" w:rsidP="00912DE3">
      <w:pPr>
        <w:tabs>
          <w:tab w:val="left" w:pos="6521"/>
        </w:tabs>
        <w:jc w:val="center"/>
        <w:rPr>
          <w:b w:val="0"/>
          <w:i/>
          <w:color w:val="333333" w:themeColor="text2" w:themeShade="BF"/>
          <w:sz w:val="28"/>
          <w:u w:val="single"/>
        </w:rPr>
      </w:pPr>
    </w:p>
    <w:p w14:paraId="45E643C7" w14:textId="77777777" w:rsidR="009F56E7" w:rsidRPr="00525A1C" w:rsidRDefault="009F56E7" w:rsidP="00912DE3">
      <w:pPr>
        <w:tabs>
          <w:tab w:val="left" w:pos="6521"/>
        </w:tabs>
        <w:jc w:val="center"/>
        <w:rPr>
          <w:b w:val="0"/>
          <w:i/>
          <w:color w:val="333333" w:themeColor="text2" w:themeShade="BF"/>
          <w:sz w:val="28"/>
          <w:u w:val="single"/>
        </w:rPr>
      </w:pPr>
    </w:p>
    <w:p w14:paraId="2E4D7629" w14:textId="77777777" w:rsidR="009F56E7" w:rsidRPr="00525A1C" w:rsidRDefault="009F56E7" w:rsidP="00912DE3">
      <w:pPr>
        <w:tabs>
          <w:tab w:val="left" w:pos="6521"/>
        </w:tabs>
        <w:jc w:val="center"/>
        <w:rPr>
          <w:b w:val="0"/>
          <w:i/>
          <w:color w:val="333333" w:themeColor="text2" w:themeShade="BF"/>
          <w:sz w:val="28"/>
          <w:u w:val="single"/>
        </w:rPr>
      </w:pPr>
    </w:p>
    <w:p w14:paraId="4E78BCE2" w14:textId="77777777" w:rsidR="00E0180C" w:rsidRPr="00525A1C" w:rsidRDefault="00E0180C" w:rsidP="00912DE3">
      <w:pPr>
        <w:tabs>
          <w:tab w:val="left" w:pos="6521"/>
        </w:tabs>
        <w:jc w:val="center"/>
        <w:rPr>
          <w:b w:val="0"/>
          <w:i/>
          <w:color w:val="333333" w:themeColor="text2" w:themeShade="BF"/>
          <w:sz w:val="28"/>
          <w:u w:val="single"/>
        </w:rPr>
      </w:pPr>
    </w:p>
    <w:p w14:paraId="577F2C4C" w14:textId="77777777" w:rsidR="009F56E7" w:rsidRDefault="009F56E7" w:rsidP="00912DE3">
      <w:pPr>
        <w:tabs>
          <w:tab w:val="left" w:pos="6521"/>
        </w:tabs>
        <w:jc w:val="center"/>
        <w:rPr>
          <w:b w:val="0"/>
          <w:i/>
          <w:color w:val="333333" w:themeColor="text2" w:themeShade="BF"/>
          <w:sz w:val="28"/>
          <w:u w:val="single"/>
        </w:rPr>
      </w:pPr>
    </w:p>
    <w:p w14:paraId="2D61A8FF" w14:textId="77777777" w:rsidR="00163847" w:rsidRPr="00525A1C" w:rsidRDefault="00163847" w:rsidP="00912DE3">
      <w:pPr>
        <w:tabs>
          <w:tab w:val="left" w:pos="6521"/>
        </w:tabs>
        <w:jc w:val="center"/>
        <w:rPr>
          <w:b w:val="0"/>
          <w:i/>
          <w:color w:val="333333" w:themeColor="text2" w:themeShade="BF"/>
          <w:sz w:val="28"/>
          <w:u w:val="single"/>
        </w:rPr>
      </w:pPr>
    </w:p>
    <w:p w14:paraId="12FD55CA" w14:textId="77777777" w:rsidR="00E846A1" w:rsidRPr="00525A1C" w:rsidRDefault="00E846A1" w:rsidP="00912DE3">
      <w:pPr>
        <w:tabs>
          <w:tab w:val="left" w:pos="6521"/>
        </w:tabs>
        <w:jc w:val="center"/>
        <w:rPr>
          <w:b w:val="0"/>
          <w:i/>
          <w:color w:val="333333" w:themeColor="text2" w:themeShade="BF"/>
          <w:sz w:val="28"/>
          <w:u w:val="single"/>
        </w:rPr>
      </w:pPr>
    </w:p>
    <w:p w14:paraId="17ECA72C" w14:textId="77777777" w:rsidR="00E846A1" w:rsidRPr="001A2342"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J3014319/J3014419 : Initiation à l’analyse des images (XIX</w:t>
      </w:r>
      <w:r w:rsidRPr="001A2342">
        <w:rPr>
          <w:rFonts w:ascii="Cambria" w:hAnsi="Cambria"/>
          <w:iCs/>
          <w:color w:val="C00000"/>
          <w:sz w:val="28"/>
          <w:szCs w:val="28"/>
          <w:vertAlign w:val="superscript"/>
        </w:rPr>
        <w:t>e</w:t>
      </w:r>
      <w:r w:rsidRPr="001A2342">
        <w:rPr>
          <w:rFonts w:ascii="Cambria" w:hAnsi="Cambria"/>
          <w:iCs/>
          <w:color w:val="C00000"/>
          <w:sz w:val="28"/>
          <w:szCs w:val="28"/>
        </w:rPr>
        <w:t>-XXI</w:t>
      </w:r>
      <w:r w:rsidRPr="001A2342">
        <w:rPr>
          <w:rFonts w:ascii="Cambria" w:hAnsi="Cambria"/>
          <w:iCs/>
          <w:color w:val="C00000"/>
          <w:sz w:val="28"/>
          <w:szCs w:val="28"/>
          <w:vertAlign w:val="superscript"/>
        </w:rPr>
        <w:t>e</w:t>
      </w:r>
      <w:r w:rsidRPr="001A2342">
        <w:rPr>
          <w:rFonts w:ascii="Cambria" w:hAnsi="Cambria"/>
          <w:iCs/>
          <w:color w:val="C00000"/>
          <w:sz w:val="28"/>
          <w:szCs w:val="28"/>
        </w:rPr>
        <w:t xml:space="preserve"> siècles)</w:t>
      </w:r>
    </w:p>
    <w:p w14:paraId="6CD6000C" w14:textId="77777777" w:rsidR="00E846A1" w:rsidRPr="001A2342"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p>
    <w:p w14:paraId="68CCCDFC" w14:textId="77777777" w:rsidR="00E846A1" w:rsidRPr="00525A1C" w:rsidRDefault="00E846A1" w:rsidP="007E6A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lang w:val="en-US"/>
        </w:rPr>
      </w:pPr>
      <w:r w:rsidRPr="00525A1C">
        <w:rPr>
          <w:rFonts w:ascii="Cambria" w:hAnsi="Cambria" w:cs="Times New Roman"/>
          <w:iCs/>
          <w:sz w:val="22"/>
          <w:lang w:val="en-US"/>
        </w:rPr>
        <w:t>Nicolas Martello (S1), Marine Beccarelli (S2)</w:t>
      </w:r>
    </w:p>
    <w:p w14:paraId="14071FAE" w14:textId="77777777" w:rsidR="00E846A1" w:rsidRPr="00525A1C"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val="en-US"/>
        </w:rPr>
      </w:pPr>
    </w:p>
    <w:p w14:paraId="1E153EB6"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À travers l’étude de représentations visuelles variées issues de l’histoire contemporaine française, il s’agira de comprendre comment les images (fixes comme mobiles) participent à la construction des récits historiques et influencent la perception du passé, loin d’être seulement illustratives. Suivant ce fil rouge, le cours apportera progressivement les repères théoriques, le vocabulaire idoine et les méthodes indispensables à leur analyse pour l’historien, tout en accordant une place essentielle à leur contextualisation historique et à la triade production-médiation-réception, socle de tout travail d’histoire culturelle.</w:t>
      </w:r>
    </w:p>
    <w:p w14:paraId="289E9767" w14:textId="68BFBC61" w:rsidR="00B45142" w:rsidRPr="00525A1C" w:rsidRDefault="00B45142" w:rsidP="00C67417">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Dans le prolongement de ces réflexions d’ordre méthodologique, ce cours cherchera à répondre à quelques questions : les images orientent-elles la mémoire collective ? Certaines images deviennent-elles plus importantes que les faits qu'elles représentent ? Enfin, comment les historiens peuvent-ils analyser cette influence ?</w:t>
      </w:r>
    </w:p>
    <w:p w14:paraId="6C1BC6D5" w14:textId="3F39B5A8"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ab/>
        <w:t xml:space="preserve">Bibliographie introductive (chaque cours comporte une bibliographie spécifique) : </w:t>
      </w:r>
    </w:p>
    <w:p w14:paraId="00A7D457"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Préalables méthodologiques</w:t>
      </w:r>
    </w:p>
    <w:p w14:paraId="4189C3EE"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François Jost,</w:t>
      </w:r>
      <w:r w:rsidRPr="00525A1C">
        <w:rPr>
          <w:rFonts w:ascii="Cambria" w:eastAsia="Times New Roman" w:hAnsi="Cambria" w:cs="Times New Roman"/>
          <w:b w:val="0"/>
          <w:bCs/>
          <w:i/>
          <w:iCs/>
          <w:sz w:val="22"/>
        </w:rPr>
        <w:t xml:space="preserve"> Introduction à l’analyse de la télévision</w:t>
      </w:r>
      <w:r w:rsidRPr="00525A1C">
        <w:rPr>
          <w:rFonts w:ascii="Cambria" w:eastAsia="Times New Roman" w:hAnsi="Cambria" w:cs="Times New Roman"/>
          <w:b w:val="0"/>
          <w:bCs/>
          <w:sz w:val="22"/>
        </w:rPr>
        <w:t>, Paris, Ellipses, 2007.</w:t>
      </w:r>
    </w:p>
    <w:p w14:paraId="66374EAA" w14:textId="77777777" w:rsidR="00B45142" w:rsidRPr="00525A1C" w:rsidRDefault="00B45142" w:rsidP="00B45142">
      <w:pPr>
        <w:spacing w:line="360" w:lineRule="auto"/>
        <w:jc w:val="both"/>
        <w:rPr>
          <w:rFonts w:ascii="Cambria" w:eastAsia="Times New Roman" w:hAnsi="Cambria" w:cs="Times New Roman"/>
          <w:b w:val="0"/>
          <w:bCs/>
          <w:sz w:val="22"/>
        </w:rPr>
      </w:pPr>
    </w:p>
    <w:p w14:paraId="03C5AA3D" w14:textId="77777777" w:rsidR="00C67417" w:rsidRPr="00525A1C" w:rsidRDefault="00C67417" w:rsidP="00B45142">
      <w:pPr>
        <w:spacing w:line="360" w:lineRule="auto"/>
        <w:jc w:val="both"/>
        <w:rPr>
          <w:rFonts w:ascii="Cambria" w:eastAsia="Times New Roman" w:hAnsi="Cambria" w:cs="Times New Roman"/>
          <w:b w:val="0"/>
          <w:bCs/>
          <w:sz w:val="22"/>
        </w:rPr>
      </w:pPr>
    </w:p>
    <w:p w14:paraId="5D2E4F63" w14:textId="74232815"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Jacques Aumont et Michel Marie, </w:t>
      </w:r>
      <w:r w:rsidRPr="00525A1C">
        <w:rPr>
          <w:rFonts w:ascii="Cambria" w:eastAsia="Times New Roman" w:hAnsi="Cambria" w:cs="Times New Roman"/>
          <w:b w:val="0"/>
          <w:bCs/>
          <w:i/>
          <w:iCs/>
          <w:sz w:val="22"/>
        </w:rPr>
        <w:t>L’analyse des films</w:t>
      </w:r>
      <w:r w:rsidRPr="00525A1C">
        <w:rPr>
          <w:rFonts w:ascii="Cambria" w:eastAsia="Times New Roman" w:hAnsi="Cambria" w:cs="Times New Roman"/>
          <w:b w:val="0"/>
          <w:bCs/>
          <w:sz w:val="22"/>
        </w:rPr>
        <w:t>, Paris, Armand Colin, 2020.</w:t>
      </w:r>
    </w:p>
    <w:p w14:paraId="54A86AAC"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Laurent Gervereau, </w:t>
      </w:r>
      <w:r w:rsidRPr="00525A1C">
        <w:rPr>
          <w:rFonts w:ascii="Cambria" w:eastAsia="Times New Roman" w:hAnsi="Cambria" w:cs="Times New Roman"/>
          <w:b w:val="0"/>
          <w:bCs/>
          <w:i/>
          <w:iCs/>
          <w:sz w:val="22"/>
        </w:rPr>
        <w:t>Voir, comprendre, analyser les images</w:t>
      </w:r>
      <w:r w:rsidRPr="00525A1C">
        <w:rPr>
          <w:rFonts w:ascii="Cambria" w:eastAsia="Times New Roman" w:hAnsi="Cambria" w:cs="Times New Roman"/>
          <w:b w:val="0"/>
          <w:bCs/>
          <w:sz w:val="22"/>
        </w:rPr>
        <w:t>, Paris, La Découverte, collection « Repères », 2020.</w:t>
      </w:r>
    </w:p>
    <w:p w14:paraId="178FA523" w14:textId="72D1C7DD"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Pascale Goetschel, François Jost, Myriam Tsikounas (dir.),</w:t>
      </w:r>
      <w:r w:rsidRPr="00525A1C">
        <w:rPr>
          <w:rFonts w:ascii="Cambria" w:eastAsia="Times New Roman" w:hAnsi="Cambria" w:cs="Times New Roman"/>
          <w:b w:val="0"/>
          <w:bCs/>
          <w:i/>
          <w:iCs/>
          <w:sz w:val="22"/>
        </w:rPr>
        <w:t xml:space="preserve"> Lire, voir, entendre. La Réception des objets médiatiques</w:t>
      </w:r>
      <w:r w:rsidRPr="00525A1C">
        <w:rPr>
          <w:rFonts w:ascii="Cambria" w:eastAsia="Times New Roman" w:hAnsi="Cambria" w:cs="Times New Roman"/>
          <w:b w:val="0"/>
          <w:bCs/>
          <w:sz w:val="22"/>
        </w:rPr>
        <w:t>, Paris, Publications de la Sorbonne, 2010.</w:t>
      </w:r>
    </w:p>
    <w:p w14:paraId="7CBEFEE9"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Histoire des médias, histoire des médiums</w:t>
      </w:r>
    </w:p>
    <w:p w14:paraId="4646309F"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Benjamin Caraco, </w:t>
      </w:r>
      <w:r w:rsidRPr="00525A1C">
        <w:rPr>
          <w:rFonts w:ascii="Cambria" w:eastAsia="Times New Roman" w:hAnsi="Cambria" w:cs="Times New Roman"/>
          <w:b w:val="0"/>
          <w:bCs/>
          <w:i/>
          <w:iCs/>
          <w:sz w:val="22"/>
        </w:rPr>
        <w:t>Histoire de la bande dessinée en France</w:t>
      </w:r>
      <w:r w:rsidRPr="00525A1C">
        <w:rPr>
          <w:rFonts w:ascii="Cambria" w:eastAsia="Times New Roman" w:hAnsi="Cambria" w:cs="Times New Roman"/>
          <w:b w:val="0"/>
          <w:bCs/>
          <w:sz w:val="22"/>
        </w:rPr>
        <w:t>, Paris, La Découverte, collection « Repères », 2026.</w:t>
      </w:r>
    </w:p>
    <w:p w14:paraId="0DC426E5"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Claire Blandin, Emmanuelle Fantin, François Robinet, Valérie Schafer (dir.), </w:t>
      </w:r>
      <w:r w:rsidRPr="00525A1C">
        <w:rPr>
          <w:rFonts w:ascii="Cambria" w:eastAsia="Times New Roman" w:hAnsi="Cambria" w:cs="Times New Roman"/>
          <w:b w:val="0"/>
          <w:bCs/>
          <w:i/>
          <w:iCs/>
          <w:sz w:val="22"/>
        </w:rPr>
        <w:t>Penser l’histoire des médias</w:t>
      </w:r>
      <w:r w:rsidRPr="00525A1C">
        <w:rPr>
          <w:rFonts w:ascii="Cambria" w:eastAsia="Times New Roman" w:hAnsi="Cambria" w:cs="Times New Roman"/>
          <w:b w:val="0"/>
          <w:bCs/>
          <w:sz w:val="22"/>
        </w:rPr>
        <w:t>, Paris, CNRS Éditions, collection « CNRS Alpha », 2019.</w:t>
      </w:r>
    </w:p>
    <w:p w14:paraId="3914DE95"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Fabrice Montebello, </w:t>
      </w:r>
      <w:r w:rsidRPr="00525A1C">
        <w:rPr>
          <w:rFonts w:ascii="Cambria" w:eastAsia="Times New Roman" w:hAnsi="Cambria" w:cs="Times New Roman"/>
          <w:b w:val="0"/>
          <w:bCs/>
          <w:i/>
          <w:iCs/>
          <w:sz w:val="22"/>
        </w:rPr>
        <w:t>Le Cinéma en France depuis les années 1930</w:t>
      </w:r>
      <w:r w:rsidRPr="00525A1C">
        <w:rPr>
          <w:rFonts w:ascii="Cambria" w:eastAsia="Times New Roman" w:hAnsi="Cambria" w:cs="Times New Roman"/>
          <w:b w:val="0"/>
          <w:bCs/>
          <w:sz w:val="22"/>
        </w:rPr>
        <w:t>, Paris, Armand Colin, 2005.</w:t>
      </w:r>
    </w:p>
    <w:p w14:paraId="70ABC73A"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Isabelle Gaillard, </w:t>
      </w:r>
      <w:r w:rsidRPr="00525A1C">
        <w:rPr>
          <w:rFonts w:ascii="Cambria" w:eastAsia="Times New Roman" w:hAnsi="Cambria" w:cs="Times New Roman"/>
          <w:b w:val="0"/>
          <w:bCs/>
          <w:i/>
          <w:iCs/>
          <w:sz w:val="22"/>
        </w:rPr>
        <w:t>La Télévision : histoire d’un objet de consommation</w:t>
      </w:r>
      <w:r w:rsidRPr="00525A1C">
        <w:rPr>
          <w:rFonts w:ascii="Cambria" w:eastAsia="Times New Roman" w:hAnsi="Cambria" w:cs="Times New Roman"/>
          <w:b w:val="0"/>
          <w:bCs/>
          <w:sz w:val="22"/>
        </w:rPr>
        <w:t>, Paris, Éditions du Comité des Travaux Historiques et Scientifiques Institut National de l'Audiovisuel, collection « CTHS histoire », 2012.</w:t>
      </w:r>
    </w:p>
    <w:p w14:paraId="0906F8C1"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Sébastien Le Pajolec, « Pour une histoire culturelle de la vidéo domestique », </w:t>
      </w:r>
      <w:r w:rsidRPr="00525A1C">
        <w:rPr>
          <w:rFonts w:ascii="Cambria" w:eastAsia="Times New Roman" w:hAnsi="Cambria" w:cs="Times New Roman"/>
          <w:b w:val="0"/>
          <w:bCs/>
          <w:i/>
          <w:iCs/>
          <w:sz w:val="22"/>
        </w:rPr>
        <w:t>Sociétés &amp; Représentations</w:t>
      </w:r>
      <w:r w:rsidRPr="00525A1C">
        <w:rPr>
          <w:rFonts w:ascii="Cambria" w:eastAsia="Times New Roman" w:hAnsi="Cambria" w:cs="Times New Roman"/>
          <w:b w:val="0"/>
          <w:bCs/>
          <w:sz w:val="22"/>
        </w:rPr>
        <w:t>, n° 56, 2023, p. 213-226.</w:t>
      </w:r>
    </w:p>
    <w:p w14:paraId="6B81C12D" w14:textId="77777777" w:rsidR="00B45142" w:rsidRPr="00525A1C" w:rsidRDefault="00B45142" w:rsidP="00B45142">
      <w:pPr>
        <w:spacing w:line="360" w:lineRule="auto"/>
        <w:jc w:val="both"/>
        <w:rPr>
          <w:rFonts w:ascii="Cambria" w:eastAsia="Times New Roman" w:hAnsi="Cambria" w:cs="Times New Roman"/>
          <w:b w:val="0"/>
          <w:bCs/>
          <w:sz w:val="22"/>
        </w:rPr>
      </w:pPr>
    </w:p>
    <w:p w14:paraId="6B1A4F3B" w14:textId="77777777" w:rsidR="00C67417" w:rsidRPr="00525A1C" w:rsidRDefault="00C67417" w:rsidP="00B45142">
      <w:pPr>
        <w:spacing w:line="360" w:lineRule="auto"/>
        <w:jc w:val="both"/>
        <w:rPr>
          <w:rFonts w:ascii="Cambria" w:eastAsia="Times New Roman" w:hAnsi="Cambria" w:cs="Times New Roman"/>
          <w:b w:val="0"/>
          <w:bCs/>
          <w:sz w:val="22"/>
        </w:rPr>
      </w:pPr>
    </w:p>
    <w:p w14:paraId="11F13FDF" w14:textId="77777777" w:rsidR="00C640C7" w:rsidRPr="00525A1C" w:rsidRDefault="00C640C7" w:rsidP="00B45142">
      <w:pPr>
        <w:spacing w:line="360" w:lineRule="auto"/>
        <w:jc w:val="both"/>
        <w:rPr>
          <w:rFonts w:ascii="Cambria" w:eastAsia="Times New Roman" w:hAnsi="Cambria" w:cs="Times New Roman"/>
          <w:b w:val="0"/>
          <w:bCs/>
          <w:sz w:val="22"/>
        </w:rPr>
      </w:pPr>
    </w:p>
    <w:p w14:paraId="6BDCDCF9"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L’image pour l’historien</w:t>
      </w:r>
    </w:p>
    <w:p w14:paraId="13161F97"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Christian Delporte, Laurent Gervereau et Denis Maréchal (dir.), </w:t>
      </w:r>
      <w:r w:rsidRPr="00525A1C">
        <w:rPr>
          <w:rFonts w:ascii="Cambria" w:eastAsia="Times New Roman" w:hAnsi="Cambria" w:cs="Times New Roman"/>
          <w:b w:val="0"/>
          <w:bCs/>
          <w:i/>
          <w:iCs/>
          <w:sz w:val="22"/>
        </w:rPr>
        <w:t>Quelle est la place des images en histoire ?</w:t>
      </w:r>
      <w:r w:rsidRPr="00525A1C">
        <w:rPr>
          <w:rFonts w:ascii="Cambria" w:eastAsia="Times New Roman" w:hAnsi="Cambria" w:cs="Times New Roman"/>
          <w:b w:val="0"/>
          <w:bCs/>
          <w:sz w:val="22"/>
        </w:rPr>
        <w:t>, Paris, Nouveau Monde Éditions, 2008.</w:t>
      </w:r>
    </w:p>
    <w:p w14:paraId="52C6A352"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Ilsen About et Clément Chéroux, « L’histoire par la photographie », </w:t>
      </w:r>
      <w:r w:rsidRPr="00525A1C">
        <w:rPr>
          <w:rFonts w:ascii="Cambria" w:eastAsia="Times New Roman" w:hAnsi="Cambria" w:cs="Times New Roman"/>
          <w:b w:val="0"/>
          <w:bCs/>
          <w:i/>
          <w:iCs/>
          <w:sz w:val="22"/>
        </w:rPr>
        <w:t>Études photographiques</w:t>
      </w:r>
      <w:r w:rsidRPr="00525A1C">
        <w:rPr>
          <w:rFonts w:ascii="Cambria" w:eastAsia="Times New Roman" w:hAnsi="Cambria" w:cs="Times New Roman"/>
          <w:b w:val="0"/>
          <w:bCs/>
          <w:sz w:val="22"/>
        </w:rPr>
        <w:t>, n° 10, 2001, p. 8-33.</w:t>
      </w:r>
    </w:p>
    <w:p w14:paraId="297454DC" w14:textId="77777777" w:rsidR="00B45142" w:rsidRPr="00525A1C" w:rsidRDefault="00B45142" w:rsidP="00B45142">
      <w:pPr>
        <w:spacing w:line="360" w:lineRule="auto"/>
        <w:jc w:val="both"/>
        <w:rPr>
          <w:rFonts w:ascii="Cambria" w:eastAsia="Times New Roman" w:hAnsi="Cambria" w:cs="Times New Roman"/>
          <w:b w:val="0"/>
          <w:bCs/>
          <w:sz w:val="22"/>
          <w:lang w:val="en-US"/>
        </w:rPr>
      </w:pPr>
      <w:r w:rsidRPr="00525A1C">
        <w:rPr>
          <w:rFonts w:ascii="Cambria" w:eastAsia="Times New Roman" w:hAnsi="Cambria" w:cs="Times New Roman"/>
          <w:b w:val="0"/>
          <w:bCs/>
          <w:sz w:val="22"/>
          <w:lang w:val="en-US"/>
        </w:rPr>
        <w:t xml:space="preserve">Peter Burke, </w:t>
      </w:r>
      <w:r w:rsidRPr="00525A1C">
        <w:rPr>
          <w:rFonts w:ascii="Cambria" w:eastAsia="Times New Roman" w:hAnsi="Cambria" w:cs="Times New Roman"/>
          <w:b w:val="0"/>
          <w:bCs/>
          <w:i/>
          <w:iCs/>
          <w:sz w:val="22"/>
          <w:lang w:val="en-US"/>
        </w:rPr>
        <w:t>Eyewitnessing. The Uses of Images as Historical Evidence</w:t>
      </w:r>
      <w:r w:rsidRPr="00525A1C">
        <w:rPr>
          <w:rFonts w:ascii="Cambria" w:eastAsia="Times New Roman" w:hAnsi="Cambria" w:cs="Times New Roman"/>
          <w:b w:val="0"/>
          <w:bCs/>
          <w:sz w:val="22"/>
          <w:lang w:val="en-US"/>
        </w:rPr>
        <w:t>, Cornell University Press, 2001.</w:t>
      </w:r>
    </w:p>
    <w:p w14:paraId="6EE84E1E"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Sylvain Lesage, « Bande dessinée et histoire », </w:t>
      </w:r>
      <w:r w:rsidRPr="00525A1C">
        <w:rPr>
          <w:rFonts w:ascii="Cambria" w:eastAsia="Times New Roman" w:hAnsi="Cambria" w:cs="Times New Roman"/>
          <w:b w:val="0"/>
          <w:bCs/>
          <w:i/>
          <w:iCs/>
          <w:sz w:val="22"/>
        </w:rPr>
        <w:t>Sociétés &amp; Représentations</w:t>
      </w:r>
      <w:r w:rsidRPr="00525A1C">
        <w:rPr>
          <w:rFonts w:ascii="Cambria" w:eastAsia="Times New Roman" w:hAnsi="Cambria" w:cs="Times New Roman"/>
          <w:b w:val="0"/>
          <w:bCs/>
          <w:sz w:val="22"/>
        </w:rPr>
        <w:t>, 2022, N° 53 (1), p. 15-38.</w:t>
      </w:r>
    </w:p>
    <w:p w14:paraId="4116A487" w14:textId="77777777" w:rsidR="00E846A1" w:rsidRPr="00525A1C" w:rsidRDefault="00E846A1" w:rsidP="00912DE3">
      <w:pPr>
        <w:tabs>
          <w:tab w:val="left" w:pos="6521"/>
        </w:tabs>
        <w:jc w:val="center"/>
        <w:rPr>
          <w:rFonts w:ascii="Cambria" w:hAnsi="Cambria"/>
          <w:b w:val="0"/>
          <w:i/>
          <w:color w:val="333333" w:themeColor="text2" w:themeShade="BF"/>
          <w:sz w:val="22"/>
          <w:u w:val="single"/>
        </w:rPr>
      </w:pPr>
    </w:p>
    <w:p w14:paraId="62DFCE29" w14:textId="77777777" w:rsidR="00B45142" w:rsidRPr="00525A1C" w:rsidRDefault="00B45142" w:rsidP="00912DE3">
      <w:pPr>
        <w:tabs>
          <w:tab w:val="left" w:pos="6521"/>
        </w:tabs>
        <w:jc w:val="center"/>
        <w:rPr>
          <w:b w:val="0"/>
          <w:i/>
          <w:color w:val="333333" w:themeColor="text2" w:themeShade="BF"/>
          <w:sz w:val="28"/>
          <w:u w:val="single"/>
        </w:rPr>
      </w:pPr>
    </w:p>
    <w:p w14:paraId="75BDB538" w14:textId="77777777" w:rsidR="00B45142" w:rsidRPr="00525A1C" w:rsidRDefault="00B45142" w:rsidP="00912DE3">
      <w:pPr>
        <w:tabs>
          <w:tab w:val="left" w:pos="6521"/>
        </w:tabs>
        <w:jc w:val="center"/>
        <w:rPr>
          <w:b w:val="0"/>
          <w:i/>
          <w:color w:val="333333" w:themeColor="text2" w:themeShade="BF"/>
          <w:sz w:val="28"/>
          <w:u w:val="single"/>
        </w:rPr>
      </w:pPr>
    </w:p>
    <w:p w14:paraId="289E5144" w14:textId="77777777" w:rsidR="00B45142" w:rsidRPr="00525A1C" w:rsidRDefault="00B45142" w:rsidP="00912DE3">
      <w:pPr>
        <w:tabs>
          <w:tab w:val="left" w:pos="6521"/>
        </w:tabs>
        <w:jc w:val="center"/>
        <w:rPr>
          <w:b w:val="0"/>
          <w:i/>
          <w:color w:val="333333" w:themeColor="text2" w:themeShade="BF"/>
          <w:sz w:val="28"/>
          <w:u w:val="single"/>
        </w:rPr>
      </w:pPr>
    </w:p>
    <w:p w14:paraId="10342268" w14:textId="77777777" w:rsidR="00B45142" w:rsidRPr="00525A1C" w:rsidRDefault="00B45142" w:rsidP="00912DE3">
      <w:pPr>
        <w:tabs>
          <w:tab w:val="left" w:pos="6521"/>
        </w:tabs>
        <w:jc w:val="center"/>
        <w:rPr>
          <w:b w:val="0"/>
          <w:i/>
          <w:color w:val="333333" w:themeColor="text2" w:themeShade="BF"/>
          <w:sz w:val="28"/>
          <w:u w:val="single"/>
        </w:rPr>
      </w:pPr>
    </w:p>
    <w:p w14:paraId="3EA8A534" w14:textId="77777777" w:rsidR="00B45142" w:rsidRPr="00525A1C" w:rsidRDefault="00B45142" w:rsidP="00912DE3">
      <w:pPr>
        <w:tabs>
          <w:tab w:val="left" w:pos="6521"/>
        </w:tabs>
        <w:jc w:val="center"/>
        <w:rPr>
          <w:b w:val="0"/>
          <w:i/>
          <w:color w:val="333333" w:themeColor="text2" w:themeShade="BF"/>
          <w:sz w:val="28"/>
          <w:u w:val="single"/>
        </w:rPr>
      </w:pPr>
    </w:p>
    <w:p w14:paraId="528589BB" w14:textId="77777777" w:rsidR="00B45142" w:rsidRPr="00525A1C" w:rsidRDefault="00B45142" w:rsidP="00912DE3">
      <w:pPr>
        <w:tabs>
          <w:tab w:val="left" w:pos="6521"/>
        </w:tabs>
        <w:jc w:val="center"/>
        <w:rPr>
          <w:b w:val="0"/>
          <w:i/>
          <w:color w:val="333333" w:themeColor="text2" w:themeShade="BF"/>
          <w:sz w:val="28"/>
          <w:u w:val="single"/>
        </w:rPr>
      </w:pPr>
    </w:p>
    <w:p w14:paraId="25C14793" w14:textId="77777777" w:rsidR="00B45142" w:rsidRPr="00525A1C" w:rsidRDefault="00B45142" w:rsidP="00912DE3">
      <w:pPr>
        <w:tabs>
          <w:tab w:val="left" w:pos="6521"/>
        </w:tabs>
        <w:jc w:val="center"/>
        <w:rPr>
          <w:b w:val="0"/>
          <w:i/>
          <w:color w:val="333333" w:themeColor="text2" w:themeShade="BF"/>
          <w:sz w:val="28"/>
          <w:u w:val="single"/>
        </w:rPr>
      </w:pPr>
    </w:p>
    <w:p w14:paraId="6E03F55D" w14:textId="77777777" w:rsidR="00B45142" w:rsidRPr="00525A1C" w:rsidRDefault="00B45142" w:rsidP="00912DE3">
      <w:pPr>
        <w:tabs>
          <w:tab w:val="left" w:pos="6521"/>
        </w:tabs>
        <w:jc w:val="center"/>
        <w:rPr>
          <w:b w:val="0"/>
          <w:i/>
          <w:color w:val="333333" w:themeColor="text2" w:themeShade="BF"/>
          <w:sz w:val="28"/>
          <w:u w:val="single"/>
        </w:rPr>
      </w:pPr>
    </w:p>
    <w:p w14:paraId="0A49EFFC" w14:textId="77777777" w:rsidR="00B45142" w:rsidRPr="00525A1C" w:rsidRDefault="00B45142" w:rsidP="00912DE3">
      <w:pPr>
        <w:tabs>
          <w:tab w:val="left" w:pos="6521"/>
        </w:tabs>
        <w:jc w:val="center"/>
        <w:rPr>
          <w:b w:val="0"/>
          <w:i/>
          <w:color w:val="333333" w:themeColor="text2" w:themeShade="BF"/>
          <w:sz w:val="28"/>
          <w:u w:val="single"/>
        </w:rPr>
      </w:pPr>
    </w:p>
    <w:p w14:paraId="7489B9FA" w14:textId="77777777" w:rsidR="00B45142" w:rsidRPr="00525A1C" w:rsidRDefault="00B45142" w:rsidP="00912DE3">
      <w:pPr>
        <w:tabs>
          <w:tab w:val="left" w:pos="6521"/>
        </w:tabs>
        <w:jc w:val="center"/>
        <w:rPr>
          <w:b w:val="0"/>
          <w:i/>
          <w:color w:val="333333" w:themeColor="text2" w:themeShade="BF"/>
          <w:sz w:val="28"/>
          <w:u w:val="single"/>
        </w:rPr>
      </w:pPr>
    </w:p>
    <w:p w14:paraId="2F510D84" w14:textId="77777777" w:rsidR="00B45142" w:rsidRPr="00525A1C" w:rsidRDefault="00B45142" w:rsidP="00912DE3">
      <w:pPr>
        <w:tabs>
          <w:tab w:val="left" w:pos="6521"/>
        </w:tabs>
        <w:jc w:val="center"/>
        <w:rPr>
          <w:b w:val="0"/>
          <w:i/>
          <w:color w:val="333333" w:themeColor="text2" w:themeShade="BF"/>
          <w:sz w:val="28"/>
          <w:u w:val="single"/>
        </w:rPr>
      </w:pPr>
    </w:p>
    <w:p w14:paraId="7C92A1A6" w14:textId="77777777" w:rsidR="00B45142" w:rsidRPr="00525A1C" w:rsidRDefault="00B45142" w:rsidP="00912DE3">
      <w:pPr>
        <w:tabs>
          <w:tab w:val="left" w:pos="6521"/>
        </w:tabs>
        <w:jc w:val="center"/>
        <w:rPr>
          <w:b w:val="0"/>
          <w:i/>
          <w:color w:val="333333" w:themeColor="text2" w:themeShade="BF"/>
          <w:sz w:val="28"/>
          <w:u w:val="single"/>
        </w:rPr>
      </w:pPr>
    </w:p>
    <w:p w14:paraId="46E66CFA" w14:textId="77777777" w:rsidR="00B45142" w:rsidRPr="00525A1C" w:rsidRDefault="00B45142" w:rsidP="00912DE3">
      <w:pPr>
        <w:tabs>
          <w:tab w:val="left" w:pos="6521"/>
        </w:tabs>
        <w:jc w:val="center"/>
        <w:rPr>
          <w:b w:val="0"/>
          <w:i/>
          <w:color w:val="333333" w:themeColor="text2" w:themeShade="BF"/>
          <w:sz w:val="28"/>
          <w:u w:val="single"/>
        </w:rPr>
      </w:pPr>
    </w:p>
    <w:p w14:paraId="4E843D21" w14:textId="77777777" w:rsidR="00B45142" w:rsidRPr="00525A1C" w:rsidRDefault="00B45142" w:rsidP="00912DE3">
      <w:pPr>
        <w:tabs>
          <w:tab w:val="left" w:pos="6521"/>
        </w:tabs>
        <w:jc w:val="center"/>
        <w:rPr>
          <w:b w:val="0"/>
          <w:i/>
          <w:color w:val="333333" w:themeColor="text2" w:themeShade="BF"/>
          <w:sz w:val="28"/>
          <w:u w:val="single"/>
        </w:rPr>
      </w:pPr>
    </w:p>
    <w:p w14:paraId="605A06E6" w14:textId="77777777" w:rsidR="00B45142" w:rsidRPr="00525A1C" w:rsidRDefault="00B45142" w:rsidP="00912DE3">
      <w:pPr>
        <w:tabs>
          <w:tab w:val="left" w:pos="6521"/>
        </w:tabs>
        <w:jc w:val="center"/>
        <w:rPr>
          <w:b w:val="0"/>
          <w:i/>
          <w:color w:val="333333" w:themeColor="text2" w:themeShade="BF"/>
          <w:sz w:val="28"/>
          <w:u w:val="single"/>
        </w:rPr>
      </w:pPr>
    </w:p>
    <w:p w14:paraId="1B9C92C4" w14:textId="77777777" w:rsidR="00B45142" w:rsidRPr="00525A1C" w:rsidRDefault="00B45142" w:rsidP="00912DE3">
      <w:pPr>
        <w:tabs>
          <w:tab w:val="left" w:pos="6521"/>
        </w:tabs>
        <w:jc w:val="center"/>
        <w:rPr>
          <w:b w:val="0"/>
          <w:i/>
          <w:color w:val="333333" w:themeColor="text2" w:themeShade="BF"/>
          <w:sz w:val="28"/>
          <w:u w:val="single"/>
        </w:rPr>
      </w:pPr>
    </w:p>
    <w:p w14:paraId="6F3829D3" w14:textId="77777777" w:rsidR="00B45142" w:rsidRPr="00525A1C" w:rsidRDefault="00B45142" w:rsidP="00912DE3">
      <w:pPr>
        <w:tabs>
          <w:tab w:val="left" w:pos="6521"/>
        </w:tabs>
        <w:jc w:val="center"/>
        <w:rPr>
          <w:b w:val="0"/>
          <w:i/>
          <w:color w:val="333333" w:themeColor="text2" w:themeShade="BF"/>
          <w:sz w:val="28"/>
          <w:u w:val="single"/>
        </w:rPr>
      </w:pPr>
    </w:p>
    <w:p w14:paraId="7799584E" w14:textId="77777777" w:rsidR="00B45142" w:rsidRPr="00525A1C" w:rsidRDefault="00B45142" w:rsidP="00912DE3">
      <w:pPr>
        <w:tabs>
          <w:tab w:val="left" w:pos="6521"/>
        </w:tabs>
        <w:jc w:val="center"/>
        <w:rPr>
          <w:b w:val="0"/>
          <w:i/>
          <w:color w:val="333333" w:themeColor="text2" w:themeShade="BF"/>
          <w:sz w:val="28"/>
          <w:u w:val="single"/>
        </w:rPr>
      </w:pPr>
    </w:p>
    <w:p w14:paraId="631EA1E0" w14:textId="77777777" w:rsidR="00B45142" w:rsidRPr="00525A1C" w:rsidRDefault="00B45142" w:rsidP="00912DE3">
      <w:pPr>
        <w:tabs>
          <w:tab w:val="left" w:pos="6521"/>
        </w:tabs>
        <w:jc w:val="center"/>
        <w:rPr>
          <w:b w:val="0"/>
          <w:i/>
          <w:color w:val="333333" w:themeColor="text2" w:themeShade="BF"/>
          <w:sz w:val="28"/>
          <w:u w:val="single"/>
        </w:rPr>
      </w:pPr>
    </w:p>
    <w:p w14:paraId="6F7AE39B" w14:textId="77777777" w:rsidR="00B45142" w:rsidRPr="00525A1C" w:rsidRDefault="00B45142" w:rsidP="00912DE3">
      <w:pPr>
        <w:tabs>
          <w:tab w:val="left" w:pos="6521"/>
        </w:tabs>
        <w:jc w:val="center"/>
        <w:rPr>
          <w:b w:val="0"/>
          <w:i/>
          <w:color w:val="333333" w:themeColor="text2" w:themeShade="BF"/>
          <w:sz w:val="28"/>
          <w:u w:val="single"/>
        </w:rPr>
      </w:pPr>
    </w:p>
    <w:p w14:paraId="722A4C1A" w14:textId="77777777" w:rsidR="00B45142" w:rsidRPr="00525A1C" w:rsidRDefault="00B45142" w:rsidP="00912DE3">
      <w:pPr>
        <w:tabs>
          <w:tab w:val="left" w:pos="6521"/>
        </w:tabs>
        <w:jc w:val="center"/>
        <w:rPr>
          <w:b w:val="0"/>
          <w:i/>
          <w:color w:val="333333" w:themeColor="text2" w:themeShade="BF"/>
          <w:sz w:val="28"/>
          <w:u w:val="single"/>
        </w:rPr>
      </w:pPr>
    </w:p>
    <w:p w14:paraId="002BD693" w14:textId="77777777" w:rsidR="00B45142" w:rsidRPr="00525A1C" w:rsidRDefault="00B45142" w:rsidP="00912DE3">
      <w:pPr>
        <w:tabs>
          <w:tab w:val="left" w:pos="6521"/>
        </w:tabs>
        <w:jc w:val="center"/>
        <w:rPr>
          <w:b w:val="0"/>
          <w:i/>
          <w:color w:val="333333" w:themeColor="text2" w:themeShade="BF"/>
          <w:sz w:val="28"/>
          <w:u w:val="single"/>
        </w:rPr>
      </w:pPr>
    </w:p>
    <w:p w14:paraId="487AB9C8" w14:textId="77777777" w:rsidR="00B45142" w:rsidRPr="00525A1C" w:rsidRDefault="00B45142" w:rsidP="00912DE3">
      <w:pPr>
        <w:tabs>
          <w:tab w:val="left" w:pos="6521"/>
        </w:tabs>
        <w:jc w:val="center"/>
        <w:rPr>
          <w:b w:val="0"/>
          <w:i/>
          <w:color w:val="333333" w:themeColor="text2" w:themeShade="BF"/>
          <w:sz w:val="28"/>
          <w:u w:val="single"/>
        </w:rPr>
      </w:pPr>
    </w:p>
    <w:p w14:paraId="5EEFC320" w14:textId="77777777" w:rsidR="00B45142" w:rsidRPr="00525A1C" w:rsidRDefault="00B45142" w:rsidP="00912DE3">
      <w:pPr>
        <w:tabs>
          <w:tab w:val="left" w:pos="6521"/>
        </w:tabs>
        <w:jc w:val="center"/>
        <w:rPr>
          <w:b w:val="0"/>
          <w:i/>
          <w:color w:val="333333" w:themeColor="text2" w:themeShade="BF"/>
          <w:sz w:val="28"/>
          <w:u w:val="single"/>
        </w:rPr>
      </w:pPr>
    </w:p>
    <w:p w14:paraId="1CA3ABB8" w14:textId="77777777" w:rsidR="00B45142" w:rsidRPr="00525A1C" w:rsidRDefault="00B45142" w:rsidP="00912DE3">
      <w:pPr>
        <w:tabs>
          <w:tab w:val="left" w:pos="6521"/>
        </w:tabs>
        <w:jc w:val="center"/>
        <w:rPr>
          <w:b w:val="0"/>
          <w:i/>
          <w:color w:val="333333" w:themeColor="text2" w:themeShade="BF"/>
          <w:sz w:val="28"/>
          <w:u w:val="single"/>
        </w:rPr>
      </w:pPr>
    </w:p>
    <w:p w14:paraId="5C658F5C" w14:textId="77777777" w:rsidR="00B45142" w:rsidRPr="00525A1C" w:rsidRDefault="00B45142" w:rsidP="00912DE3">
      <w:pPr>
        <w:tabs>
          <w:tab w:val="left" w:pos="6521"/>
        </w:tabs>
        <w:jc w:val="center"/>
        <w:rPr>
          <w:b w:val="0"/>
          <w:i/>
          <w:color w:val="333333" w:themeColor="text2" w:themeShade="BF"/>
          <w:sz w:val="28"/>
          <w:u w:val="single"/>
        </w:rPr>
      </w:pPr>
    </w:p>
    <w:p w14:paraId="11E32588" w14:textId="77777777" w:rsidR="00B45142" w:rsidRPr="00525A1C" w:rsidRDefault="00B45142" w:rsidP="00912DE3">
      <w:pPr>
        <w:tabs>
          <w:tab w:val="left" w:pos="6521"/>
        </w:tabs>
        <w:jc w:val="center"/>
        <w:rPr>
          <w:b w:val="0"/>
          <w:i/>
          <w:color w:val="333333" w:themeColor="text2" w:themeShade="BF"/>
          <w:sz w:val="28"/>
          <w:u w:val="single"/>
        </w:rPr>
      </w:pPr>
    </w:p>
    <w:p w14:paraId="68A1CA6B" w14:textId="77777777" w:rsidR="007B5804" w:rsidRPr="00525A1C" w:rsidRDefault="007B5804" w:rsidP="00912DE3">
      <w:pPr>
        <w:tabs>
          <w:tab w:val="left" w:pos="6521"/>
        </w:tabs>
        <w:jc w:val="center"/>
        <w:rPr>
          <w:b w:val="0"/>
          <w:i/>
          <w:color w:val="333333" w:themeColor="text2" w:themeShade="BF"/>
          <w:sz w:val="28"/>
          <w:u w:val="single"/>
        </w:rPr>
      </w:pPr>
    </w:p>
    <w:p w14:paraId="135506FE" w14:textId="77777777" w:rsidR="007B5804" w:rsidRPr="00525A1C" w:rsidRDefault="007B5804" w:rsidP="00912DE3">
      <w:pPr>
        <w:tabs>
          <w:tab w:val="left" w:pos="6521"/>
        </w:tabs>
        <w:jc w:val="center"/>
        <w:rPr>
          <w:b w:val="0"/>
          <w:i/>
          <w:color w:val="333333" w:themeColor="text2" w:themeShade="BF"/>
          <w:sz w:val="28"/>
          <w:u w:val="single"/>
        </w:rPr>
      </w:pPr>
    </w:p>
    <w:p w14:paraId="71D06F06" w14:textId="77777777" w:rsidR="007B5804" w:rsidRPr="00525A1C" w:rsidRDefault="007B5804" w:rsidP="00912DE3">
      <w:pPr>
        <w:tabs>
          <w:tab w:val="left" w:pos="6521"/>
        </w:tabs>
        <w:jc w:val="center"/>
        <w:rPr>
          <w:b w:val="0"/>
          <w:i/>
          <w:color w:val="333333" w:themeColor="text2" w:themeShade="BF"/>
          <w:sz w:val="28"/>
          <w:u w:val="single"/>
        </w:rPr>
      </w:pPr>
    </w:p>
    <w:p w14:paraId="36025E0F" w14:textId="77777777" w:rsidR="00B45142" w:rsidRPr="00525A1C" w:rsidRDefault="00B45142" w:rsidP="00912DE3">
      <w:pPr>
        <w:tabs>
          <w:tab w:val="left" w:pos="6521"/>
        </w:tabs>
        <w:jc w:val="center"/>
        <w:rPr>
          <w:b w:val="0"/>
          <w:i/>
          <w:color w:val="333333" w:themeColor="text2" w:themeShade="BF"/>
          <w:sz w:val="28"/>
          <w:u w:val="single"/>
        </w:rPr>
      </w:pPr>
    </w:p>
    <w:p w14:paraId="1950D256" w14:textId="77777777" w:rsidR="00CB6BA5" w:rsidRPr="001A2342"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J3023919/J3024019 : Introduction à l’histoire des religions</w:t>
      </w:r>
    </w:p>
    <w:p w14:paraId="4CA1E24A" w14:textId="77777777" w:rsidR="00CB6BA5" w:rsidRPr="001A2342"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color w:val="C00000"/>
          <w:sz w:val="28"/>
          <w:szCs w:val="28"/>
        </w:rPr>
      </w:pPr>
    </w:p>
    <w:p w14:paraId="797321CC"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Bertrand Hirsch</w:t>
      </w:r>
    </w:p>
    <w:p w14:paraId="50E4850C"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9D0F39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Cet enseignement a</w:t>
      </w:r>
      <w:r w:rsidRPr="00525A1C">
        <w:rPr>
          <w:rFonts w:ascii="Cambria" w:hAnsi="Cambria"/>
          <w:iCs/>
          <w:sz w:val="22"/>
        </w:rPr>
        <w:t xml:space="preserve"> </w:t>
      </w:r>
      <w:r w:rsidRPr="00525A1C">
        <w:rPr>
          <w:rFonts w:ascii="Cambria" w:hAnsi="Cambria"/>
          <w:b w:val="0"/>
          <w:iCs/>
          <w:sz w:val="22"/>
        </w:rPr>
        <w:t>pour objectif de donner quelques clés pour aborder l’histoire des religions, en favorisant systématiquement le comparatisme entre les religions (« monothéismes », « polythéismes », « religions locales »…), dans leur extrême diversité, autour de grands thèmes communs.</w:t>
      </w:r>
    </w:p>
    <w:p w14:paraId="101E3769"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Il se veut :</w:t>
      </w:r>
    </w:p>
    <w:p w14:paraId="7240702A"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historiographique : quelle est l’histoire de ce champ d’étude ? Quels en sont les principaux moments et les œuvres clefs ?</w:t>
      </w:r>
    </w:p>
    <w:p w14:paraId="2D1BDDDD"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iCs/>
          <w:sz w:val="22"/>
        </w:rPr>
      </w:pPr>
      <w:r w:rsidRPr="00525A1C">
        <w:rPr>
          <w:rFonts w:ascii="Cambria" w:hAnsi="Cambria"/>
          <w:b w:val="0"/>
          <w:iCs/>
          <w:sz w:val="22"/>
        </w:rPr>
        <w:t>pluridisciplinaire, au croisement de l’histoire, de l’anthropologie et de la sociologie</w:t>
      </w:r>
    </w:p>
    <w:p w14:paraId="211B42A0"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iCs/>
          <w:sz w:val="22"/>
        </w:rPr>
      </w:pPr>
      <w:r w:rsidRPr="00525A1C">
        <w:rPr>
          <w:rFonts w:ascii="Cambria" w:hAnsi="Cambria"/>
          <w:b w:val="0"/>
          <w:iCs/>
          <w:sz w:val="22"/>
        </w:rPr>
        <w:t>conceptuel, pour constituer une « boîte à outils » réflexive qui pourra servir pour la suite des études en histoire.</w:t>
      </w:r>
    </w:p>
    <w:p w14:paraId="2DD7B7B6"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p>
    <w:p w14:paraId="47AF94D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Le cours sera l’occasion d’envisager une question, autour d’un ou deux grands ouvrages, le TD de travailler sur un cas, en variant les sociétés étudiées.</w:t>
      </w:r>
    </w:p>
    <w:p w14:paraId="35ECC548"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7592D3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r w:rsidRPr="00525A1C">
        <w:rPr>
          <w:rFonts w:ascii="Cambria" w:hAnsi="Cambria"/>
          <w:iCs/>
          <w:sz w:val="22"/>
        </w:rPr>
        <w:t>Thèmes abordés</w:t>
      </w:r>
    </w:p>
    <w:p w14:paraId="1327F9C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p>
    <w:p w14:paraId="7FA56775"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L’histoire de l’« histoire des religions »</w:t>
      </w:r>
    </w:p>
    <w:p w14:paraId="077EE77F"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mythes de fondation</w:t>
      </w:r>
    </w:p>
    <w:p w14:paraId="2A83AD82"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espaces du sacré : des forêts sacrées aux pèlerinages</w:t>
      </w:r>
    </w:p>
    <w:p w14:paraId="18A41AD0"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cultes aux ancêtres et aux invisibles : zar, vodou, chamanisme…</w:t>
      </w:r>
    </w:p>
    <w:p w14:paraId="6AA55515"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La question du sacrifice</w:t>
      </w:r>
    </w:p>
    <w:p w14:paraId="63BDF752"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sociétés face à la mort</w:t>
      </w:r>
    </w:p>
    <w:p w14:paraId="09C5E5D3"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Saints et autres intercesseurs</w:t>
      </w:r>
    </w:p>
    <w:p w14:paraId="080E8BC0"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Prophétisme et messianisme</w:t>
      </w:r>
    </w:p>
    <w:p w14:paraId="3113EBC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449703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r w:rsidRPr="00525A1C">
        <w:rPr>
          <w:rFonts w:ascii="Cambria" w:hAnsi="Cambria"/>
          <w:iCs/>
          <w:sz w:val="22"/>
        </w:rPr>
        <w:t>Bibliographie</w:t>
      </w:r>
    </w:p>
    <w:p w14:paraId="70629A8F"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11D0631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Une bibliographie détaillée sera donnée avec la brochure. </w:t>
      </w:r>
    </w:p>
    <w:p w14:paraId="0275A4F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645B7F8"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En guise d’introduction on peut se référer :</w:t>
      </w:r>
    </w:p>
    <w:p w14:paraId="6BAFA00D"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 xml:space="preserve">à l’introduction par Henri </w:t>
      </w:r>
      <w:r w:rsidRPr="00525A1C">
        <w:rPr>
          <w:rFonts w:ascii="Cambria" w:hAnsi="Cambria"/>
          <w:b w:val="0"/>
          <w:iCs/>
          <w:smallCaps/>
          <w:sz w:val="22"/>
        </w:rPr>
        <w:t>Hubert</w:t>
      </w:r>
      <w:r w:rsidRPr="00525A1C">
        <w:rPr>
          <w:rFonts w:ascii="Cambria" w:hAnsi="Cambria"/>
          <w:b w:val="0"/>
          <w:iCs/>
          <w:sz w:val="22"/>
        </w:rPr>
        <w:t xml:space="preserve"> du Manuel d’histoire des religions paru en 1904 (accessible sur le net via Gallica)</w:t>
      </w:r>
    </w:p>
    <w:p w14:paraId="4B9C0656"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 xml:space="preserve">au chapitre introductif rédigé par A. </w:t>
      </w:r>
      <w:r w:rsidRPr="00525A1C">
        <w:rPr>
          <w:rFonts w:ascii="Cambria" w:hAnsi="Cambria"/>
          <w:b w:val="0"/>
          <w:iCs/>
          <w:smallCaps/>
          <w:sz w:val="22"/>
        </w:rPr>
        <w:t>Brelich</w:t>
      </w:r>
      <w:r w:rsidRPr="00525A1C">
        <w:rPr>
          <w:rFonts w:ascii="Cambria" w:hAnsi="Cambria"/>
          <w:b w:val="0"/>
          <w:iCs/>
          <w:sz w:val="22"/>
        </w:rPr>
        <w:t>, « Prolégomènes à une histoire des  religions » dans H.C. Puech (dir.), Histoire des religions, Bibliothèque de la Pléiade, t. 1, 1970 (accessible sur le net)</w:t>
      </w:r>
    </w:p>
    <w:p w14:paraId="3BABF59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EF8C43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Un dictionnaire de référence :</w:t>
      </w:r>
    </w:p>
    <w:p w14:paraId="388B8A0E"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Dictionnaire des faits religieux (R. </w:t>
      </w:r>
      <w:r w:rsidRPr="00525A1C">
        <w:rPr>
          <w:rFonts w:ascii="Cambria" w:hAnsi="Cambria"/>
          <w:b w:val="0"/>
          <w:iCs/>
          <w:smallCaps/>
          <w:sz w:val="22"/>
        </w:rPr>
        <w:t>Azria</w:t>
      </w:r>
      <w:r w:rsidRPr="00525A1C">
        <w:rPr>
          <w:rFonts w:ascii="Cambria" w:hAnsi="Cambria"/>
          <w:b w:val="0"/>
          <w:iCs/>
          <w:sz w:val="22"/>
        </w:rPr>
        <w:t xml:space="preserve">, D. </w:t>
      </w:r>
      <w:r w:rsidRPr="00525A1C">
        <w:rPr>
          <w:rFonts w:ascii="Cambria" w:hAnsi="Cambria"/>
          <w:b w:val="0"/>
          <w:iCs/>
          <w:smallCaps/>
          <w:sz w:val="22"/>
        </w:rPr>
        <w:t>Hervieu</w:t>
      </w:r>
      <w:r w:rsidRPr="00525A1C">
        <w:rPr>
          <w:rFonts w:ascii="Cambria" w:hAnsi="Cambria"/>
          <w:b w:val="0"/>
          <w:iCs/>
          <w:sz w:val="22"/>
        </w:rPr>
        <w:t>-</w:t>
      </w:r>
      <w:r w:rsidRPr="00525A1C">
        <w:rPr>
          <w:rFonts w:ascii="Cambria" w:hAnsi="Cambria"/>
          <w:b w:val="0"/>
          <w:iCs/>
          <w:smallCaps/>
          <w:sz w:val="22"/>
        </w:rPr>
        <w:t>Léger</w:t>
      </w:r>
      <w:r w:rsidRPr="00525A1C">
        <w:rPr>
          <w:rFonts w:ascii="Cambria" w:hAnsi="Cambria"/>
          <w:b w:val="0"/>
          <w:iCs/>
          <w:sz w:val="22"/>
        </w:rPr>
        <w:t xml:space="preserve"> dir.), Paris, PUF, 2010 (« Quadrige »)</w:t>
      </w:r>
    </w:p>
    <w:p w14:paraId="5C3C176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85A7581"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115A9A5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Premières lectures :</w:t>
      </w:r>
    </w:p>
    <w:p w14:paraId="5BE022EB"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A8825D"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Assmann</w:t>
      </w:r>
      <w:r w:rsidRPr="00525A1C">
        <w:rPr>
          <w:rFonts w:ascii="Cambria" w:hAnsi="Cambria"/>
          <w:b w:val="0"/>
          <w:iCs/>
          <w:sz w:val="22"/>
        </w:rPr>
        <w:t>, Jan, Moïse l’Égyptien, coll. Champs, Flammarion, 2003.</w:t>
      </w:r>
    </w:p>
    <w:p w14:paraId="1B9E005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Leiris,</w:t>
      </w:r>
      <w:r w:rsidRPr="00525A1C">
        <w:rPr>
          <w:rFonts w:ascii="Cambria" w:hAnsi="Cambria"/>
          <w:b w:val="0"/>
          <w:iCs/>
          <w:sz w:val="22"/>
        </w:rPr>
        <w:t xml:space="preserve"> Michel, Miroir de l’Afrique, Quarto, 1996 (les textes sur le culte des zar)</w:t>
      </w:r>
    </w:p>
    <w:p w14:paraId="177F687D"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kern w:val="36"/>
          <w:sz w:val="22"/>
        </w:rPr>
        <w:t>halbwachs,</w:t>
      </w:r>
      <w:r w:rsidRPr="00525A1C">
        <w:rPr>
          <w:rFonts w:ascii="Cambria" w:hAnsi="Cambria"/>
          <w:b w:val="0"/>
          <w:iCs/>
          <w:kern w:val="36"/>
          <w:sz w:val="22"/>
        </w:rPr>
        <w:t xml:space="preserve"> Maurice, La Topographie légendaire des Évangiles en Terre sainte. Étude de mémoire collective, </w:t>
      </w:r>
      <w:r w:rsidRPr="00525A1C">
        <w:rPr>
          <w:rFonts w:ascii="Cambria" w:hAnsi="Cambria"/>
          <w:b w:val="0"/>
          <w:iCs/>
          <w:smallCaps/>
          <w:sz w:val="22"/>
        </w:rPr>
        <w:t>puf</w:t>
      </w:r>
      <w:r w:rsidRPr="00525A1C">
        <w:rPr>
          <w:rFonts w:ascii="Cambria" w:hAnsi="Cambria"/>
          <w:b w:val="0"/>
          <w:iCs/>
          <w:sz w:val="22"/>
        </w:rPr>
        <w:t>, 2008 (« Quadrige »).</w:t>
      </w:r>
    </w:p>
    <w:p w14:paraId="0DD8525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Schmitt</w:t>
      </w:r>
      <w:r w:rsidRPr="00525A1C">
        <w:rPr>
          <w:rFonts w:ascii="Cambria" w:hAnsi="Cambria"/>
          <w:b w:val="0"/>
          <w:iCs/>
          <w:sz w:val="22"/>
        </w:rPr>
        <w:t>, Jean-Claude, Le saint lévrier. Guinefort, guérisseur d’enfants depuis le XIII</w:t>
      </w:r>
      <w:r w:rsidRPr="00525A1C">
        <w:rPr>
          <w:rFonts w:ascii="Cambria" w:hAnsi="Cambria"/>
          <w:b w:val="0"/>
          <w:iCs/>
          <w:sz w:val="22"/>
          <w:vertAlign w:val="superscript"/>
        </w:rPr>
        <w:t>e</w:t>
      </w:r>
      <w:r w:rsidRPr="00525A1C">
        <w:rPr>
          <w:rFonts w:ascii="Cambria" w:hAnsi="Cambria"/>
          <w:b w:val="0"/>
          <w:iCs/>
          <w:sz w:val="22"/>
        </w:rPr>
        <w:t xml:space="preserve"> siècle, Paris, Flammarion, 1979.</w:t>
      </w:r>
    </w:p>
    <w:p w14:paraId="3EDA84CE"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025A016"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E7B504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BC25C1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A5320E9"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2228CF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285F4E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8105B3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6873F8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D9C8731"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FB2D47"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DE37C78" w14:textId="77777777" w:rsidR="00C640C7" w:rsidRPr="00525A1C" w:rsidRDefault="00C640C7"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BB43CD"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34EBF50"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6A6B5D4"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4A0A099"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D545DE3"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CC39487"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1802FFE"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D1CE98" w14:textId="77777777" w:rsidR="00E846A1" w:rsidRPr="00525A1C" w:rsidRDefault="00E846A1" w:rsidP="00912DE3">
      <w:pPr>
        <w:tabs>
          <w:tab w:val="left" w:pos="6521"/>
        </w:tabs>
        <w:jc w:val="center"/>
        <w:rPr>
          <w:b w:val="0"/>
          <w:i/>
          <w:color w:val="333333" w:themeColor="text2" w:themeShade="BF"/>
          <w:sz w:val="28"/>
          <w:u w:val="single"/>
        </w:rPr>
      </w:pPr>
    </w:p>
    <w:p w14:paraId="7FC7B2B0" w14:textId="77777777" w:rsidR="00001F7A" w:rsidRPr="00525A1C" w:rsidRDefault="00001F7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1E3684F" w14:textId="0719885A" w:rsidR="00FB25F5" w:rsidRPr="001A2342" w:rsidRDefault="00FB25F5"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w:t>
      </w:r>
      <w:r w:rsidR="00E432B9" w:rsidRPr="001A2342">
        <w:rPr>
          <w:rFonts w:ascii="Cambria" w:hAnsi="Cambria"/>
          <w:iCs/>
          <w:color w:val="C00000"/>
          <w:sz w:val="28"/>
          <w:szCs w:val="28"/>
        </w:rPr>
        <w:t>14</w:t>
      </w:r>
      <w:r w:rsidR="001733C4" w:rsidRPr="001A2342">
        <w:rPr>
          <w:rFonts w:ascii="Cambria" w:hAnsi="Cambria"/>
          <w:iCs/>
          <w:color w:val="C00000"/>
          <w:sz w:val="28"/>
          <w:szCs w:val="28"/>
        </w:rPr>
        <w:t>925</w:t>
      </w:r>
      <w:r w:rsidRPr="001A2342">
        <w:rPr>
          <w:rFonts w:ascii="Cambria" w:hAnsi="Cambria"/>
          <w:iCs/>
          <w:color w:val="C00000"/>
          <w:sz w:val="28"/>
          <w:szCs w:val="28"/>
        </w:rPr>
        <w:t>/</w:t>
      </w:r>
      <w:r w:rsidR="003A2A36" w:rsidRPr="001A2342">
        <w:rPr>
          <w:rFonts w:ascii="Cambria" w:hAnsi="Cambria"/>
          <w:iCs/>
          <w:color w:val="C00000"/>
          <w:sz w:val="28"/>
          <w:szCs w:val="28"/>
        </w:rPr>
        <w:t>J301</w:t>
      </w:r>
      <w:r w:rsidR="00E432B9" w:rsidRPr="001A2342">
        <w:rPr>
          <w:rFonts w:ascii="Cambria" w:hAnsi="Cambria"/>
          <w:iCs/>
          <w:color w:val="C00000"/>
          <w:sz w:val="28"/>
          <w:szCs w:val="28"/>
        </w:rPr>
        <w:t>5025</w:t>
      </w:r>
      <w:r w:rsidR="003A2A36" w:rsidRPr="001A2342">
        <w:rPr>
          <w:rFonts w:ascii="Cambria" w:hAnsi="Cambria"/>
          <w:iCs/>
          <w:color w:val="C00000"/>
          <w:sz w:val="28"/>
          <w:szCs w:val="28"/>
        </w:rPr>
        <w:t> :</w:t>
      </w:r>
      <w:r w:rsidRPr="001A2342">
        <w:rPr>
          <w:rFonts w:ascii="Cambria" w:hAnsi="Cambria"/>
          <w:iCs/>
          <w:color w:val="C00000"/>
          <w:sz w:val="28"/>
          <w:szCs w:val="28"/>
        </w:rPr>
        <w:t xml:space="preserve"> </w:t>
      </w:r>
      <w:r w:rsidR="00E432B9" w:rsidRPr="001A2342">
        <w:rPr>
          <w:rFonts w:ascii="Cambria" w:hAnsi="Cambria"/>
          <w:iCs/>
          <w:color w:val="C00000"/>
          <w:sz w:val="28"/>
          <w:szCs w:val="28"/>
        </w:rPr>
        <w:t xml:space="preserve">Anthropologie, culture matérielle et pratiques de l’écrit dans l’Occident médiéval </w:t>
      </w:r>
    </w:p>
    <w:p w14:paraId="3C259F5A" w14:textId="77777777" w:rsidR="00FB25F5" w:rsidRPr="001A2342" w:rsidRDefault="00FB25F5"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C00000"/>
          <w:sz w:val="28"/>
          <w:szCs w:val="28"/>
        </w:rPr>
      </w:pPr>
    </w:p>
    <w:p w14:paraId="0A5F14E4" w14:textId="54325310" w:rsidR="00FB25F5" w:rsidRPr="00525A1C" w:rsidRDefault="00CA0A6C"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outlineLvl w:val="0"/>
        <w:rPr>
          <w:rFonts w:ascii="Cambria" w:hAnsi="Cambria" w:cs="Times New Roman"/>
          <w:iCs/>
          <w:sz w:val="22"/>
        </w:rPr>
      </w:pPr>
      <w:r w:rsidRPr="00525A1C">
        <w:rPr>
          <w:rFonts w:ascii="Cambria" w:hAnsi="Cambria" w:cs="Times New Roman"/>
          <w:iCs/>
          <w:sz w:val="22"/>
        </w:rPr>
        <w:t>Louis Genton (</w:t>
      </w:r>
      <w:r w:rsidR="007A0134" w:rsidRPr="00525A1C">
        <w:rPr>
          <w:rFonts w:ascii="Cambria" w:hAnsi="Cambria" w:cs="Times New Roman"/>
          <w:iCs/>
          <w:sz w:val="22"/>
        </w:rPr>
        <w:t>S</w:t>
      </w:r>
      <w:r w:rsidR="002D4284" w:rsidRPr="00525A1C">
        <w:rPr>
          <w:rFonts w:ascii="Cambria" w:hAnsi="Cambria" w:cs="Times New Roman"/>
          <w:iCs/>
          <w:sz w:val="22"/>
        </w:rPr>
        <w:t>1</w:t>
      </w:r>
      <w:r w:rsidR="007A0134" w:rsidRPr="00525A1C">
        <w:rPr>
          <w:rFonts w:ascii="Cambria" w:hAnsi="Cambria" w:cs="Times New Roman"/>
          <w:iCs/>
          <w:sz w:val="22"/>
        </w:rPr>
        <w:t>)</w:t>
      </w:r>
      <w:r w:rsidR="000352FB" w:rsidRPr="00525A1C">
        <w:rPr>
          <w:rFonts w:ascii="Cambria" w:hAnsi="Cambria" w:cs="Times New Roman"/>
          <w:iCs/>
          <w:sz w:val="22"/>
        </w:rPr>
        <w:t xml:space="preserve"> </w:t>
      </w:r>
      <w:r w:rsidR="002D4284" w:rsidRPr="00525A1C">
        <w:rPr>
          <w:rFonts w:ascii="Cambria" w:hAnsi="Cambria" w:cs="Times New Roman"/>
          <w:iCs/>
          <w:sz w:val="22"/>
        </w:rPr>
        <w:t>et Florian Mazel (S2)</w:t>
      </w:r>
    </w:p>
    <w:p w14:paraId="31BE683D" w14:textId="77777777" w:rsidR="00993E92" w:rsidRPr="00525A1C" w:rsidRDefault="00993E92" w:rsidP="003161B4">
      <w:pPr>
        <w:spacing w:after="0" w:line="240" w:lineRule="auto"/>
        <w:rPr>
          <w:rFonts w:ascii="Cambria" w:eastAsia="Calibri" w:hAnsi="Cambria" w:cs="Times New Roman"/>
          <w:iCs/>
          <w:color w:val="8F8F8F" w:themeColor="text2" w:themeTint="99"/>
          <w:kern w:val="0"/>
          <w:sz w:val="22"/>
          <w:lang w:eastAsia="fr-FR"/>
        </w:rPr>
      </w:pPr>
    </w:p>
    <w:p w14:paraId="551A2C8F" w14:textId="77777777" w:rsidR="00736FEF" w:rsidRPr="00525A1C" w:rsidRDefault="00736FEF" w:rsidP="003161B4">
      <w:pPr>
        <w:spacing w:after="0" w:line="240" w:lineRule="auto"/>
        <w:rPr>
          <w:rFonts w:ascii="Cambria" w:eastAsia="Calibri" w:hAnsi="Cambria" w:cs="Times New Roman"/>
          <w:iCs/>
          <w:color w:val="8F8F8F" w:themeColor="text2" w:themeTint="99"/>
          <w:kern w:val="0"/>
          <w:sz w:val="22"/>
          <w:lang w:eastAsia="fr-FR"/>
        </w:rPr>
      </w:pPr>
    </w:p>
    <w:p w14:paraId="7DF6C102" w14:textId="7907B131" w:rsidR="00736FEF" w:rsidRPr="001A2342" w:rsidRDefault="00736FEF" w:rsidP="000A6A40">
      <w:pPr>
        <w:spacing w:after="0" w:line="240" w:lineRule="auto"/>
        <w:rPr>
          <w:rFonts w:ascii="Cambria" w:eastAsia="Calibri" w:hAnsi="Cambria" w:cs="Times New Roman"/>
          <w:iCs/>
          <w:color w:val="C00000"/>
          <w:kern w:val="0"/>
          <w:sz w:val="22"/>
          <w:lang w:eastAsia="fr-FR"/>
        </w:rPr>
      </w:pPr>
      <w:r w:rsidRPr="001A2342">
        <w:rPr>
          <w:rFonts w:ascii="Cambria" w:eastAsia="Calibri" w:hAnsi="Cambria" w:cs="Times New Roman"/>
          <w:iCs/>
          <w:color w:val="C00000"/>
          <w:kern w:val="0"/>
          <w:sz w:val="22"/>
          <w:u w:val="single"/>
          <w:lang w:eastAsia="fr-FR"/>
        </w:rPr>
        <w:t>Sujet du cours S1</w:t>
      </w:r>
      <w:r w:rsidRPr="001A2342">
        <w:rPr>
          <w:rFonts w:ascii="Cambria" w:eastAsia="Calibri" w:hAnsi="Cambria" w:cs="Times New Roman"/>
          <w:iCs/>
          <w:color w:val="C00000"/>
          <w:kern w:val="0"/>
          <w:sz w:val="22"/>
          <w:lang w:eastAsia="fr-FR"/>
        </w:rPr>
        <w:t> : Du parcheminier à l’archiviste : la matérialité du document médiéval</w:t>
      </w:r>
    </w:p>
    <w:p w14:paraId="7E5756F8" w14:textId="77777777" w:rsidR="00736FEF" w:rsidRPr="00525A1C" w:rsidRDefault="00736FEF" w:rsidP="000A6A40">
      <w:pPr>
        <w:spacing w:after="0" w:line="240" w:lineRule="auto"/>
        <w:rPr>
          <w:rFonts w:ascii="Cambria" w:eastAsia="Calibri" w:hAnsi="Cambria" w:cs="Times New Roman"/>
          <w:iCs/>
          <w:color w:val="8F8F8F" w:themeColor="text2" w:themeTint="99"/>
          <w:kern w:val="0"/>
          <w:sz w:val="22"/>
          <w:lang w:eastAsia="fr-FR"/>
        </w:rPr>
      </w:pPr>
    </w:p>
    <w:p w14:paraId="77B06200" w14:textId="6E3AA3B4" w:rsidR="00736FEF" w:rsidRPr="00525A1C" w:rsidRDefault="00736FEF" w:rsidP="00736FEF">
      <w:pPr>
        <w:spacing w:after="0" w:line="240" w:lineRule="auto"/>
        <w:jc w:val="both"/>
        <w:rPr>
          <w:rFonts w:ascii="Cambria" w:eastAsia="Calibri" w:hAnsi="Cambria" w:cs="Times New Roman"/>
          <w:iCs/>
          <w:kern w:val="0"/>
          <w:sz w:val="22"/>
          <w:lang w:eastAsia="fr-FR"/>
        </w:rPr>
      </w:pPr>
      <w:r w:rsidRPr="00525A1C">
        <w:rPr>
          <w:rFonts w:ascii="Cambria" w:eastAsia="Calibri" w:hAnsi="Cambria" w:cs="Times New Roman"/>
          <w:b w:val="0"/>
          <w:iCs/>
          <w:kern w:val="0"/>
          <w:sz w:val="22"/>
          <w:lang w:eastAsia="en-US"/>
        </w:rPr>
        <w:t xml:space="preserve">On se consacrera durant ce semestre à l’étude des conditions de production des documents médiévaux les considérant comme des objets fabriqués à l’aide de moyens techniques (il y a une technologie de l’écriture). Les supports (pierre, parchemin, papier, ardoises, écorces) dans toute leur diversité de même que les moyens de conservation utilisés afin de les transmettre. Les formes choisies (rouleaux, cahiers, registres, feuillets séparés) seront également </w:t>
      </w:r>
      <w:r w:rsidR="00110943" w:rsidRPr="00525A1C">
        <w:rPr>
          <w:rFonts w:ascii="Cambria" w:eastAsia="Calibri" w:hAnsi="Cambria" w:cs="Times New Roman"/>
          <w:b w:val="0"/>
          <w:iCs/>
          <w:kern w:val="0"/>
          <w:sz w:val="22"/>
          <w:lang w:eastAsia="en-US"/>
        </w:rPr>
        <w:t>considérées</w:t>
      </w:r>
      <w:r w:rsidRPr="00525A1C">
        <w:rPr>
          <w:rFonts w:ascii="Cambria" w:eastAsia="Calibri" w:hAnsi="Cambria" w:cs="Times New Roman"/>
          <w:b w:val="0"/>
          <w:iCs/>
          <w:kern w:val="0"/>
          <w:sz w:val="22"/>
          <w:lang w:eastAsia="en-US"/>
        </w:rPr>
        <w:t>.</w:t>
      </w:r>
    </w:p>
    <w:p w14:paraId="659C17D7"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304B86CC"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5C7F04F8"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r w:rsidRPr="00525A1C">
        <w:rPr>
          <w:rFonts w:ascii="Cambria" w:eastAsia="Calibri" w:hAnsi="Cambria" w:cs="Times New Roman"/>
          <w:iCs/>
          <w:kern w:val="0"/>
          <w:sz w:val="22"/>
          <w:lang w:eastAsia="fr-FR"/>
        </w:rPr>
        <w:t>Bibliographie :</w:t>
      </w:r>
    </w:p>
    <w:p w14:paraId="0FEE752A"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4A118248"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P. </w:t>
      </w:r>
      <w:r w:rsidRPr="00525A1C">
        <w:rPr>
          <w:rFonts w:ascii="Cambria" w:eastAsia="Calibri" w:hAnsi="Cambria" w:cs="Times New Roman"/>
          <w:b w:val="0"/>
          <w:iCs/>
          <w:smallCaps/>
          <w:kern w:val="0"/>
          <w:sz w:val="22"/>
          <w:lang w:eastAsia="en-US"/>
        </w:rPr>
        <w:t>Bertrand</w:t>
      </w:r>
      <w:r w:rsidRPr="00525A1C">
        <w:rPr>
          <w:rFonts w:ascii="Cambria" w:eastAsia="Calibri" w:hAnsi="Cambria" w:cs="Times New Roman"/>
          <w:b w:val="0"/>
          <w:iCs/>
          <w:kern w:val="0"/>
          <w:sz w:val="22"/>
          <w:lang w:eastAsia="en-US"/>
        </w:rPr>
        <w:t>, Les écritures ordinaires. Sociologie d'un temps de révolution documentaire (1250-1350), Paris, 2015.</w:t>
      </w:r>
    </w:p>
    <w:p w14:paraId="1CBFDC93"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P. </w:t>
      </w:r>
      <w:r w:rsidRPr="00525A1C">
        <w:rPr>
          <w:rFonts w:ascii="Cambria" w:eastAsia="Calibri" w:hAnsi="Cambria" w:cs="Times New Roman"/>
          <w:b w:val="0"/>
          <w:iCs/>
          <w:smallCaps/>
          <w:kern w:val="0"/>
          <w:sz w:val="22"/>
          <w:lang w:eastAsia="en-US"/>
        </w:rPr>
        <w:t>Cammarosano</w:t>
      </w:r>
      <w:r w:rsidRPr="00525A1C">
        <w:rPr>
          <w:rFonts w:ascii="Cambria" w:eastAsia="Calibri" w:hAnsi="Cambria" w:cs="Times New Roman"/>
          <w:b w:val="0"/>
          <w:iCs/>
          <w:kern w:val="0"/>
          <w:sz w:val="22"/>
          <w:lang w:eastAsia="en-US"/>
        </w:rPr>
        <w:t xml:space="preserve">, Italia medievale. Struttura e geografia delle fonti scritte, Rome, 1991. </w:t>
      </w:r>
    </w:p>
    <w:p w14:paraId="077DB3C5"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val="en-US" w:eastAsia="en-US"/>
        </w:rPr>
        <w:t xml:space="preserve">M. </w:t>
      </w:r>
      <w:r w:rsidRPr="00525A1C">
        <w:rPr>
          <w:rFonts w:ascii="Cambria" w:eastAsia="Calibri" w:hAnsi="Cambria" w:cs="Times New Roman"/>
          <w:b w:val="0"/>
          <w:iCs/>
          <w:smallCaps/>
          <w:kern w:val="0"/>
          <w:sz w:val="22"/>
          <w:lang w:val="en-US" w:eastAsia="en-US"/>
        </w:rPr>
        <w:t>Clanchy</w:t>
      </w:r>
      <w:r w:rsidRPr="00525A1C">
        <w:rPr>
          <w:rFonts w:ascii="Cambria" w:eastAsia="Calibri" w:hAnsi="Cambria" w:cs="Times New Roman"/>
          <w:b w:val="0"/>
          <w:iCs/>
          <w:kern w:val="0"/>
          <w:sz w:val="22"/>
          <w:lang w:val="en-US" w:eastAsia="en-US"/>
        </w:rPr>
        <w:t xml:space="preserve">, From Memory to Written Record. </w:t>
      </w:r>
      <w:r w:rsidRPr="00525A1C">
        <w:rPr>
          <w:rFonts w:ascii="Cambria" w:eastAsia="Calibri" w:hAnsi="Cambria" w:cs="Times New Roman"/>
          <w:b w:val="0"/>
          <w:iCs/>
          <w:kern w:val="0"/>
          <w:sz w:val="22"/>
          <w:lang w:eastAsia="en-US"/>
        </w:rPr>
        <w:t>England, 1066-1307, Londres, 1979.</w:t>
      </w:r>
    </w:p>
    <w:p w14:paraId="7C66412A"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J. </w:t>
      </w:r>
      <w:r w:rsidRPr="00525A1C">
        <w:rPr>
          <w:rFonts w:ascii="Cambria" w:eastAsia="Calibri" w:hAnsi="Cambria" w:cs="Times New Roman"/>
          <w:b w:val="0"/>
          <w:iCs/>
          <w:smallCaps/>
          <w:kern w:val="0"/>
          <w:sz w:val="22"/>
          <w:lang w:eastAsia="en-US"/>
        </w:rPr>
        <w:t>Goody</w:t>
      </w:r>
      <w:r w:rsidRPr="00525A1C">
        <w:rPr>
          <w:rFonts w:ascii="Cambria" w:eastAsia="Calibri" w:hAnsi="Cambria" w:cs="Times New Roman"/>
          <w:b w:val="0"/>
          <w:iCs/>
          <w:kern w:val="0"/>
          <w:sz w:val="22"/>
          <w:lang w:eastAsia="en-US"/>
        </w:rPr>
        <w:t xml:space="preserve">, La raison graphique. La domestication de la pensée sauvage, Paris, 1979. </w:t>
      </w:r>
    </w:p>
    <w:p w14:paraId="79DED5BA" w14:textId="77777777" w:rsidR="00736FEF" w:rsidRPr="00525A1C" w:rsidRDefault="00736FEF" w:rsidP="00736FEF">
      <w:pPr>
        <w:autoSpaceDE w:val="0"/>
        <w:autoSpaceDN w:val="0"/>
        <w:adjustRightInd w:val="0"/>
        <w:spacing w:after="0" w:line="240" w:lineRule="auto"/>
        <w:ind w:left="720" w:right="-720" w:hanging="720"/>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 </w:t>
      </w:r>
    </w:p>
    <w:p w14:paraId="6C84BC82" w14:textId="77777777" w:rsidR="00993E92" w:rsidRPr="00525A1C" w:rsidRDefault="00993E92" w:rsidP="00736FEF">
      <w:pPr>
        <w:spacing w:after="0" w:line="240" w:lineRule="auto"/>
        <w:rPr>
          <w:rFonts w:ascii="Cambria" w:eastAsia="Calibri" w:hAnsi="Cambria" w:cs="Times New Roman"/>
          <w:iCs/>
          <w:color w:val="8F8F8F" w:themeColor="text2" w:themeTint="99"/>
          <w:kern w:val="0"/>
          <w:sz w:val="22"/>
          <w:lang w:eastAsia="fr-FR"/>
        </w:rPr>
      </w:pPr>
    </w:p>
    <w:p w14:paraId="7D842712" w14:textId="1A07A7EC" w:rsidR="00CF56C3" w:rsidRPr="001A2342" w:rsidRDefault="00CF56C3"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outlineLvl w:val="0"/>
        <w:rPr>
          <w:rFonts w:ascii="Cambria" w:hAnsi="Cambria" w:cs="Times New Roman"/>
          <w:color w:val="C00000"/>
          <w:sz w:val="22"/>
        </w:rPr>
      </w:pPr>
      <w:r w:rsidRPr="001A2342">
        <w:rPr>
          <w:rFonts w:ascii="Cambria" w:hAnsi="Cambria" w:cs="Times New Roman"/>
          <w:color w:val="C00000"/>
          <w:sz w:val="22"/>
          <w:u w:val="single"/>
        </w:rPr>
        <w:t>Sujet du cours S2</w:t>
      </w:r>
      <w:r w:rsidRPr="001A2342">
        <w:rPr>
          <w:rFonts w:ascii="Cambria" w:hAnsi="Cambria" w:cs="Times New Roman"/>
          <w:color w:val="C00000"/>
          <w:sz w:val="22"/>
        </w:rPr>
        <w:t xml:space="preserve"> : Sources, traces, indices. </w:t>
      </w:r>
      <w:r w:rsidR="001A2342">
        <w:rPr>
          <w:rFonts w:ascii="Cambria" w:hAnsi="Cambria" w:cs="Times New Roman"/>
          <w:color w:val="C00000"/>
          <w:sz w:val="22"/>
        </w:rPr>
        <w:t xml:space="preserve"> </w:t>
      </w:r>
      <w:r w:rsidRPr="001A2342">
        <w:rPr>
          <w:rFonts w:ascii="Cambria" w:hAnsi="Cambria" w:cs="Times New Roman"/>
          <w:color w:val="C00000"/>
          <w:sz w:val="22"/>
        </w:rPr>
        <w:t>Introduction à la documentation écrite du Moyen Âge</w:t>
      </w:r>
      <w:r w:rsidR="008346AF" w:rsidRPr="001A2342">
        <w:rPr>
          <w:rFonts w:ascii="Cambria" w:hAnsi="Cambria" w:cs="Times New Roman"/>
          <w:color w:val="C00000"/>
          <w:sz w:val="22"/>
        </w:rPr>
        <w:t xml:space="preserve"> latin </w:t>
      </w:r>
    </w:p>
    <w:p w14:paraId="51DBDFD7" w14:textId="77777777" w:rsidR="00CF56C3" w:rsidRPr="00525A1C" w:rsidRDefault="00CF56C3" w:rsidP="00CF5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rPr>
      </w:pPr>
    </w:p>
    <w:p w14:paraId="35B80CCA"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Depuis une trentaine d’années, tant les anthropologues que les historiens ont entrepris de s’interroger sur le sens social du recours à l’écriture, au-delà du schéma opposant écrit et oral. Pour ce qui est des médiévistes, la question est d’autant plus cruciale que la société médiévale 1) n’est accessible qu’indirectement, essentiellement par l’intermédiaire des documents écrits (plus secondairement figurés ou matériels) ; 2) a fait de la culture écrite un enjeu de domination sociale ; et 3) a vu se diffuser voire apparaître diverses techniques devenues banales (le livre, le papier, l’écriture minuscule, l’imprimerie) mais liées à des besoins de production écrite importante et de moyens de repérage et d’ordonnancement essentiels au fonctionnement de la société et des pouvoirs.</w:t>
      </w:r>
    </w:p>
    <w:p w14:paraId="70CF7AEB"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L’ensemble des procédures qui s’intercalent entre la société étudiée et l’historien – production écrite, conservation, archivage et classement, édition – fait désormais l’objet de réflexions passionnantes, destinées à répondre à la question, moins évidente qu’il n’y paraît : pourquoi avons-nous des sources ? L’enjeu est tout simplement d’apprendre à utiliser les documents médiévaux, non pas tant du point de vue technique (assuré par les cours de paléographie et de langues médiévales) que du point de vue du rapport entre ces documents et la société qui les a produits et laissés.</w:t>
      </w:r>
    </w:p>
    <w:p w14:paraId="62AB8BE5"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En s’appuyant sur des exemples précis, le cours se propose ainsi de montrer la place et le rôle de l’écrit durant le Moyen Âge : rare durant le haut Moyen Âge où lecture et écriture sont un quasi-monopole de l’Église, l’écrit devient central dès la fin du XII</w:t>
      </w:r>
      <w:r w:rsidRPr="00525A1C">
        <w:rPr>
          <w:rFonts w:ascii="Cambria" w:hAnsi="Cambria" w:cs="Times New Roman"/>
          <w:b w:val="0"/>
          <w:sz w:val="22"/>
          <w:vertAlign w:val="superscript"/>
        </w:rPr>
        <w:t>e</w:t>
      </w:r>
      <w:r w:rsidRPr="00525A1C">
        <w:rPr>
          <w:rFonts w:ascii="Cambria" w:hAnsi="Cambria" w:cs="Times New Roman"/>
          <w:b w:val="0"/>
          <w:sz w:val="22"/>
        </w:rPr>
        <w:t xml:space="preserve"> siècle, au moment où se développent les procédures d’archivage et de consultation de la documentation produite au fur et à mesure que croissent les besoins des gouvernants – qu’il s’agisse des rois ou des papes, des princes territoriaux ou des « cités-États ». Le cours présentera également les chemins que prend actuellement la réflexion sur les sources et sur leur critique, qui fait apparaître l’importance des filtres tant archivistiques qu’intellectuels qui s’interposent entre la production écrite médiévale et notre utilisation actuelle.</w:t>
      </w:r>
    </w:p>
    <w:p w14:paraId="6A22BA36"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lang w:val="it-IT"/>
        </w:rPr>
      </w:pPr>
    </w:p>
    <w:p w14:paraId="514EAAA5"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lang w:val="it-IT"/>
        </w:rPr>
      </w:pPr>
      <w:r w:rsidRPr="00525A1C">
        <w:rPr>
          <w:rFonts w:ascii="Cambria" w:hAnsi="Cambria" w:cs="Times New Roman"/>
          <w:sz w:val="22"/>
          <w:lang w:val="it-IT"/>
        </w:rPr>
        <w:t>Orientation bibliographique :</w:t>
      </w:r>
    </w:p>
    <w:p w14:paraId="51F54D8A"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lang w:val="it-IT"/>
        </w:rPr>
      </w:pPr>
    </w:p>
    <w:p w14:paraId="4AAC798E"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Une introduction sous l’angle anthropologique : J. </w:t>
      </w:r>
      <w:r w:rsidRPr="00525A1C">
        <w:rPr>
          <w:rFonts w:ascii="Cambria" w:hAnsi="Cambria" w:cs="Times New Roman"/>
          <w:b w:val="0"/>
          <w:smallCaps/>
          <w:sz w:val="22"/>
        </w:rPr>
        <w:t>Goody</w:t>
      </w:r>
      <w:r w:rsidRPr="00525A1C">
        <w:rPr>
          <w:rFonts w:ascii="Cambria" w:hAnsi="Cambria" w:cs="Times New Roman"/>
          <w:b w:val="0"/>
          <w:sz w:val="22"/>
        </w:rPr>
        <w:t xml:space="preserve">, </w:t>
      </w:r>
      <w:r w:rsidRPr="00525A1C">
        <w:rPr>
          <w:rFonts w:ascii="Cambria" w:hAnsi="Cambria" w:cs="Times New Roman"/>
          <w:b w:val="0"/>
          <w:i/>
          <w:sz w:val="22"/>
        </w:rPr>
        <w:t>La raison graphique. La domestication de la pensée sauvage</w:t>
      </w:r>
      <w:r w:rsidRPr="00525A1C">
        <w:rPr>
          <w:rFonts w:ascii="Cambria" w:hAnsi="Cambria" w:cs="Times New Roman"/>
          <w:b w:val="0"/>
          <w:sz w:val="22"/>
        </w:rPr>
        <w:t>, Paris, Minuit, 1979 (1</w:t>
      </w:r>
      <w:r w:rsidRPr="00525A1C">
        <w:rPr>
          <w:rFonts w:ascii="Cambria" w:hAnsi="Cambria" w:cs="Times New Roman"/>
          <w:b w:val="0"/>
          <w:sz w:val="22"/>
          <w:vertAlign w:val="superscript"/>
        </w:rPr>
        <w:t>e</w:t>
      </w:r>
      <w:r w:rsidRPr="00525A1C">
        <w:rPr>
          <w:rFonts w:ascii="Cambria" w:hAnsi="Cambria" w:cs="Times New Roman"/>
          <w:b w:val="0"/>
          <w:sz w:val="22"/>
        </w:rPr>
        <w:t xml:space="preserve"> éd. anglaise 1977). </w:t>
      </w:r>
    </w:p>
    <w:p w14:paraId="55C00EEE"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Une introduction sous l’angle typologique : O.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Livre de Poche, 1998.</w:t>
      </w:r>
    </w:p>
    <w:p w14:paraId="4409B234"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sz w:val="22"/>
        </w:rPr>
      </w:pPr>
      <w:r w:rsidRPr="00525A1C">
        <w:rPr>
          <w:rFonts w:ascii="Cambria" w:hAnsi="Cambria" w:cs="Times New Roman"/>
          <w:b w:val="0"/>
          <w:sz w:val="22"/>
        </w:rPr>
        <w:t xml:space="preserve">Une réflexion stimulante : C. </w:t>
      </w:r>
      <w:r w:rsidRPr="00525A1C">
        <w:rPr>
          <w:rFonts w:ascii="Cambria" w:hAnsi="Cambria" w:cs="Times New Roman"/>
          <w:b w:val="0"/>
          <w:smallCaps/>
          <w:sz w:val="22"/>
        </w:rPr>
        <w:t>Ginzburg</w:t>
      </w:r>
      <w:r w:rsidRPr="00525A1C">
        <w:rPr>
          <w:rFonts w:ascii="Cambria" w:hAnsi="Cambria" w:cs="Times New Roman"/>
          <w:b w:val="0"/>
          <w:i/>
          <w:sz w:val="22"/>
        </w:rPr>
        <w:t xml:space="preserve">, « Signes, Traces, Pistes – Racines d’un paradigme de l’indice », </w:t>
      </w:r>
      <w:r w:rsidRPr="00525A1C">
        <w:rPr>
          <w:rFonts w:ascii="Cambria" w:hAnsi="Cambria" w:cs="Times New Roman"/>
          <w:b w:val="0"/>
          <w:i/>
          <w:iCs/>
          <w:sz w:val="22"/>
        </w:rPr>
        <w:t>Le Débat</w:t>
      </w:r>
      <w:r w:rsidRPr="00525A1C">
        <w:rPr>
          <w:rFonts w:ascii="Cambria" w:hAnsi="Cambria" w:cs="Times New Roman"/>
          <w:b w:val="0"/>
          <w:i/>
          <w:sz w:val="22"/>
        </w:rPr>
        <w:t>, n° 6, 1980, p. 3-44.</w:t>
      </w:r>
    </w:p>
    <w:p w14:paraId="43064464"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sz w:val="22"/>
        </w:rPr>
      </w:pPr>
    </w:p>
    <w:p w14:paraId="627A7F73"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sz w:val="22"/>
        </w:rPr>
        <w:t>Auctor et auctoritas. Invention et conformisme dans l’écriture médiévale</w:t>
      </w:r>
      <w:r w:rsidRPr="00525A1C">
        <w:rPr>
          <w:rFonts w:ascii="Cambria" w:hAnsi="Cambria" w:cs="Times New Roman"/>
          <w:b w:val="0"/>
          <w:sz w:val="22"/>
        </w:rPr>
        <w:t>, dir. M. Zimmermann, Paris, Ecole des Chartes, 2001.</w:t>
      </w:r>
    </w:p>
    <w:p w14:paraId="107857CA" w14:textId="77777777" w:rsidR="008346AF" w:rsidRPr="00525A1C" w:rsidRDefault="008346AF" w:rsidP="008346AF">
      <w:pPr>
        <w:autoSpaceDE w:val="0"/>
        <w:autoSpaceDN w:val="0"/>
        <w:adjustRightInd w:val="0"/>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 </w:t>
      </w:r>
      <w:r w:rsidRPr="00525A1C">
        <w:rPr>
          <w:rFonts w:ascii="Cambria" w:eastAsia="Calibri" w:hAnsi="Cambria" w:cs="Times New Roman"/>
          <w:b w:val="0"/>
          <w:smallCaps/>
          <w:kern w:val="0"/>
          <w:sz w:val="22"/>
          <w:lang w:eastAsia="en-US"/>
        </w:rPr>
        <w:t>Bertrand</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iCs/>
          <w:kern w:val="0"/>
          <w:sz w:val="22"/>
          <w:lang w:eastAsia="en-US"/>
        </w:rPr>
        <w:t xml:space="preserve">Les écritures ordinaires. Sociologie d'un temps de révolution documentaire (1250-1350), </w:t>
      </w:r>
      <w:r w:rsidRPr="00525A1C">
        <w:rPr>
          <w:rFonts w:ascii="Cambria" w:eastAsia="Calibri" w:hAnsi="Cambria" w:cs="Times New Roman"/>
          <w:b w:val="0"/>
          <w:kern w:val="0"/>
          <w:sz w:val="22"/>
          <w:lang w:eastAsia="en-US"/>
        </w:rPr>
        <w:t>Paris, 2015.</w:t>
      </w:r>
    </w:p>
    <w:p w14:paraId="73CCA145" w14:textId="77777777" w:rsidR="008346AF" w:rsidRPr="00525A1C" w:rsidRDefault="008346AF" w:rsidP="008346AF">
      <w:pPr>
        <w:autoSpaceDE w:val="0"/>
        <w:autoSpaceDN w:val="0"/>
        <w:adjustRightInd w:val="0"/>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 </w:t>
      </w:r>
      <w:r w:rsidRPr="00525A1C">
        <w:rPr>
          <w:rFonts w:ascii="Cambria" w:eastAsia="Calibri" w:hAnsi="Cambria" w:cs="Times New Roman"/>
          <w:b w:val="0"/>
          <w:smallCaps/>
          <w:kern w:val="0"/>
          <w:sz w:val="22"/>
          <w:lang w:eastAsia="en-US"/>
        </w:rPr>
        <w:t>Cammarosano</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iCs/>
          <w:kern w:val="0"/>
          <w:sz w:val="22"/>
          <w:lang w:eastAsia="en-US"/>
        </w:rPr>
        <w:t xml:space="preserve">Italia medievale. Struttura e geografia delle fonti scritte, </w:t>
      </w:r>
      <w:r w:rsidRPr="00525A1C">
        <w:rPr>
          <w:rFonts w:ascii="Cambria" w:eastAsia="Calibri" w:hAnsi="Cambria" w:cs="Times New Roman"/>
          <w:b w:val="0"/>
          <w:kern w:val="0"/>
          <w:sz w:val="22"/>
          <w:lang w:eastAsia="en-US"/>
        </w:rPr>
        <w:t xml:space="preserve">Rome, 1991. </w:t>
      </w:r>
    </w:p>
    <w:p w14:paraId="0C53B973"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 xml:space="preserve">P. </w:t>
      </w:r>
      <w:r w:rsidRPr="00525A1C">
        <w:rPr>
          <w:rFonts w:ascii="Cambria" w:eastAsia="Calibri" w:hAnsi="Cambria" w:cs="Times New Roman"/>
          <w:b w:val="0"/>
          <w:smallCaps/>
          <w:kern w:val="0"/>
          <w:sz w:val="22"/>
          <w:lang w:eastAsia="en-US"/>
        </w:rPr>
        <w:t>Chastang</w:t>
      </w:r>
      <w:r w:rsidRPr="00525A1C">
        <w:rPr>
          <w:rFonts w:ascii="Cambria" w:hAnsi="Cambria" w:cs="Times New Roman"/>
          <w:b w:val="0"/>
          <w:sz w:val="22"/>
        </w:rPr>
        <w:t xml:space="preserve">, </w:t>
      </w:r>
      <w:r w:rsidRPr="00525A1C">
        <w:rPr>
          <w:rFonts w:ascii="Cambria" w:hAnsi="Cambria" w:cs="Times New Roman"/>
          <w:b w:val="0"/>
          <w:i/>
          <w:sz w:val="22"/>
        </w:rPr>
        <w:t>Lire, écrire, transcrire. Le travail des rédacteurs de cartulaires en Bas-Languedoc (XIe-XIIIe siècles)</w:t>
      </w:r>
      <w:r w:rsidRPr="00525A1C">
        <w:rPr>
          <w:rFonts w:ascii="Cambria" w:hAnsi="Cambria" w:cs="Times New Roman"/>
          <w:b w:val="0"/>
          <w:sz w:val="22"/>
        </w:rPr>
        <w:t>, Paris, CTHS, 2001.</w:t>
      </w:r>
    </w:p>
    <w:p w14:paraId="02FE1B1E"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lang w:val="en-US"/>
        </w:rPr>
      </w:pPr>
      <w:r w:rsidRPr="00525A1C">
        <w:rPr>
          <w:rFonts w:ascii="Cambria" w:hAnsi="Cambria" w:cs="Times New Roman"/>
          <w:b w:val="0"/>
          <w:sz w:val="22"/>
          <w:lang w:val="en-GB"/>
        </w:rPr>
        <w:t>M. </w:t>
      </w:r>
      <w:r w:rsidRPr="00525A1C">
        <w:rPr>
          <w:rFonts w:ascii="Cambria" w:eastAsia="Calibri" w:hAnsi="Cambria" w:cs="Times New Roman"/>
          <w:b w:val="0"/>
          <w:smallCaps/>
          <w:kern w:val="0"/>
          <w:sz w:val="22"/>
          <w:lang w:val="en-US" w:eastAsia="en-US"/>
        </w:rPr>
        <w:t>Clanchy</w:t>
      </w:r>
      <w:r w:rsidRPr="00525A1C">
        <w:rPr>
          <w:rFonts w:ascii="Cambria" w:hAnsi="Cambria" w:cs="Times New Roman"/>
          <w:b w:val="0"/>
          <w:sz w:val="22"/>
          <w:lang w:val="en-GB"/>
        </w:rPr>
        <w:t xml:space="preserve">, </w:t>
      </w:r>
      <w:r w:rsidRPr="00525A1C">
        <w:rPr>
          <w:rFonts w:ascii="Cambria" w:hAnsi="Cambria" w:cs="Times New Roman"/>
          <w:b w:val="0"/>
          <w:i/>
          <w:iCs/>
          <w:sz w:val="22"/>
          <w:lang w:val="en-GB"/>
        </w:rPr>
        <w:t xml:space="preserve">From Memory to Written Record. </w:t>
      </w:r>
      <w:r w:rsidRPr="00525A1C">
        <w:rPr>
          <w:rFonts w:ascii="Cambria" w:hAnsi="Cambria" w:cs="Times New Roman"/>
          <w:b w:val="0"/>
          <w:i/>
          <w:iCs/>
          <w:sz w:val="22"/>
          <w:lang w:val="en-US"/>
        </w:rPr>
        <w:t>England, 1066-1307</w:t>
      </w:r>
      <w:r w:rsidRPr="00525A1C">
        <w:rPr>
          <w:rFonts w:ascii="Cambria" w:hAnsi="Cambria" w:cs="Times New Roman"/>
          <w:b w:val="0"/>
          <w:sz w:val="22"/>
          <w:lang w:val="en-US"/>
        </w:rPr>
        <w:t>, Londres, Arnold, 1979 ; 2</w:t>
      </w:r>
      <w:r w:rsidRPr="00525A1C">
        <w:rPr>
          <w:rFonts w:ascii="Cambria" w:hAnsi="Cambria" w:cs="Times New Roman"/>
          <w:b w:val="0"/>
          <w:sz w:val="22"/>
          <w:vertAlign w:val="superscript"/>
          <w:lang w:val="en-US"/>
        </w:rPr>
        <w:t>e</w:t>
      </w:r>
      <w:r w:rsidRPr="00525A1C">
        <w:rPr>
          <w:rFonts w:ascii="Cambria" w:hAnsi="Cambria" w:cs="Times New Roman"/>
          <w:b w:val="0"/>
          <w:sz w:val="22"/>
          <w:lang w:val="en-US"/>
        </w:rPr>
        <w:t xml:space="preserve"> éd. revue Oxford/Cambridge (Mass.), Blackwell, 1993.</w:t>
      </w:r>
    </w:p>
    <w:p w14:paraId="6962F310"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iCs/>
          <w:sz w:val="22"/>
        </w:rPr>
        <w:t>Écrire, compter, mesurer. Vers une histoire des rationalités pratiques</w:t>
      </w:r>
      <w:r w:rsidRPr="00525A1C">
        <w:rPr>
          <w:rFonts w:ascii="Cambria" w:hAnsi="Cambria" w:cs="Times New Roman"/>
          <w:b w:val="0"/>
          <w:sz w:val="22"/>
        </w:rPr>
        <w:t>, N. Coquery, F. Menant, F. Weber (dir.), Paris, Éditions de l’ENS, 2006 et 2012.</w:t>
      </w:r>
    </w:p>
    <w:p w14:paraId="14138A41"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O. </w:t>
      </w:r>
      <w:r w:rsidRPr="00525A1C">
        <w:rPr>
          <w:rFonts w:ascii="Cambria" w:eastAsia="Calibri" w:hAnsi="Cambria" w:cs="Times New Roman"/>
          <w:b w:val="0"/>
          <w:smallCaps/>
          <w:kern w:val="0"/>
          <w:sz w:val="22"/>
          <w:lang w:eastAsia="en-US"/>
        </w:rPr>
        <w:t>Guyotjeannin</w:t>
      </w:r>
      <w:r w:rsidRPr="00525A1C">
        <w:rPr>
          <w:rFonts w:ascii="Cambria" w:hAnsi="Cambria" w:cs="Times New Roman"/>
          <w:b w:val="0"/>
          <w:sz w:val="22"/>
        </w:rPr>
        <w:t xml:space="preserve">, J. </w:t>
      </w:r>
      <w:r w:rsidRPr="00525A1C">
        <w:rPr>
          <w:rFonts w:ascii="Cambria" w:eastAsia="Calibri" w:hAnsi="Cambria" w:cs="Times New Roman"/>
          <w:b w:val="0"/>
          <w:smallCaps/>
          <w:kern w:val="0"/>
          <w:sz w:val="22"/>
          <w:lang w:eastAsia="en-US"/>
        </w:rPr>
        <w:t>Pycke</w:t>
      </w:r>
      <w:r w:rsidRPr="00525A1C">
        <w:rPr>
          <w:rFonts w:ascii="Cambria" w:hAnsi="Cambria" w:cs="Times New Roman"/>
          <w:b w:val="0"/>
          <w:sz w:val="22"/>
        </w:rPr>
        <w:t xml:space="preserve">, B.-M. </w:t>
      </w:r>
      <w:r w:rsidRPr="00525A1C">
        <w:rPr>
          <w:rFonts w:ascii="Cambria" w:eastAsia="Calibri" w:hAnsi="Cambria" w:cs="Times New Roman"/>
          <w:b w:val="0"/>
          <w:smallCaps/>
          <w:kern w:val="0"/>
          <w:sz w:val="22"/>
          <w:lang w:eastAsia="en-US"/>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1993.</w:t>
      </w:r>
    </w:p>
    <w:p w14:paraId="4CAB9722"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sz w:val="22"/>
        </w:rPr>
        <w:t>Pratiques de l’écrit (VIe-XIIIe)</w:t>
      </w:r>
      <w:r w:rsidRPr="00525A1C">
        <w:rPr>
          <w:rFonts w:ascii="Cambria" w:hAnsi="Cambria" w:cs="Times New Roman"/>
          <w:b w:val="0"/>
          <w:sz w:val="22"/>
        </w:rPr>
        <w:t>, dossier coordonné par E. Anheim et P. Chastang, Médiévales, n°56, 2009.</w:t>
      </w:r>
    </w:p>
    <w:p w14:paraId="6DD1E40B"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lang w:val="en-US"/>
        </w:rPr>
      </w:pPr>
      <w:r w:rsidRPr="00525A1C">
        <w:rPr>
          <w:rFonts w:ascii="Cambria" w:hAnsi="Cambria" w:cs="Times New Roman"/>
          <w:b w:val="0"/>
          <w:sz w:val="22"/>
          <w:lang w:val="en-US"/>
        </w:rPr>
        <w:t xml:space="preserve">S. </w:t>
      </w:r>
      <w:r w:rsidRPr="00525A1C">
        <w:rPr>
          <w:rFonts w:ascii="Cambria" w:eastAsia="Calibri" w:hAnsi="Cambria" w:cs="Times New Roman"/>
          <w:b w:val="0"/>
          <w:smallCaps/>
          <w:kern w:val="0"/>
          <w:sz w:val="22"/>
          <w:lang w:val="en-US" w:eastAsia="en-US"/>
        </w:rPr>
        <w:t>Harvey</w:t>
      </w:r>
      <w:r w:rsidRPr="00525A1C">
        <w:rPr>
          <w:rFonts w:ascii="Cambria" w:hAnsi="Cambria" w:cs="Times New Roman"/>
          <w:b w:val="0"/>
          <w:sz w:val="22"/>
          <w:lang w:val="en-US"/>
        </w:rPr>
        <w:t xml:space="preserve">, </w:t>
      </w:r>
      <w:r w:rsidRPr="00525A1C">
        <w:rPr>
          <w:rFonts w:ascii="Cambria" w:hAnsi="Cambria" w:cs="Times New Roman"/>
          <w:b w:val="0"/>
          <w:i/>
          <w:sz w:val="22"/>
          <w:lang w:val="en-US"/>
        </w:rPr>
        <w:t>Domesday Book of Judgement</w:t>
      </w:r>
      <w:r w:rsidRPr="00525A1C">
        <w:rPr>
          <w:rFonts w:ascii="Cambria" w:hAnsi="Cambria" w:cs="Times New Roman"/>
          <w:b w:val="0"/>
          <w:sz w:val="22"/>
          <w:lang w:val="en-US"/>
        </w:rPr>
        <w:t>, Oxford, OUP, 2014.</w:t>
      </w:r>
    </w:p>
    <w:p w14:paraId="28265B08"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 xml:space="preserve">Y. </w:t>
      </w:r>
      <w:r w:rsidRPr="00525A1C">
        <w:rPr>
          <w:rFonts w:ascii="Cambria" w:eastAsia="Calibri" w:hAnsi="Cambria" w:cs="Times New Roman"/>
          <w:b w:val="0"/>
          <w:smallCaps/>
          <w:kern w:val="0"/>
          <w:sz w:val="22"/>
          <w:lang w:eastAsia="en-US"/>
        </w:rPr>
        <w:t>Potin</w:t>
      </w:r>
      <w:r w:rsidRPr="00525A1C">
        <w:rPr>
          <w:rFonts w:ascii="Cambria" w:hAnsi="Cambria" w:cs="Times New Roman"/>
          <w:b w:val="0"/>
          <w:sz w:val="22"/>
        </w:rPr>
        <w:t xml:space="preserve">, </w:t>
      </w:r>
      <w:r w:rsidRPr="00525A1C">
        <w:rPr>
          <w:rFonts w:ascii="Cambria" w:hAnsi="Cambria" w:cs="Times New Roman"/>
          <w:b w:val="0"/>
          <w:i/>
          <w:sz w:val="22"/>
        </w:rPr>
        <w:t>Trésor, écrits, pouvoirs. Archives et bibliothèques d’Etat en France à la fin du Moyen Âge</w:t>
      </w:r>
      <w:r w:rsidRPr="00525A1C">
        <w:rPr>
          <w:rFonts w:ascii="Cambria" w:hAnsi="Cambria" w:cs="Times New Roman"/>
          <w:b w:val="0"/>
          <w:sz w:val="22"/>
        </w:rPr>
        <w:t xml:space="preserve">, Paris, CNRS Editions, 2020. </w:t>
      </w:r>
    </w:p>
    <w:p w14:paraId="627EFE12" w14:textId="77777777" w:rsidR="008346AF" w:rsidRPr="00525A1C" w:rsidRDefault="008346AF" w:rsidP="008346AF">
      <w:pPr>
        <w:rPr>
          <w:rFonts w:ascii="Cambria" w:hAnsi="Cambria"/>
        </w:rPr>
      </w:pPr>
    </w:p>
    <w:p w14:paraId="7277ABE5" w14:textId="77777777" w:rsidR="00912CD0" w:rsidRPr="00525A1C" w:rsidRDefault="00912CD0" w:rsidP="000D1757">
      <w:pPr>
        <w:keepNext/>
        <w:spacing w:after="0" w:line="240" w:lineRule="auto"/>
        <w:jc w:val="both"/>
        <w:outlineLvl w:val="0"/>
        <w:rPr>
          <w:rFonts w:ascii="Cambria" w:hAnsi="Cambria" w:cs="Times New Roman"/>
          <w:bCs/>
          <w:iCs/>
          <w:sz w:val="22"/>
        </w:rPr>
      </w:pPr>
    </w:p>
    <w:p w14:paraId="740A5557" w14:textId="77777777" w:rsidR="002B08F7" w:rsidRPr="00525A1C" w:rsidRDefault="002B08F7" w:rsidP="002B08F7">
      <w:pPr>
        <w:spacing w:after="0" w:line="240" w:lineRule="auto"/>
        <w:jc w:val="center"/>
        <w:rPr>
          <w:rFonts w:ascii="Cambria" w:eastAsia="Calibri" w:hAnsi="Cambria" w:cs="Times New Roman"/>
          <w:iCs/>
          <w:color w:val="8F8F8F" w:themeColor="text2" w:themeTint="99"/>
          <w:kern w:val="0"/>
          <w:sz w:val="22"/>
          <w:lang w:eastAsia="fr-FR"/>
        </w:rPr>
      </w:pPr>
    </w:p>
    <w:p w14:paraId="4851488D" w14:textId="00A7757D" w:rsidR="002B08F7" w:rsidRPr="00525A1C" w:rsidRDefault="002B08F7" w:rsidP="002B08F7">
      <w:pPr>
        <w:autoSpaceDE w:val="0"/>
        <w:autoSpaceDN w:val="0"/>
        <w:adjustRightInd w:val="0"/>
        <w:spacing w:after="0" w:line="240" w:lineRule="auto"/>
        <w:ind w:left="720" w:right="-720" w:hanging="720"/>
        <w:rPr>
          <w:rFonts w:ascii="Cambria" w:eastAsia="Calibri" w:hAnsi="Cambria" w:cs="Times New Roman"/>
          <w:b w:val="0"/>
          <w:iCs/>
          <w:kern w:val="0"/>
          <w:sz w:val="22"/>
          <w:lang w:eastAsia="en-US"/>
        </w:rPr>
      </w:pPr>
    </w:p>
    <w:p w14:paraId="715917D2"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01F3C1E3"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7F61D8D5"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3797476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92A571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138223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635958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B03CCE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69F772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3E23F1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5B2B1B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69144A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676AEBD"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D80294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BD394D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8645A0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648CE1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BE9693E"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95E4A7C"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AAC87C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1C9732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586A1C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B7A9A3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D3209E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5A8156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1F0ABB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0B18306"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C5BD23F"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52A5B9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EE849D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9BD75A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3564F7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8187B1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C7B1BB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42EFD5C"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375E597"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9526B9F"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4AC71B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DE4BF2E"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8DCFE6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3DAF4A6"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432568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C58F83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73EBEB4" w14:textId="77777777" w:rsidR="00827E69" w:rsidRPr="00525A1C" w:rsidRDefault="00827E69" w:rsidP="0036666E">
      <w:pPr>
        <w:spacing w:after="0" w:line="240" w:lineRule="auto"/>
        <w:jc w:val="both"/>
        <w:rPr>
          <w:rFonts w:ascii="Cambria" w:eastAsia="Calibri" w:hAnsi="Cambria" w:cs="Times New Roman"/>
          <w:iCs/>
          <w:kern w:val="0"/>
          <w:sz w:val="22"/>
          <w:lang w:eastAsia="fr-FR"/>
        </w:rPr>
      </w:pPr>
    </w:p>
    <w:p w14:paraId="1AFEAC3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3651FB0A"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03047273"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D2BC35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971C339"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0C395A9"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54A77C60"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22041A84"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6C6DD16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6A9A3013"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A93C10B" w14:textId="77777777" w:rsidR="002A6551" w:rsidRPr="00525A1C" w:rsidRDefault="002A6551" w:rsidP="000D1757">
      <w:pPr>
        <w:keepNext/>
        <w:spacing w:after="0" w:line="240" w:lineRule="auto"/>
        <w:jc w:val="both"/>
        <w:outlineLvl w:val="0"/>
        <w:rPr>
          <w:rFonts w:ascii="Cambria" w:hAnsi="Cambria"/>
          <w:bCs/>
          <w:iCs/>
          <w:sz w:val="22"/>
        </w:rPr>
      </w:pPr>
    </w:p>
    <w:p w14:paraId="360018F8" w14:textId="77777777" w:rsidR="001F2908" w:rsidRPr="00525A1C" w:rsidRDefault="001F2908" w:rsidP="000D1757">
      <w:pPr>
        <w:keepNext/>
        <w:spacing w:after="0" w:line="240" w:lineRule="auto"/>
        <w:jc w:val="both"/>
        <w:outlineLvl w:val="0"/>
        <w:rPr>
          <w:rFonts w:ascii="Cambria" w:hAnsi="Cambria"/>
          <w:bCs/>
          <w:iCs/>
          <w:sz w:val="22"/>
        </w:rPr>
      </w:pPr>
    </w:p>
    <w:p w14:paraId="73EEEDFB" w14:textId="70E37BF1" w:rsidR="00266D63" w:rsidRPr="001A2342" w:rsidRDefault="00266D63" w:rsidP="00266D63">
      <w:pPr>
        <w:spacing w:after="0" w:line="240" w:lineRule="auto"/>
        <w:jc w:val="center"/>
        <w:rPr>
          <w:rFonts w:ascii="Cambria" w:eastAsia="Times New Roman" w:hAnsi="Cambria" w:cs="Times New Roman"/>
          <w:iCs/>
          <w:color w:val="C00000"/>
          <w:kern w:val="0"/>
          <w:sz w:val="28"/>
          <w:szCs w:val="28"/>
          <w:lang w:eastAsia="fr-FR"/>
        </w:rPr>
      </w:pPr>
      <w:r w:rsidRPr="001A2342">
        <w:rPr>
          <w:rFonts w:ascii="Cambria" w:eastAsia="Times New Roman" w:hAnsi="Cambria" w:cs="Times New Roman"/>
          <w:iCs/>
          <w:color w:val="C00000"/>
          <w:kern w:val="0"/>
          <w:sz w:val="28"/>
          <w:szCs w:val="28"/>
          <w:lang w:eastAsia="fr-FR"/>
        </w:rPr>
        <w:t>J301391</w:t>
      </w:r>
      <w:r w:rsidR="002E3E8F" w:rsidRPr="001A2342">
        <w:rPr>
          <w:rFonts w:ascii="Cambria" w:eastAsia="Times New Roman" w:hAnsi="Cambria" w:cs="Times New Roman"/>
          <w:iCs/>
          <w:color w:val="C00000"/>
          <w:kern w:val="0"/>
          <w:sz w:val="28"/>
          <w:szCs w:val="28"/>
          <w:lang w:eastAsia="fr-FR"/>
        </w:rPr>
        <w:t>9</w:t>
      </w:r>
      <w:r w:rsidRPr="001A2342">
        <w:rPr>
          <w:rFonts w:ascii="Cambria" w:eastAsia="Times New Roman" w:hAnsi="Cambria" w:cs="Times New Roman"/>
          <w:iCs/>
          <w:color w:val="C00000"/>
          <w:kern w:val="0"/>
          <w:sz w:val="28"/>
          <w:szCs w:val="28"/>
          <w:lang w:eastAsia="fr-FR"/>
        </w:rPr>
        <w:t>/ J301401</w:t>
      </w:r>
      <w:r w:rsidR="002E3E8F" w:rsidRPr="001A2342">
        <w:rPr>
          <w:rFonts w:ascii="Cambria" w:eastAsia="Times New Roman" w:hAnsi="Cambria" w:cs="Times New Roman"/>
          <w:iCs/>
          <w:color w:val="C00000"/>
          <w:kern w:val="0"/>
          <w:sz w:val="28"/>
          <w:szCs w:val="28"/>
          <w:lang w:eastAsia="fr-FR"/>
        </w:rPr>
        <w:t xml:space="preserve">9 </w:t>
      </w:r>
      <w:r w:rsidRPr="001A2342">
        <w:rPr>
          <w:rFonts w:ascii="Cambria" w:eastAsia="Times New Roman" w:hAnsi="Cambria" w:cs="Times New Roman"/>
          <w:iCs/>
          <w:color w:val="C00000"/>
          <w:kern w:val="0"/>
          <w:sz w:val="28"/>
          <w:szCs w:val="28"/>
          <w:lang w:eastAsia="fr-FR"/>
        </w:rPr>
        <w:t>: Anthropologie</w:t>
      </w:r>
      <w:r w:rsidR="00891776" w:rsidRPr="001A2342">
        <w:rPr>
          <w:rFonts w:ascii="Cambria" w:eastAsia="Times New Roman" w:hAnsi="Cambria" w:cs="Times New Roman"/>
          <w:iCs/>
          <w:color w:val="C00000"/>
          <w:kern w:val="0"/>
          <w:sz w:val="28"/>
          <w:szCs w:val="28"/>
          <w:lang w:eastAsia="fr-FR"/>
        </w:rPr>
        <w:t xml:space="preserve"> </w:t>
      </w:r>
      <w:r w:rsidRPr="001A2342">
        <w:rPr>
          <w:rFonts w:ascii="Cambria" w:eastAsia="Times New Roman" w:hAnsi="Cambria" w:cs="Times New Roman"/>
          <w:iCs/>
          <w:color w:val="C00000"/>
          <w:kern w:val="0"/>
          <w:sz w:val="28"/>
          <w:szCs w:val="28"/>
          <w:lang w:eastAsia="fr-FR"/>
        </w:rPr>
        <w:t>historique des sociétés juives</w:t>
      </w:r>
    </w:p>
    <w:p w14:paraId="7DAF11AA" w14:textId="753EB8F2" w:rsidR="00666FEA" w:rsidRPr="00525A1C" w:rsidRDefault="001F2908" w:rsidP="00266D63">
      <w:pPr>
        <w:spacing w:after="0" w:line="240" w:lineRule="auto"/>
        <w:jc w:val="center"/>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 xml:space="preserve">                                                  </w:t>
      </w:r>
    </w:p>
    <w:p w14:paraId="302CB2A4" w14:textId="77777777" w:rsidR="00266D63" w:rsidRPr="00525A1C" w:rsidRDefault="00266D63" w:rsidP="00266D63">
      <w:pPr>
        <w:spacing w:after="0" w:line="240" w:lineRule="auto"/>
        <w:rPr>
          <w:rFonts w:ascii="Cambria" w:eastAsia="Times New Roman" w:hAnsi="Cambria" w:cs="Times New Roman"/>
          <w:iCs/>
          <w:kern w:val="0"/>
          <w:sz w:val="22"/>
          <w:lang w:eastAsia="fr-FR"/>
        </w:rPr>
      </w:pPr>
    </w:p>
    <w:p w14:paraId="3DCE0C2E" w14:textId="56B86349" w:rsidR="00266D63" w:rsidRPr="00525A1C" w:rsidRDefault="00F60094" w:rsidP="00266D63">
      <w:pPr>
        <w:spacing w:after="0" w:line="240" w:lineRule="auto"/>
        <w:jc w:val="center"/>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Martina Mempieri</w:t>
      </w:r>
      <w:r w:rsidR="0010764F" w:rsidRPr="00525A1C">
        <w:rPr>
          <w:rFonts w:ascii="Cambria" w:eastAsia="Times New Roman" w:hAnsi="Cambria" w:cs="Times New Roman"/>
          <w:iCs/>
          <w:kern w:val="0"/>
          <w:sz w:val="22"/>
          <w:lang w:eastAsia="fr-FR"/>
        </w:rPr>
        <w:t xml:space="preserve"> (S1), </w:t>
      </w:r>
      <w:r w:rsidR="00666FEA" w:rsidRPr="00525A1C">
        <w:rPr>
          <w:rFonts w:ascii="Cambria" w:eastAsia="Times New Roman" w:hAnsi="Cambria" w:cs="Times New Roman"/>
          <w:iCs/>
          <w:kern w:val="0"/>
          <w:sz w:val="22"/>
          <w:lang w:eastAsia="fr-FR"/>
        </w:rPr>
        <w:t>Marie-Anne Guez</w:t>
      </w:r>
      <w:r w:rsidR="00935334" w:rsidRPr="00525A1C">
        <w:rPr>
          <w:rFonts w:ascii="Cambria" w:eastAsia="Times New Roman" w:hAnsi="Cambria" w:cs="Times New Roman"/>
          <w:iCs/>
          <w:kern w:val="0"/>
          <w:sz w:val="22"/>
          <w:lang w:eastAsia="fr-FR"/>
        </w:rPr>
        <w:t xml:space="preserve"> </w:t>
      </w:r>
      <w:r w:rsidR="0010764F" w:rsidRPr="00525A1C">
        <w:rPr>
          <w:rFonts w:ascii="Cambria" w:eastAsia="Times New Roman" w:hAnsi="Cambria" w:cs="Times New Roman"/>
          <w:iCs/>
          <w:kern w:val="0"/>
          <w:sz w:val="22"/>
          <w:lang w:eastAsia="fr-FR"/>
        </w:rPr>
        <w:t>(S2)</w:t>
      </w:r>
    </w:p>
    <w:p w14:paraId="4415F54C" w14:textId="77777777" w:rsidR="00891776" w:rsidRPr="00525A1C" w:rsidRDefault="00891776" w:rsidP="001F2908">
      <w:pPr>
        <w:jc w:val="both"/>
        <w:rPr>
          <w:rFonts w:ascii="Cambria" w:hAnsi="Cambria" w:cs="Times New Roman"/>
          <w:iCs/>
          <w:color w:val="0070C0"/>
          <w:sz w:val="22"/>
        </w:rPr>
      </w:pPr>
    </w:p>
    <w:p w14:paraId="7184A61C" w14:textId="29ABD4E3" w:rsidR="000A1041" w:rsidRPr="00804B3B" w:rsidRDefault="000A1041" w:rsidP="001F2908">
      <w:pPr>
        <w:jc w:val="both"/>
        <w:rPr>
          <w:rFonts w:ascii="Cambria" w:hAnsi="Cambria" w:cs="Times New Roman"/>
          <w:iCs/>
          <w:color w:val="C00000"/>
          <w:sz w:val="22"/>
        </w:rPr>
      </w:pPr>
      <w:r w:rsidRPr="00804B3B">
        <w:rPr>
          <w:rFonts w:ascii="Cambria" w:hAnsi="Cambria" w:cs="Times New Roman"/>
          <w:iCs/>
          <w:color w:val="C00000"/>
          <w:sz w:val="22"/>
          <w:u w:val="single"/>
        </w:rPr>
        <w:t>Sujet du cours S1</w:t>
      </w:r>
      <w:r w:rsidRPr="00804B3B">
        <w:rPr>
          <w:rFonts w:ascii="Cambria" w:hAnsi="Cambria" w:cs="Times New Roman"/>
          <w:iCs/>
          <w:color w:val="C00000"/>
          <w:sz w:val="22"/>
        </w:rPr>
        <w:t> : Expériences religieuses et culturelles juives dans le temps et l’espace.</w:t>
      </w:r>
    </w:p>
    <w:p w14:paraId="56049E4C" w14:textId="77777777" w:rsidR="000A1041" w:rsidRPr="00804B3B" w:rsidRDefault="000A1041" w:rsidP="000A1041">
      <w:pPr>
        <w:spacing w:before="100" w:beforeAutospacing="1" w:after="0" w:line="276" w:lineRule="auto"/>
        <w:jc w:val="both"/>
        <w:rPr>
          <w:rFonts w:ascii="Cambria" w:eastAsia="Times New Roman" w:hAnsi="Cambria" w:cs="Times New Roman"/>
          <w:b w:val="0"/>
          <w:color w:val="000000"/>
          <w:kern w:val="0"/>
          <w:sz w:val="22"/>
          <w:lang w:eastAsia="en-US" w:bidi="he-IL"/>
        </w:rPr>
      </w:pPr>
      <w:r w:rsidRPr="00804B3B">
        <w:rPr>
          <w:rFonts w:ascii="Cambria" w:eastAsia="Times New Roman" w:hAnsi="Cambria" w:cs="Times New Roman"/>
          <w:b w:val="0"/>
          <w:color w:val="000000"/>
          <w:kern w:val="0"/>
          <w:sz w:val="22"/>
          <w:lang w:eastAsia="en-US" w:bidi="he-IL"/>
        </w:rPr>
        <w:t>Ce cours propose une introduction aux pratiques religieuses et culturelles des communautés juives à travers différentes périodes historiques et aires géographiques. En s’appuyant sur des exemples concrets et des études de cas, il explore les grands moments du cycle de vie de la naissance à la mort, afin de montrer comment ces rituels structurent l’expérience individuelle et collective. Une attention particulière sera portée au calendrier juif et à son rôle dans la construction du temps sacré : les rythmes hebdomadaires et les fêtes annuelles seront étudiés comme des cadres de mémoire, de transmission et de cohésion communautaire. Le cours abordera également les espaces rituels, qu’ils soient domestiques, communautaires, funéraires ou urbains. Une réflexion particulière sera consacrée à l’espace du ghetto, en tant que cadre à la fois contraint et structurant de la vie juive dans l’Europe moderne. L’objectif général est de comprendre comment les traditions juives ont été construites, vécues et réinventées en fonction des contextes sociaux, politiques et géographiques dans lesquels elles s’inscrivent.</w:t>
      </w:r>
    </w:p>
    <w:p w14:paraId="1A2CBE0A" w14:textId="77777777" w:rsidR="000A1041" w:rsidRPr="00804B3B" w:rsidRDefault="000A1041" w:rsidP="00E542BB">
      <w:pPr>
        <w:spacing w:line="278" w:lineRule="auto"/>
        <w:rPr>
          <w:rFonts w:ascii="Cambria" w:eastAsia="Aptos" w:hAnsi="Cambria" w:cs="Times New Roman"/>
          <w:bCs/>
          <w:sz w:val="22"/>
          <w:lang w:eastAsia="en-US" w:bidi="he-IL"/>
          <w14:ligatures w14:val="standardContextual"/>
        </w:rPr>
      </w:pPr>
    </w:p>
    <w:p w14:paraId="5FB36AC9" w14:textId="203B3353" w:rsidR="000A1041" w:rsidRPr="00804B3B" w:rsidRDefault="000A1041" w:rsidP="000A1041">
      <w:pPr>
        <w:spacing w:line="278" w:lineRule="auto"/>
        <w:jc w:val="center"/>
        <w:rPr>
          <w:rFonts w:ascii="Cambria" w:eastAsia="Aptos" w:hAnsi="Cambria" w:cs="Times New Roman"/>
          <w:bCs/>
          <w:sz w:val="22"/>
          <w:lang w:eastAsia="en-US" w:bidi="he-IL"/>
          <w14:ligatures w14:val="standardContextual"/>
        </w:rPr>
      </w:pPr>
      <w:r w:rsidRPr="00804B3B">
        <w:rPr>
          <w:rFonts w:ascii="Cambria" w:eastAsia="Aptos" w:hAnsi="Cambria" w:cs="Times New Roman"/>
          <w:bCs/>
          <w:sz w:val="22"/>
          <w:lang w:eastAsia="en-US" w:bidi="he-IL"/>
          <w14:ligatures w14:val="standardContextual"/>
        </w:rPr>
        <w:t>Bibliographie indicative :</w:t>
      </w:r>
    </w:p>
    <w:p w14:paraId="01148487" w14:textId="77777777" w:rsidR="000A1041" w:rsidRPr="00804B3B" w:rsidRDefault="000A1041" w:rsidP="001A073D">
      <w:pPr>
        <w:numPr>
          <w:ilvl w:val="0"/>
          <w:numId w:val="16"/>
        </w:numPr>
        <w:spacing w:after="0" w:line="240" w:lineRule="auto"/>
        <w:rPr>
          <w:rFonts w:ascii="Cambria" w:eastAsia="Times New Roman" w:hAnsi="Cambria" w:cs="Times New Roman"/>
          <w:b w:val="0"/>
          <w:color w:val="000000"/>
          <w:kern w:val="0"/>
          <w:sz w:val="22"/>
          <w:lang w:val="en-US" w:eastAsia="en-US" w:bidi="he-IL"/>
        </w:rPr>
      </w:pPr>
      <w:r w:rsidRPr="00804B3B">
        <w:rPr>
          <w:rFonts w:ascii="Cambria" w:eastAsia="Times New Roman" w:hAnsi="Cambria" w:cs="Times New Roman"/>
          <w:b w:val="0"/>
          <w:i/>
          <w:iCs/>
          <w:color w:val="000000"/>
          <w:kern w:val="0"/>
          <w:sz w:val="22"/>
          <w:lang w:val="en-US" w:eastAsia="en-US" w:bidi="he-IL"/>
        </w:rPr>
        <w:t>Encyclopaedia Judaica</w:t>
      </w:r>
      <w:r w:rsidRPr="00804B3B">
        <w:rPr>
          <w:rFonts w:ascii="Cambria" w:eastAsia="Times New Roman" w:hAnsi="Cambria" w:cs="Times New Roman"/>
          <w:b w:val="0"/>
          <w:color w:val="000000"/>
          <w:kern w:val="0"/>
          <w:sz w:val="22"/>
          <w:lang w:val="en-US" w:eastAsia="en-US" w:bidi="he-IL"/>
        </w:rPr>
        <w:t>, second edition, Detroit, Macmillan, 2007.</w:t>
      </w:r>
    </w:p>
    <w:p w14:paraId="0B2CEAEA"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eastAsia="en-US" w:bidi="he-IL"/>
          <w14:ligatures w14:val="standardContextual"/>
        </w:rPr>
      </w:pPr>
      <w:r w:rsidRPr="00804B3B">
        <w:rPr>
          <w:rFonts w:ascii="Cambria" w:eastAsia="Aptos" w:hAnsi="Cambria" w:cs="Times New Roman"/>
          <w:b w:val="0"/>
          <w:sz w:val="22"/>
          <w:lang w:eastAsia="en-US" w:bidi="he-IL"/>
          <w14:ligatures w14:val="standardContextual"/>
        </w:rPr>
        <w:t xml:space="preserve">David Biale (dir.), </w:t>
      </w:r>
      <w:r w:rsidRPr="00804B3B">
        <w:rPr>
          <w:rFonts w:ascii="Cambria" w:eastAsia="Aptos" w:hAnsi="Cambria" w:cs="Times New Roman"/>
          <w:b w:val="0"/>
          <w:i/>
          <w:iCs/>
          <w:sz w:val="22"/>
          <w:lang w:eastAsia="en-US" w:bidi="he-IL"/>
          <w14:ligatures w14:val="standardContextual"/>
        </w:rPr>
        <w:t>Les cultures des Juifs, Une nouvelle histoire</w:t>
      </w:r>
      <w:r w:rsidRPr="00804B3B">
        <w:rPr>
          <w:rFonts w:ascii="Cambria" w:eastAsia="Aptos" w:hAnsi="Cambria" w:cs="Times New Roman"/>
          <w:b w:val="0"/>
          <w:sz w:val="22"/>
          <w:lang w:eastAsia="en-US" w:bidi="he-IL"/>
          <w14:ligatures w14:val="standardContextual"/>
        </w:rPr>
        <w:t>, Paris, Éditions de l’Eclat, 2014.</w:t>
      </w:r>
    </w:p>
    <w:p w14:paraId="553CCB81"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it-IT" w:eastAsia="en-US" w:bidi="he-IL"/>
          <w14:ligatures w14:val="standardContextual"/>
        </w:rPr>
      </w:pPr>
      <w:r w:rsidRPr="00804B3B">
        <w:rPr>
          <w:rFonts w:ascii="Cambria" w:eastAsia="Aptos" w:hAnsi="Cambria" w:cs="Times New Roman"/>
          <w:b w:val="0"/>
          <w:sz w:val="22"/>
          <w:lang w:val="it-IT" w:eastAsia="en-US" w:bidi="he-IL"/>
          <w14:ligatures w14:val="standardContextual"/>
        </w:rPr>
        <w:t xml:space="preserve">Michaël Gasperoni, </w:t>
      </w:r>
      <w:r w:rsidRPr="00804B3B">
        <w:rPr>
          <w:rFonts w:ascii="Cambria" w:eastAsia="Aptos" w:hAnsi="Cambria" w:cs="Times New Roman"/>
          <w:b w:val="0"/>
          <w:sz w:val="22"/>
          <w:lang w:eastAsia="en-US" w:bidi="he-IL"/>
          <w14:ligatures w14:val="standardContextual"/>
        </w:rPr>
        <w:t xml:space="preserve">« Les ghettos juifs d’Italie à travers le jus chazakah : un espace contraint mais négocié », </w:t>
      </w:r>
      <w:r w:rsidRPr="00804B3B">
        <w:rPr>
          <w:rFonts w:ascii="Cambria" w:eastAsia="Aptos" w:hAnsi="Cambria" w:cs="Times New Roman"/>
          <w:b w:val="0"/>
          <w:i/>
          <w:iCs/>
          <w:sz w:val="22"/>
          <w:lang w:eastAsia="en-US" w:bidi="he-IL"/>
          <w14:ligatures w14:val="standardContextual"/>
        </w:rPr>
        <w:t>Annales. Histoire, Sciences Sociales</w:t>
      </w:r>
      <w:r w:rsidRPr="00804B3B">
        <w:rPr>
          <w:rFonts w:ascii="Cambria" w:eastAsia="Aptos" w:hAnsi="Cambria" w:cs="Times New Roman"/>
          <w:b w:val="0"/>
          <w:sz w:val="22"/>
          <w:lang w:eastAsia="en-US" w:bidi="he-IL"/>
          <w14:ligatures w14:val="standardContextual"/>
        </w:rPr>
        <w:t>, 73, 3 (2018), p. 559-590.</w:t>
      </w:r>
    </w:p>
    <w:p w14:paraId="1857F78F"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Harvey E. Goldberg (dir.), </w:t>
      </w:r>
      <w:r w:rsidRPr="00804B3B">
        <w:rPr>
          <w:rFonts w:ascii="Cambria" w:eastAsia="Aptos" w:hAnsi="Cambria" w:cs="Times New Roman"/>
          <w:b w:val="0"/>
          <w:i/>
          <w:iCs/>
          <w:sz w:val="22"/>
          <w:lang w:val="en-US" w:eastAsia="en-US" w:bidi="he-IL"/>
          <w14:ligatures w14:val="standardContextual"/>
        </w:rPr>
        <w:t>Judaism Viewed from Within and from Without : Anthropological Studies</w:t>
      </w:r>
      <w:r w:rsidRPr="00804B3B">
        <w:rPr>
          <w:rFonts w:ascii="Cambria" w:eastAsia="Aptos" w:hAnsi="Cambria" w:cs="Times New Roman"/>
          <w:b w:val="0"/>
          <w:sz w:val="22"/>
          <w:lang w:val="en-US" w:eastAsia="en-US" w:bidi="he-IL"/>
          <w14:ligatures w14:val="standardContextual"/>
        </w:rPr>
        <w:t>, Albany, State University of New York Press, 1987.</w:t>
      </w:r>
    </w:p>
    <w:p w14:paraId="01C0E319"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it-IT" w:eastAsia="en-US" w:bidi="he-IL"/>
          <w14:ligatures w14:val="standardContextual"/>
        </w:rPr>
      </w:pPr>
      <w:r w:rsidRPr="00804B3B">
        <w:rPr>
          <w:rFonts w:ascii="Cambria" w:eastAsia="Aptos" w:hAnsi="Cambria" w:cs="Times New Roman"/>
          <w:b w:val="0"/>
          <w:sz w:val="22"/>
          <w:lang w:val="it-IT" w:eastAsia="en-US" w:bidi="he-IL"/>
          <w14:ligatures w14:val="standardContextual"/>
        </w:rPr>
        <w:t xml:space="preserve">Patricia Hidiroglu (dir.), </w:t>
      </w:r>
      <w:r w:rsidRPr="00804B3B">
        <w:rPr>
          <w:rFonts w:ascii="Cambria" w:eastAsia="Aptos" w:hAnsi="Cambria" w:cs="Times New Roman"/>
          <w:b w:val="0"/>
          <w:i/>
          <w:iCs/>
          <w:sz w:val="22"/>
          <w:lang w:val="it-IT" w:eastAsia="en-US" w:bidi="he-IL"/>
          <w14:ligatures w14:val="standardContextual"/>
        </w:rPr>
        <w:t>La construction de la famille juive : Entre héritage et devenir</w:t>
      </w:r>
      <w:r w:rsidRPr="00804B3B">
        <w:rPr>
          <w:rFonts w:ascii="Cambria" w:eastAsia="Aptos" w:hAnsi="Cambria" w:cs="Times New Roman"/>
          <w:b w:val="0"/>
          <w:sz w:val="22"/>
          <w:lang w:val="it-IT" w:eastAsia="en-US" w:bidi="he-IL"/>
          <w14:ligatures w14:val="standardContextual"/>
        </w:rPr>
        <w:t>, Paris, Éditions de la Sorbonne, 2003.</w:t>
      </w:r>
    </w:p>
    <w:p w14:paraId="5FD4E7C2"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Oliver Leaman (dir.), </w:t>
      </w:r>
      <w:r w:rsidRPr="00804B3B">
        <w:rPr>
          <w:rFonts w:ascii="Cambria" w:eastAsia="Aptos" w:hAnsi="Cambria" w:cs="Times New Roman"/>
          <w:b w:val="0"/>
          <w:i/>
          <w:iCs/>
          <w:sz w:val="22"/>
          <w:lang w:val="en-US" w:eastAsia="en-US" w:bidi="he-IL"/>
          <w14:ligatures w14:val="standardContextual"/>
        </w:rPr>
        <w:t>Routledge Handbook of Jewish Ritual and Practice</w:t>
      </w:r>
      <w:r w:rsidRPr="00804B3B">
        <w:rPr>
          <w:rFonts w:ascii="Cambria" w:eastAsia="Aptos" w:hAnsi="Cambria" w:cs="Times New Roman"/>
          <w:b w:val="0"/>
          <w:sz w:val="22"/>
          <w:lang w:val="en-US" w:eastAsia="en-US" w:bidi="he-IL"/>
          <w14:ligatures w14:val="standardContextual"/>
        </w:rPr>
        <w:t>, Routledge, 2022.</w:t>
      </w:r>
    </w:p>
    <w:p w14:paraId="05CBE7BB"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Barbara E. Mann, </w:t>
      </w:r>
      <w:r w:rsidRPr="00804B3B">
        <w:rPr>
          <w:rFonts w:ascii="Cambria" w:eastAsia="Aptos" w:hAnsi="Cambria" w:cs="Times New Roman"/>
          <w:b w:val="0"/>
          <w:i/>
          <w:iCs/>
          <w:sz w:val="22"/>
          <w:lang w:val="en-US" w:eastAsia="en-US" w:bidi="he-IL"/>
          <w14:ligatures w14:val="standardContextual"/>
        </w:rPr>
        <w:t>Space and Place in Jewish Studies</w:t>
      </w:r>
      <w:r w:rsidRPr="00804B3B">
        <w:rPr>
          <w:rFonts w:ascii="Cambria" w:eastAsia="Aptos" w:hAnsi="Cambria" w:cs="Times New Roman"/>
          <w:b w:val="0"/>
          <w:sz w:val="22"/>
          <w:lang w:val="en-US" w:eastAsia="en-US" w:bidi="he-IL"/>
          <w14:ligatures w14:val="standardContextual"/>
        </w:rPr>
        <w:t>, Rutgers, Rutgers University Press, 2012.</w:t>
      </w:r>
    </w:p>
    <w:p w14:paraId="7A85AAC6"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Ivan G. Marcus, </w:t>
      </w:r>
      <w:r w:rsidRPr="00804B3B">
        <w:rPr>
          <w:rFonts w:ascii="Cambria" w:eastAsia="Aptos" w:hAnsi="Cambria" w:cs="Times New Roman"/>
          <w:b w:val="0"/>
          <w:i/>
          <w:iCs/>
          <w:sz w:val="22"/>
          <w:lang w:val="en-US" w:eastAsia="en-US" w:bidi="he-IL"/>
          <w14:ligatures w14:val="standardContextual"/>
        </w:rPr>
        <w:t>The Jewish Life Cycle: Rites of Passage from Biblical to Modern Times</w:t>
      </w:r>
      <w:r w:rsidRPr="00804B3B">
        <w:rPr>
          <w:rFonts w:ascii="Cambria" w:eastAsia="Aptos" w:hAnsi="Cambria" w:cs="Times New Roman"/>
          <w:b w:val="0"/>
          <w:sz w:val="22"/>
          <w:lang w:val="en-US" w:eastAsia="en-US" w:bidi="he-IL"/>
          <w14:ligatures w14:val="standardContextual"/>
        </w:rPr>
        <w:t>, Seattle, University of Washington Press, 2004.</w:t>
      </w:r>
    </w:p>
    <w:p w14:paraId="74F576D2"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eastAsia="en-US" w:bidi="he-IL"/>
          <w14:ligatures w14:val="standardContextual"/>
        </w:rPr>
        <w:t xml:space="preserve">Laurence Podselver, « L’anthropologie des communautés juives: une anthropologie paradoxale », in Franck Alvarez-Pereyre et Jean Baumgarten (dir.), </w:t>
      </w:r>
      <w:r w:rsidRPr="00804B3B">
        <w:rPr>
          <w:rFonts w:ascii="Cambria" w:eastAsia="Aptos" w:hAnsi="Cambria" w:cs="Times New Roman"/>
          <w:b w:val="0"/>
          <w:i/>
          <w:iCs/>
          <w:sz w:val="22"/>
          <w:lang w:eastAsia="en-US" w:bidi="he-IL"/>
          <w14:ligatures w14:val="standardContextual"/>
        </w:rPr>
        <w:t xml:space="preserve">Les études juives en France. </w:t>
      </w:r>
      <w:r w:rsidRPr="00804B3B">
        <w:rPr>
          <w:rFonts w:ascii="Cambria" w:eastAsia="Aptos" w:hAnsi="Cambria" w:cs="Times New Roman"/>
          <w:b w:val="0"/>
          <w:i/>
          <w:iCs/>
          <w:sz w:val="22"/>
          <w:lang w:val="en-US" w:eastAsia="en-US" w:bidi="he-IL"/>
          <w14:ligatures w14:val="standardContextual"/>
        </w:rPr>
        <w:t>Situation et perspectives,</w:t>
      </w:r>
      <w:r w:rsidRPr="00804B3B">
        <w:rPr>
          <w:rFonts w:ascii="Cambria" w:eastAsia="Aptos" w:hAnsi="Cambria" w:cs="Times New Roman"/>
          <w:b w:val="0"/>
          <w:sz w:val="22"/>
          <w:lang w:val="en-US" w:eastAsia="en-US" w:bidi="he-IL"/>
          <w14:ligatures w14:val="standardContextual"/>
        </w:rPr>
        <w:t xml:space="preserve"> Paris, éditions du CNRS, 1990, p. 87-96.</w:t>
      </w:r>
    </w:p>
    <w:p w14:paraId="07DC511A" w14:textId="77777777" w:rsidR="000A1041" w:rsidRPr="00804B3B" w:rsidRDefault="000A1041" w:rsidP="001A073D">
      <w:pPr>
        <w:numPr>
          <w:ilvl w:val="0"/>
          <w:numId w:val="16"/>
        </w:numPr>
        <w:spacing w:after="0" w:line="278" w:lineRule="auto"/>
        <w:contextualSpacing/>
        <w:jc w:val="both"/>
        <w:rPr>
          <w:rFonts w:ascii="Cambria" w:eastAsia="Aptos" w:hAnsi="Cambria"/>
          <w:b w:val="0"/>
          <w:i/>
          <w:iCs/>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Hayyim Schauss, </w:t>
      </w:r>
      <w:r w:rsidRPr="00804B3B">
        <w:rPr>
          <w:rFonts w:ascii="Cambria" w:eastAsia="Aptos" w:hAnsi="Cambria" w:cs="Times New Roman"/>
          <w:b w:val="0"/>
          <w:i/>
          <w:iCs/>
          <w:sz w:val="22"/>
          <w:lang w:val="en-US" w:eastAsia="en-US" w:bidi="he-IL"/>
          <w14:ligatures w14:val="standardContextual"/>
        </w:rPr>
        <w:t>The Jewish Festivals: A Guide to their History and Observance</w:t>
      </w:r>
      <w:r w:rsidRPr="00804B3B">
        <w:rPr>
          <w:rFonts w:ascii="Cambria" w:eastAsia="Aptos" w:hAnsi="Cambria" w:cs="Times New Roman"/>
          <w:b w:val="0"/>
          <w:sz w:val="22"/>
          <w:lang w:val="en-US" w:eastAsia="en-US" w:bidi="he-IL"/>
          <w14:ligatures w14:val="standardContextual"/>
        </w:rPr>
        <w:t>, New York, Schocken, Books, 1996.</w:t>
      </w:r>
    </w:p>
    <w:p w14:paraId="4C7F9F52" w14:textId="77777777" w:rsidR="000A1041" w:rsidRPr="00804B3B" w:rsidRDefault="000A1041" w:rsidP="001F2908">
      <w:pPr>
        <w:jc w:val="both"/>
        <w:rPr>
          <w:rFonts w:ascii="Cambria" w:hAnsi="Cambria" w:cs="Times New Roman"/>
          <w:iCs/>
          <w:color w:val="0070C0"/>
          <w:sz w:val="22"/>
          <w:lang w:val="en-US"/>
        </w:rPr>
      </w:pPr>
    </w:p>
    <w:p w14:paraId="2ADEA124" w14:textId="0DCED1CA" w:rsidR="0010764F" w:rsidRPr="00804B3B" w:rsidRDefault="004A6798" w:rsidP="0010764F">
      <w:pPr>
        <w:ind w:right="-72"/>
        <w:jc w:val="both"/>
        <w:rPr>
          <w:rFonts w:ascii="Cambria" w:hAnsi="Cambria" w:cs="Times New Roman"/>
          <w:color w:val="C00000"/>
          <w:sz w:val="22"/>
        </w:rPr>
      </w:pPr>
      <w:r w:rsidRPr="00804B3B">
        <w:rPr>
          <w:rFonts w:ascii="Cambria" w:hAnsi="Cambria" w:cs="Times New Roman"/>
          <w:iCs/>
          <w:color w:val="C00000"/>
          <w:sz w:val="22"/>
          <w:u w:val="single"/>
        </w:rPr>
        <w:t>Sujet du cours S2</w:t>
      </w:r>
      <w:r w:rsidRPr="00804B3B">
        <w:rPr>
          <w:rFonts w:ascii="Cambria" w:hAnsi="Cambria" w:cs="Times New Roman"/>
          <w:iCs/>
          <w:color w:val="C00000"/>
          <w:sz w:val="22"/>
        </w:rPr>
        <w:t xml:space="preserve"> : </w:t>
      </w:r>
      <w:r w:rsidR="0010764F" w:rsidRPr="00804B3B">
        <w:rPr>
          <w:rFonts w:ascii="Cambria" w:hAnsi="Cambria" w:cs="Times New Roman"/>
          <w:color w:val="C00000"/>
          <w:sz w:val="22"/>
        </w:rPr>
        <w:t>Anthropologie historique des sociétés juives : sources et méthodes pour une histoire des sociétés juives en France du Moyen Âge au XIXe s.</w:t>
      </w:r>
    </w:p>
    <w:p w14:paraId="0AC04898" w14:textId="77777777" w:rsidR="007D2804" w:rsidRPr="00804B3B" w:rsidRDefault="007D2804" w:rsidP="007D2804">
      <w:pPr>
        <w:autoSpaceDE w:val="0"/>
        <w:autoSpaceDN w:val="0"/>
        <w:adjustRightInd w:val="0"/>
        <w:jc w:val="both"/>
        <w:rPr>
          <w:rFonts w:ascii="Cambria" w:hAnsi="Cambria" w:cs="Times New Roman"/>
          <w:b w:val="0"/>
          <w:bCs/>
          <w:sz w:val="22"/>
        </w:rPr>
      </w:pPr>
      <w:r w:rsidRPr="00804B3B">
        <w:rPr>
          <w:rFonts w:ascii="Cambria" w:hAnsi="Cambria" w:cs="Times New Roman"/>
          <w:b w:val="0"/>
          <w:bCs/>
          <w:sz w:val="22"/>
        </w:rPr>
        <w:t xml:space="preserve">L’objet de ce cours est de proposer une approche anthropologique de l’histoire des sociétés juives en France (dans ses délimitations actuelles), du Moyen-Âge à la fin de l’époque moderne. </w:t>
      </w:r>
    </w:p>
    <w:p w14:paraId="46558A18" w14:textId="53DBC4AA" w:rsidR="0010764F" w:rsidRPr="00804B3B" w:rsidRDefault="007D2804" w:rsidP="00804B3B">
      <w:pPr>
        <w:autoSpaceDE w:val="0"/>
        <w:autoSpaceDN w:val="0"/>
        <w:adjustRightInd w:val="0"/>
        <w:jc w:val="both"/>
        <w:rPr>
          <w:rFonts w:ascii="Cambria" w:hAnsi="Cambria" w:cs="Times New Roman"/>
          <w:b w:val="0"/>
          <w:bCs/>
          <w:sz w:val="22"/>
        </w:rPr>
      </w:pPr>
      <w:r w:rsidRPr="00804B3B">
        <w:rPr>
          <w:rFonts w:ascii="Cambria" w:hAnsi="Cambria" w:cs="Times New Roman"/>
          <w:b w:val="0"/>
          <w:bCs/>
          <w:sz w:val="22"/>
        </w:rPr>
        <w:tab/>
        <w:t xml:space="preserve">Au cours de ce semestre, nous aborderons la diversité des sources et des méthodes qui permettent d’appréhender les sociétés juives dans la longue durée et dans leurs inscriptions locales. Chaque séance se divisera en deux temps : le cours (CM) a pour objectif de donner les grands repères historiques qui révèlent la diversité des situations, selon les lieux et la chronologie (Alsace, Comtat Venaissin, Provence, Paris…). La partie TD permettra aux étudiants de présenter un compte rendu d’article (choisi au début du semestre) portant sur les dernières recherches qui mettent à jour la vie des sociétés juives à différentes périodes, les modalités de leur intégration ou de leur exclusion, ainsi que leurs « marge de manœuvres ». </w:t>
      </w:r>
      <w:r w:rsidRPr="00804B3B">
        <w:rPr>
          <w:rFonts w:ascii="Cambria" w:hAnsi="Cambria" w:cs="Times New Roman"/>
          <w:b w:val="0"/>
          <w:bCs/>
          <w:sz w:val="22"/>
        </w:rPr>
        <w:tab/>
        <w:t xml:space="preserve">Des visites sont envisagées au cours du semestre, afin d’étudier le processus de patrimonialisation et les différentes ressources disponibles pour les chercheurs. </w:t>
      </w:r>
    </w:p>
    <w:p w14:paraId="6E8D3258" w14:textId="1055344C" w:rsidR="007D2804" w:rsidRPr="00804B3B" w:rsidRDefault="007D2804" w:rsidP="007D2804">
      <w:pPr>
        <w:jc w:val="both"/>
        <w:rPr>
          <w:rFonts w:ascii="Cambria" w:hAnsi="Cambria" w:cs="Times New Roman"/>
          <w:b w:val="0"/>
          <w:bCs/>
          <w:sz w:val="22"/>
        </w:rPr>
      </w:pPr>
      <w:r w:rsidRPr="00804B3B">
        <w:rPr>
          <w:rFonts w:ascii="Cambria" w:hAnsi="Cambria" w:cs="Times New Roman"/>
          <w:b w:val="0"/>
          <w:bCs/>
          <w:sz w:val="22"/>
          <w:u w:val="single"/>
        </w:rPr>
        <w:t>Quelques éléments de bibliographie</w:t>
      </w:r>
      <w:r w:rsidRPr="00804B3B">
        <w:rPr>
          <w:rFonts w:ascii="Cambria" w:hAnsi="Cambria" w:cs="Times New Roman"/>
          <w:b w:val="0"/>
          <w:bCs/>
          <w:sz w:val="22"/>
        </w:rPr>
        <w:t> :</w:t>
      </w:r>
    </w:p>
    <w:p w14:paraId="39D13FCC"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Abitbol</w:t>
      </w:r>
      <w:r w:rsidRPr="00804B3B">
        <w:rPr>
          <w:rFonts w:ascii="Cambria" w:eastAsia="Times New Roman" w:hAnsi="Cambria" w:cs="Times New Roman"/>
          <w:b w:val="0"/>
          <w:bCs/>
          <w:sz w:val="22"/>
          <w:lang w:eastAsia="fr-FR"/>
        </w:rPr>
        <w:t xml:space="preserve"> Michel, </w:t>
      </w:r>
      <w:r w:rsidRPr="00804B3B">
        <w:rPr>
          <w:rFonts w:ascii="Cambria" w:eastAsia="Times New Roman" w:hAnsi="Cambria" w:cs="Times New Roman"/>
          <w:b w:val="0"/>
          <w:bCs/>
          <w:i/>
          <w:iCs/>
          <w:sz w:val="22"/>
          <w:lang w:eastAsia="fr-FR"/>
        </w:rPr>
        <w:t>Histoire des Juifs: de la genèse à nos jours</w:t>
      </w:r>
      <w:r w:rsidRPr="00804B3B">
        <w:rPr>
          <w:rFonts w:ascii="Cambria" w:eastAsia="Times New Roman" w:hAnsi="Cambria" w:cs="Times New Roman"/>
          <w:b w:val="0"/>
          <w:bCs/>
          <w:sz w:val="22"/>
          <w:lang w:eastAsia="fr-FR"/>
        </w:rPr>
        <w:t>, Paris : Perrin, 2016.</w:t>
      </w:r>
    </w:p>
    <w:p w14:paraId="2B894941"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Blumenkranz</w:t>
      </w:r>
      <w:r w:rsidRPr="00804B3B">
        <w:rPr>
          <w:rFonts w:ascii="Cambria" w:eastAsia="Times New Roman" w:hAnsi="Cambria" w:cs="Times New Roman"/>
          <w:b w:val="0"/>
          <w:bCs/>
          <w:sz w:val="22"/>
          <w:lang w:eastAsia="fr-FR"/>
        </w:rPr>
        <w:t xml:space="preserve"> Bernhard, </w:t>
      </w:r>
      <w:r w:rsidRPr="00804B3B">
        <w:rPr>
          <w:rFonts w:ascii="Cambria" w:eastAsia="Times New Roman" w:hAnsi="Cambria" w:cs="Times New Roman"/>
          <w:b w:val="0"/>
          <w:bCs/>
          <w:i/>
          <w:iCs/>
          <w:sz w:val="22"/>
          <w:lang w:eastAsia="fr-FR"/>
        </w:rPr>
        <w:t>Juifs et chrétiens dans le monde occidental: 430-1096</w:t>
      </w:r>
      <w:r w:rsidRPr="00804B3B">
        <w:rPr>
          <w:rFonts w:ascii="Cambria" w:eastAsia="Times New Roman" w:hAnsi="Cambria" w:cs="Times New Roman"/>
          <w:b w:val="0"/>
          <w:bCs/>
          <w:sz w:val="22"/>
          <w:lang w:eastAsia="fr-FR"/>
        </w:rPr>
        <w:t>, Peeters, Paris Louvain Dudley, 2006</w:t>
      </w:r>
    </w:p>
    <w:p w14:paraId="4CCC1BC7"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Dahan</w:t>
      </w:r>
      <w:r w:rsidRPr="00804B3B">
        <w:rPr>
          <w:rFonts w:ascii="Cambria" w:eastAsia="Times New Roman" w:hAnsi="Cambria" w:cs="Times New Roman"/>
          <w:b w:val="0"/>
          <w:bCs/>
          <w:sz w:val="22"/>
          <w:lang w:eastAsia="fr-FR"/>
        </w:rPr>
        <w:t xml:space="preserve"> Gilbert et </w:t>
      </w:r>
      <w:r w:rsidRPr="00804B3B">
        <w:rPr>
          <w:rFonts w:ascii="Cambria" w:eastAsia="Times New Roman" w:hAnsi="Cambria" w:cs="Times New Roman"/>
          <w:b w:val="0"/>
          <w:bCs/>
          <w:smallCaps/>
          <w:sz w:val="22"/>
          <w:lang w:eastAsia="fr-FR"/>
        </w:rPr>
        <w:t>Iancu</w:t>
      </w:r>
      <w:r w:rsidRPr="00804B3B">
        <w:rPr>
          <w:rFonts w:ascii="Cambria" w:eastAsia="Times New Roman" w:hAnsi="Cambria" w:cs="Times New Roman"/>
          <w:b w:val="0"/>
          <w:bCs/>
          <w:sz w:val="22"/>
          <w:lang w:eastAsia="fr-FR"/>
        </w:rPr>
        <w:t xml:space="preserve"> Danièle, </w:t>
      </w:r>
      <w:r w:rsidRPr="00804B3B">
        <w:rPr>
          <w:rFonts w:ascii="Cambria" w:eastAsia="Times New Roman" w:hAnsi="Cambria" w:cs="Times New Roman"/>
          <w:b w:val="0"/>
          <w:bCs/>
          <w:i/>
          <w:iCs/>
          <w:sz w:val="22"/>
          <w:lang w:eastAsia="fr-FR"/>
        </w:rPr>
        <w:t>Les Juifs en France médiévale: dix études</w:t>
      </w:r>
      <w:r w:rsidRPr="00804B3B">
        <w:rPr>
          <w:rFonts w:ascii="Cambria" w:eastAsia="Times New Roman" w:hAnsi="Cambria" w:cs="Times New Roman"/>
          <w:b w:val="0"/>
          <w:bCs/>
          <w:sz w:val="22"/>
          <w:lang w:eastAsia="fr-FR"/>
        </w:rPr>
        <w:t xml:space="preserve">, Paris : les Éditions du Cerf, 2017 (Nouvelle Gallia judaïca, n° 10). </w:t>
      </w:r>
    </w:p>
    <w:p w14:paraId="4D5280FA"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Dreyfuss</w:t>
      </w:r>
      <w:r w:rsidRPr="00804B3B">
        <w:rPr>
          <w:rFonts w:ascii="Cambria" w:eastAsia="Times New Roman" w:hAnsi="Cambria" w:cs="Times New Roman"/>
          <w:b w:val="0"/>
          <w:bCs/>
          <w:sz w:val="22"/>
          <w:lang w:eastAsia="fr-FR"/>
        </w:rPr>
        <w:t xml:space="preserve"> Mathias, </w:t>
      </w:r>
      <w:r w:rsidRPr="00804B3B">
        <w:rPr>
          <w:rFonts w:ascii="Cambria" w:eastAsia="Times New Roman" w:hAnsi="Cambria" w:cs="Times New Roman"/>
          <w:b w:val="0"/>
          <w:bCs/>
          <w:i/>
          <w:iCs/>
          <w:sz w:val="22"/>
          <w:lang w:eastAsia="fr-FR"/>
        </w:rPr>
        <w:t>Aux sources juives de l’histoire de France</w:t>
      </w:r>
      <w:r w:rsidRPr="00804B3B">
        <w:rPr>
          <w:rFonts w:ascii="Cambria" w:eastAsia="Times New Roman" w:hAnsi="Cambria" w:cs="Times New Roman"/>
          <w:b w:val="0"/>
          <w:bCs/>
          <w:sz w:val="22"/>
          <w:lang w:eastAsia="fr-FR"/>
        </w:rPr>
        <w:t xml:space="preserve">, Paris : CNRS éditions, 2021. </w:t>
      </w:r>
    </w:p>
    <w:p w14:paraId="712ACEEF"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Goldberg</w:t>
      </w:r>
      <w:r w:rsidRPr="00804B3B">
        <w:rPr>
          <w:rFonts w:ascii="Cambria" w:eastAsia="Times New Roman" w:hAnsi="Cambria" w:cs="Times New Roman"/>
          <w:b w:val="0"/>
          <w:bCs/>
          <w:sz w:val="22"/>
          <w:lang w:eastAsia="fr-FR"/>
        </w:rPr>
        <w:t xml:space="preserve"> Sylvie Anne (dir.), </w:t>
      </w:r>
      <w:r w:rsidRPr="00804B3B">
        <w:rPr>
          <w:rFonts w:ascii="Cambria" w:eastAsia="Times New Roman" w:hAnsi="Cambria" w:cs="Times New Roman"/>
          <w:b w:val="0"/>
          <w:bCs/>
          <w:i/>
          <w:iCs/>
          <w:sz w:val="22"/>
          <w:lang w:eastAsia="fr-FR"/>
        </w:rPr>
        <w:t>Histoire juive de la France</w:t>
      </w:r>
      <w:r w:rsidRPr="00804B3B">
        <w:rPr>
          <w:rFonts w:ascii="Cambria" w:eastAsia="Times New Roman" w:hAnsi="Cambria" w:cs="Times New Roman"/>
          <w:b w:val="0"/>
          <w:bCs/>
          <w:sz w:val="22"/>
          <w:lang w:eastAsia="fr-FR"/>
        </w:rPr>
        <w:t xml:space="preserve">, Paris : Albin Michel, 2023. </w:t>
      </w:r>
    </w:p>
    <w:p w14:paraId="1251980B"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Germa</w:t>
      </w:r>
      <w:r w:rsidRPr="00804B3B">
        <w:rPr>
          <w:rFonts w:ascii="Cambria" w:eastAsia="Times New Roman" w:hAnsi="Cambria" w:cs="Times New Roman"/>
          <w:b w:val="0"/>
          <w:bCs/>
          <w:sz w:val="22"/>
          <w:lang w:eastAsia="fr-FR"/>
        </w:rPr>
        <w:t xml:space="preserve"> Antoine, </w:t>
      </w:r>
      <w:r w:rsidRPr="00804B3B">
        <w:rPr>
          <w:rFonts w:ascii="Cambria" w:eastAsia="Times New Roman" w:hAnsi="Cambria" w:cs="Times New Roman"/>
          <w:b w:val="0"/>
          <w:bCs/>
          <w:smallCaps/>
          <w:sz w:val="22"/>
          <w:lang w:eastAsia="fr-FR"/>
        </w:rPr>
        <w:t>Lellouch</w:t>
      </w:r>
      <w:r w:rsidRPr="00804B3B">
        <w:rPr>
          <w:rFonts w:ascii="Cambria" w:eastAsia="Times New Roman" w:hAnsi="Cambria" w:cs="Times New Roman"/>
          <w:b w:val="0"/>
          <w:bCs/>
          <w:sz w:val="22"/>
          <w:lang w:eastAsia="fr-FR"/>
        </w:rPr>
        <w:t xml:space="preserve"> Benjamin et </w:t>
      </w:r>
      <w:r w:rsidRPr="00804B3B">
        <w:rPr>
          <w:rFonts w:ascii="Cambria" w:eastAsia="Times New Roman" w:hAnsi="Cambria" w:cs="Times New Roman"/>
          <w:b w:val="0"/>
          <w:bCs/>
          <w:smallCaps/>
          <w:sz w:val="22"/>
          <w:lang w:eastAsia="fr-FR"/>
        </w:rPr>
        <w:t>Patlagean</w:t>
      </w:r>
      <w:r w:rsidRPr="00804B3B">
        <w:rPr>
          <w:rFonts w:ascii="Cambria" w:eastAsia="Times New Roman" w:hAnsi="Cambria" w:cs="Times New Roman"/>
          <w:b w:val="0"/>
          <w:bCs/>
          <w:sz w:val="22"/>
          <w:lang w:eastAsia="fr-FR"/>
        </w:rPr>
        <w:t xml:space="preserve"> Évelyne, </w:t>
      </w:r>
      <w:r w:rsidRPr="00804B3B">
        <w:rPr>
          <w:rFonts w:ascii="Cambria" w:eastAsia="Times New Roman" w:hAnsi="Cambria" w:cs="Times New Roman"/>
          <w:b w:val="0"/>
          <w:bCs/>
          <w:i/>
          <w:iCs/>
          <w:sz w:val="22"/>
          <w:lang w:eastAsia="fr-FR"/>
        </w:rPr>
        <w:t>Les Juifs dans l’histoire: de la naissance du judaïsme au monde contemporain</w:t>
      </w:r>
      <w:r w:rsidRPr="00804B3B">
        <w:rPr>
          <w:rFonts w:ascii="Cambria" w:eastAsia="Times New Roman" w:hAnsi="Cambria" w:cs="Times New Roman"/>
          <w:b w:val="0"/>
          <w:bCs/>
          <w:sz w:val="22"/>
          <w:lang w:eastAsia="fr-FR"/>
        </w:rPr>
        <w:t>, Seyssel : Champ vallon, 2011 (Les classiques de Champ vallon).</w:t>
      </w:r>
    </w:p>
    <w:p w14:paraId="5F42A327" w14:textId="77777777" w:rsidR="007D2804" w:rsidRPr="00804B3B" w:rsidRDefault="007D2804" w:rsidP="007D2804">
      <w:pPr>
        <w:ind w:left="284" w:hanging="480"/>
        <w:jc w:val="both"/>
        <w:rPr>
          <w:rFonts w:ascii="Cambria" w:hAnsi="Cambria" w:cs="Times New Roman"/>
          <w:b w:val="0"/>
          <w:bCs/>
          <w:sz w:val="22"/>
        </w:rPr>
      </w:pPr>
      <w:r w:rsidRPr="00804B3B">
        <w:rPr>
          <w:rFonts w:ascii="Cambria" w:hAnsi="Cambria" w:cs="Times New Roman"/>
          <w:b w:val="0"/>
          <w:bCs/>
          <w:smallCaps/>
          <w:sz w:val="22"/>
        </w:rPr>
        <w:t>Kilani</w:t>
      </w:r>
      <w:r w:rsidRPr="00804B3B">
        <w:rPr>
          <w:rFonts w:ascii="Cambria" w:hAnsi="Cambria" w:cs="Times New Roman"/>
          <w:b w:val="0"/>
          <w:bCs/>
          <w:sz w:val="22"/>
        </w:rPr>
        <w:t xml:space="preserve"> Mondher, </w:t>
      </w:r>
      <w:r w:rsidRPr="00804B3B">
        <w:rPr>
          <w:rFonts w:ascii="Cambria" w:hAnsi="Cambria" w:cs="Times New Roman"/>
          <w:b w:val="0"/>
          <w:bCs/>
          <w:i/>
          <w:iCs/>
          <w:sz w:val="22"/>
        </w:rPr>
        <w:t>Anthropologie. Du local au global</w:t>
      </w:r>
      <w:r w:rsidRPr="00804B3B">
        <w:rPr>
          <w:rFonts w:ascii="Cambria" w:hAnsi="Cambria" w:cs="Times New Roman"/>
          <w:b w:val="0"/>
          <w:bCs/>
          <w:sz w:val="22"/>
        </w:rPr>
        <w:t>, Paris : Armand Colin, 2012.</w:t>
      </w:r>
    </w:p>
    <w:p w14:paraId="1A7A021C"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z w:val="22"/>
          <w:lang w:eastAsia="fr-FR"/>
        </w:rPr>
        <w:t xml:space="preserve">IANCU, Danièle, </w:t>
      </w:r>
      <w:r w:rsidRPr="00804B3B">
        <w:rPr>
          <w:rFonts w:ascii="Cambria" w:eastAsia="Times New Roman" w:hAnsi="Cambria" w:cs="Times New Roman"/>
          <w:b w:val="0"/>
          <w:bCs/>
          <w:i/>
          <w:iCs/>
          <w:sz w:val="22"/>
          <w:lang w:eastAsia="fr-FR"/>
        </w:rPr>
        <w:t>Provincia judaica: dictionnaire de géographie historique des Juifs en Provence médiévale</w:t>
      </w:r>
      <w:r w:rsidRPr="00804B3B">
        <w:rPr>
          <w:rFonts w:ascii="Cambria" w:eastAsia="Times New Roman" w:hAnsi="Cambria" w:cs="Times New Roman"/>
          <w:b w:val="0"/>
          <w:bCs/>
          <w:sz w:val="22"/>
          <w:lang w:eastAsia="fr-FR"/>
        </w:rPr>
        <w:t>. Collection de la « Revue des études juives ». Paris,. Louvain Walpole (Mass.): Peeters, 2010</w:t>
      </w:r>
    </w:p>
    <w:p w14:paraId="55AFB813"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Nahon</w:t>
      </w:r>
      <w:r w:rsidRPr="00804B3B">
        <w:rPr>
          <w:rFonts w:ascii="Cambria" w:eastAsia="Times New Roman" w:hAnsi="Cambria" w:cs="Times New Roman"/>
          <w:b w:val="0"/>
          <w:bCs/>
          <w:sz w:val="22"/>
          <w:lang w:eastAsia="fr-FR"/>
        </w:rPr>
        <w:t xml:space="preserve"> Gérard, </w:t>
      </w:r>
      <w:r w:rsidRPr="00804B3B">
        <w:rPr>
          <w:rFonts w:ascii="Cambria" w:eastAsia="Times New Roman" w:hAnsi="Cambria" w:cs="Times New Roman"/>
          <w:b w:val="0"/>
          <w:bCs/>
          <w:i/>
          <w:iCs/>
          <w:sz w:val="22"/>
          <w:lang w:eastAsia="fr-FR"/>
        </w:rPr>
        <w:t>Métropoles et périphéries sefarades d’Occident: Kairouan, Amsterdam, Bayonne, Bordeaux, Jérusalem</w:t>
      </w:r>
      <w:r w:rsidRPr="00804B3B">
        <w:rPr>
          <w:rFonts w:ascii="Cambria" w:eastAsia="Times New Roman" w:hAnsi="Cambria" w:cs="Times New Roman"/>
          <w:b w:val="0"/>
          <w:bCs/>
          <w:sz w:val="22"/>
          <w:lang w:eastAsia="fr-FR"/>
        </w:rPr>
        <w:t>, Paris : les Éd. du Cerf, 1993.</w:t>
      </w:r>
    </w:p>
    <w:p w14:paraId="51358AD1"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Salmona</w:t>
      </w:r>
      <w:r w:rsidRPr="00804B3B">
        <w:rPr>
          <w:rFonts w:ascii="Cambria" w:eastAsia="Times New Roman" w:hAnsi="Cambria" w:cs="Times New Roman"/>
          <w:b w:val="0"/>
          <w:bCs/>
          <w:sz w:val="22"/>
          <w:lang w:eastAsia="fr-FR"/>
        </w:rPr>
        <w:t xml:space="preserve"> Paul et </w:t>
      </w:r>
      <w:r w:rsidRPr="00804B3B">
        <w:rPr>
          <w:rFonts w:ascii="Cambria" w:eastAsia="Times New Roman" w:hAnsi="Cambria" w:cs="Times New Roman"/>
          <w:b w:val="0"/>
          <w:bCs/>
          <w:smallCaps/>
          <w:sz w:val="22"/>
          <w:lang w:eastAsia="fr-FR"/>
        </w:rPr>
        <w:t>Soussen Max</w:t>
      </w:r>
      <w:r w:rsidRPr="00804B3B">
        <w:rPr>
          <w:rFonts w:ascii="Cambria" w:eastAsia="Times New Roman" w:hAnsi="Cambria" w:cs="Times New Roman"/>
          <w:b w:val="0"/>
          <w:bCs/>
          <w:sz w:val="22"/>
          <w:lang w:eastAsia="fr-FR"/>
        </w:rPr>
        <w:t xml:space="preserve"> Claire (dir.), </w:t>
      </w:r>
      <w:r w:rsidRPr="00804B3B">
        <w:rPr>
          <w:rFonts w:ascii="Cambria" w:eastAsia="Times New Roman" w:hAnsi="Cambria" w:cs="Times New Roman"/>
          <w:b w:val="0"/>
          <w:bCs/>
          <w:i/>
          <w:iCs/>
          <w:sz w:val="22"/>
          <w:lang w:eastAsia="fr-FR"/>
        </w:rPr>
        <w:t>Les Juifs, une tache aveugle dans le récit national</w:t>
      </w:r>
      <w:r w:rsidRPr="00804B3B">
        <w:rPr>
          <w:rFonts w:ascii="Cambria" w:eastAsia="Times New Roman" w:hAnsi="Cambria" w:cs="Times New Roman"/>
          <w:b w:val="0"/>
          <w:bCs/>
          <w:sz w:val="22"/>
          <w:lang w:eastAsia="fr-FR"/>
        </w:rPr>
        <w:t>, Paris : Albin Michel, 2021.</w:t>
      </w:r>
    </w:p>
    <w:p w14:paraId="0E1B4C92"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Salmona</w:t>
      </w:r>
      <w:r w:rsidRPr="00804B3B">
        <w:rPr>
          <w:rFonts w:ascii="Cambria" w:eastAsia="Times New Roman" w:hAnsi="Cambria" w:cs="Times New Roman"/>
          <w:b w:val="0"/>
          <w:bCs/>
          <w:sz w:val="22"/>
          <w:lang w:eastAsia="fr-FR"/>
        </w:rPr>
        <w:t xml:space="preserve"> Paul et </w:t>
      </w:r>
      <w:r w:rsidRPr="00804B3B">
        <w:rPr>
          <w:rFonts w:ascii="Cambria" w:eastAsia="Times New Roman" w:hAnsi="Cambria" w:cs="Times New Roman"/>
          <w:b w:val="0"/>
          <w:bCs/>
          <w:smallCaps/>
          <w:sz w:val="22"/>
          <w:lang w:eastAsia="fr-FR"/>
        </w:rPr>
        <w:t>Sigal-Klagsbald</w:t>
      </w:r>
      <w:r w:rsidRPr="00804B3B">
        <w:rPr>
          <w:rFonts w:ascii="Cambria" w:eastAsia="Times New Roman" w:hAnsi="Cambria" w:cs="Times New Roman"/>
          <w:b w:val="0"/>
          <w:bCs/>
          <w:sz w:val="22"/>
          <w:lang w:eastAsia="fr-FR"/>
        </w:rPr>
        <w:t xml:space="preserve"> Laurence, </w:t>
      </w:r>
      <w:r w:rsidRPr="00804B3B">
        <w:rPr>
          <w:rFonts w:ascii="Cambria" w:eastAsia="Times New Roman" w:hAnsi="Cambria" w:cs="Times New Roman"/>
          <w:b w:val="0"/>
          <w:bCs/>
          <w:i/>
          <w:iCs/>
          <w:sz w:val="22"/>
          <w:lang w:eastAsia="fr-FR"/>
        </w:rPr>
        <w:t>Archéologie du judaïsme en France et en Europe</w:t>
      </w:r>
      <w:r w:rsidRPr="00804B3B">
        <w:rPr>
          <w:rFonts w:ascii="Cambria" w:eastAsia="Times New Roman" w:hAnsi="Cambria" w:cs="Times New Roman"/>
          <w:b w:val="0"/>
          <w:bCs/>
          <w:sz w:val="22"/>
          <w:lang w:eastAsia="fr-FR"/>
        </w:rPr>
        <w:t xml:space="preserve">, Paris : la Découverte, 2011. </w:t>
      </w:r>
    </w:p>
    <w:p w14:paraId="48552BF2"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Schwarzfuchs</w:t>
      </w:r>
      <w:r w:rsidRPr="00804B3B">
        <w:rPr>
          <w:rFonts w:ascii="Cambria" w:eastAsia="Times New Roman" w:hAnsi="Cambria" w:cs="Times New Roman"/>
          <w:b w:val="0"/>
          <w:bCs/>
          <w:sz w:val="22"/>
          <w:lang w:eastAsia="fr-FR"/>
        </w:rPr>
        <w:t xml:space="preserve"> Simon et </w:t>
      </w:r>
      <w:r w:rsidRPr="00804B3B">
        <w:rPr>
          <w:rFonts w:ascii="Cambria" w:eastAsia="Times New Roman" w:hAnsi="Cambria" w:cs="Times New Roman"/>
          <w:b w:val="0"/>
          <w:bCs/>
          <w:smallCaps/>
          <w:sz w:val="22"/>
          <w:lang w:eastAsia="fr-FR"/>
        </w:rPr>
        <w:t>Catane</w:t>
      </w:r>
      <w:r w:rsidRPr="00804B3B">
        <w:rPr>
          <w:rFonts w:ascii="Cambria" w:eastAsia="Times New Roman" w:hAnsi="Cambria" w:cs="Times New Roman"/>
          <w:b w:val="0"/>
          <w:bCs/>
          <w:sz w:val="22"/>
          <w:lang w:eastAsia="fr-FR"/>
        </w:rPr>
        <w:t xml:space="preserve"> Moshé, </w:t>
      </w:r>
      <w:r w:rsidRPr="00804B3B">
        <w:rPr>
          <w:rFonts w:ascii="Cambria" w:eastAsia="Times New Roman" w:hAnsi="Cambria" w:cs="Times New Roman"/>
          <w:b w:val="0"/>
          <w:bCs/>
          <w:i/>
          <w:iCs/>
          <w:sz w:val="22"/>
          <w:lang w:eastAsia="fr-FR"/>
        </w:rPr>
        <w:t>Rachi de Troyes</w:t>
      </w:r>
      <w:r w:rsidRPr="00804B3B">
        <w:rPr>
          <w:rFonts w:ascii="Cambria" w:eastAsia="Times New Roman" w:hAnsi="Cambria" w:cs="Times New Roman"/>
          <w:b w:val="0"/>
          <w:bCs/>
          <w:sz w:val="22"/>
          <w:lang w:eastAsia="fr-FR"/>
        </w:rPr>
        <w:t xml:space="preserve">, Paris : A. Michel, 1991 (Présences du judaïsme, 3). </w:t>
      </w:r>
    </w:p>
    <w:p w14:paraId="0683B185"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Schwarzfuchs</w:t>
      </w:r>
      <w:r w:rsidRPr="00804B3B">
        <w:rPr>
          <w:rFonts w:ascii="Cambria" w:eastAsia="Times New Roman" w:hAnsi="Cambria" w:cs="Times New Roman"/>
          <w:b w:val="0"/>
          <w:bCs/>
          <w:sz w:val="22"/>
          <w:lang w:eastAsia="fr-FR"/>
        </w:rPr>
        <w:t xml:space="preserve"> Simon, </w:t>
      </w:r>
      <w:r w:rsidRPr="00804B3B">
        <w:rPr>
          <w:rFonts w:ascii="Cambria" w:eastAsia="Times New Roman" w:hAnsi="Cambria" w:cs="Times New Roman"/>
          <w:b w:val="0"/>
          <w:bCs/>
          <w:i/>
          <w:iCs/>
          <w:sz w:val="22"/>
          <w:lang w:eastAsia="fr-FR"/>
        </w:rPr>
        <w:t>Les juifs au temps des croisades en occident et en terre sainte</w:t>
      </w:r>
      <w:r w:rsidRPr="00804B3B">
        <w:rPr>
          <w:rFonts w:ascii="Cambria" w:eastAsia="Times New Roman" w:hAnsi="Cambria" w:cs="Times New Roman"/>
          <w:b w:val="0"/>
          <w:bCs/>
          <w:sz w:val="22"/>
          <w:lang w:eastAsia="fr-FR"/>
        </w:rPr>
        <w:t>, Paris : Albin Michel, 2005.</w:t>
      </w:r>
    </w:p>
    <w:p w14:paraId="053DDD30"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Wigoder</w:t>
      </w:r>
      <w:r w:rsidRPr="00804B3B">
        <w:rPr>
          <w:rFonts w:ascii="Cambria" w:eastAsia="Times New Roman" w:hAnsi="Cambria" w:cs="Times New Roman"/>
          <w:b w:val="0"/>
          <w:bCs/>
          <w:sz w:val="22"/>
          <w:lang w:eastAsia="fr-FR"/>
        </w:rPr>
        <w:t xml:space="preserve"> Geoffrey Bernard et </w:t>
      </w:r>
      <w:r w:rsidRPr="00804B3B">
        <w:rPr>
          <w:rFonts w:ascii="Cambria" w:eastAsia="Times New Roman" w:hAnsi="Cambria" w:cs="Times New Roman"/>
          <w:b w:val="0"/>
          <w:bCs/>
          <w:smallCaps/>
          <w:sz w:val="22"/>
          <w:lang w:eastAsia="fr-FR"/>
        </w:rPr>
        <w:t>Goldberg</w:t>
      </w:r>
      <w:r w:rsidRPr="00804B3B">
        <w:rPr>
          <w:rFonts w:ascii="Cambria" w:eastAsia="Times New Roman" w:hAnsi="Cambria" w:cs="Times New Roman"/>
          <w:b w:val="0"/>
          <w:bCs/>
          <w:sz w:val="22"/>
          <w:lang w:eastAsia="fr-FR"/>
        </w:rPr>
        <w:t xml:space="preserve"> Sylvie Anne, </w:t>
      </w:r>
      <w:r w:rsidRPr="00804B3B">
        <w:rPr>
          <w:rFonts w:ascii="Cambria" w:eastAsia="Times New Roman" w:hAnsi="Cambria" w:cs="Times New Roman"/>
          <w:b w:val="0"/>
          <w:bCs/>
          <w:i/>
          <w:iCs/>
          <w:sz w:val="22"/>
          <w:lang w:eastAsia="fr-FR"/>
        </w:rPr>
        <w:t>Dictionnaire encyclopédique du judaïsme</w:t>
      </w:r>
      <w:r w:rsidRPr="00804B3B">
        <w:rPr>
          <w:rFonts w:ascii="Cambria" w:eastAsia="Times New Roman" w:hAnsi="Cambria" w:cs="Times New Roman"/>
          <w:b w:val="0"/>
          <w:bCs/>
          <w:sz w:val="22"/>
          <w:lang w:eastAsia="fr-FR"/>
        </w:rPr>
        <w:t xml:space="preserve">, Paris : Cerf R. Laffont, 1996. </w:t>
      </w:r>
    </w:p>
    <w:p w14:paraId="315B31D0" w14:textId="77777777" w:rsidR="007D2804" w:rsidRPr="00804B3B" w:rsidRDefault="007D2804" w:rsidP="007D2804">
      <w:pPr>
        <w:ind w:left="284" w:hanging="480"/>
        <w:jc w:val="both"/>
        <w:rPr>
          <w:rFonts w:ascii="Cambria" w:eastAsia="Times New Roman" w:hAnsi="Cambria" w:cs="Times New Roman"/>
          <w:b w:val="0"/>
          <w:bCs/>
          <w:sz w:val="22"/>
          <w:lang w:eastAsia="fr-FR"/>
        </w:rPr>
      </w:pPr>
    </w:p>
    <w:p w14:paraId="1292B4F5" w14:textId="77777777" w:rsidR="007D2804" w:rsidRPr="00804B3B" w:rsidRDefault="007D2804" w:rsidP="007D2804">
      <w:pPr>
        <w:ind w:left="284" w:hanging="480"/>
        <w:jc w:val="both"/>
        <w:rPr>
          <w:rFonts w:ascii="Cambria" w:eastAsia="Times New Roman" w:hAnsi="Cambria" w:cs="Times New Roman"/>
          <w:b w:val="0"/>
          <w:bCs/>
          <w:i/>
          <w:sz w:val="22"/>
          <w:lang w:eastAsia="fr-FR"/>
        </w:rPr>
      </w:pPr>
      <w:r w:rsidRPr="00804B3B">
        <w:rPr>
          <w:rFonts w:ascii="Cambria" w:eastAsia="Times New Roman" w:hAnsi="Cambria" w:cs="Times New Roman"/>
          <w:b w:val="0"/>
          <w:bCs/>
          <w:sz w:val="22"/>
          <w:lang w:eastAsia="fr-FR"/>
        </w:rPr>
        <w:t xml:space="preserve">Les revues </w:t>
      </w:r>
      <w:r w:rsidRPr="00804B3B">
        <w:rPr>
          <w:rFonts w:ascii="Cambria" w:eastAsia="Times New Roman" w:hAnsi="Cambria" w:cs="Times New Roman"/>
          <w:b w:val="0"/>
          <w:bCs/>
          <w:i/>
          <w:sz w:val="22"/>
          <w:lang w:eastAsia="fr-FR"/>
        </w:rPr>
        <w:t>Archives juives</w:t>
      </w:r>
      <w:r w:rsidRPr="00804B3B">
        <w:rPr>
          <w:rFonts w:ascii="Cambria" w:eastAsia="Times New Roman" w:hAnsi="Cambria" w:cs="Times New Roman"/>
          <w:b w:val="0"/>
          <w:bCs/>
          <w:sz w:val="22"/>
          <w:lang w:eastAsia="fr-FR"/>
        </w:rPr>
        <w:t xml:space="preserve">, </w:t>
      </w:r>
      <w:r w:rsidRPr="00804B3B">
        <w:rPr>
          <w:rFonts w:ascii="Cambria" w:eastAsia="Times New Roman" w:hAnsi="Cambria" w:cs="Times New Roman"/>
          <w:b w:val="0"/>
          <w:bCs/>
          <w:i/>
          <w:sz w:val="22"/>
          <w:lang w:eastAsia="fr-FR"/>
        </w:rPr>
        <w:t xml:space="preserve">Tsafon, </w:t>
      </w:r>
      <w:r w:rsidRPr="00804B3B">
        <w:rPr>
          <w:rFonts w:ascii="Cambria" w:eastAsia="Times New Roman" w:hAnsi="Cambria" w:cs="Times New Roman"/>
          <w:b w:val="0"/>
          <w:bCs/>
          <w:sz w:val="22"/>
          <w:lang w:eastAsia="fr-FR"/>
        </w:rPr>
        <w:t>le site Akadem</w:t>
      </w:r>
      <w:r w:rsidRPr="00804B3B">
        <w:rPr>
          <w:rFonts w:ascii="Cambria" w:eastAsia="Times New Roman" w:hAnsi="Cambria" w:cs="Times New Roman"/>
          <w:b w:val="0"/>
          <w:bCs/>
          <w:i/>
          <w:sz w:val="22"/>
          <w:lang w:eastAsia="fr-FR"/>
        </w:rPr>
        <w:t xml:space="preserve">, </w:t>
      </w:r>
      <w:r w:rsidRPr="00804B3B">
        <w:rPr>
          <w:rFonts w:ascii="Cambria" w:eastAsia="Times New Roman" w:hAnsi="Cambria" w:cs="Times New Roman"/>
          <w:b w:val="0"/>
          <w:bCs/>
          <w:sz w:val="22"/>
          <w:lang w:eastAsia="fr-FR"/>
        </w:rPr>
        <w:t>les ressources du Mahj</w:t>
      </w:r>
    </w:p>
    <w:p w14:paraId="55CAF057" w14:textId="77777777" w:rsidR="0010764F" w:rsidRPr="00804B3B" w:rsidRDefault="0010764F" w:rsidP="007D2804">
      <w:pPr>
        <w:ind w:left="284" w:hanging="480"/>
        <w:jc w:val="both"/>
        <w:rPr>
          <w:rFonts w:ascii="Cambria" w:eastAsia="Times New Roman" w:hAnsi="Cambria" w:cs="Times New Roman"/>
          <w:b w:val="0"/>
          <w:bCs/>
          <w:sz w:val="22"/>
          <w:lang w:eastAsia="fr-FR"/>
        </w:rPr>
      </w:pPr>
    </w:p>
    <w:p w14:paraId="62D064CD" w14:textId="65732341" w:rsidR="00680D98" w:rsidRPr="00804B3B" w:rsidRDefault="00680D98" w:rsidP="0010764F">
      <w:pPr>
        <w:jc w:val="both"/>
        <w:rPr>
          <w:rFonts w:ascii="Cambria" w:hAnsi="Cambria"/>
          <w:b w:val="0"/>
          <w:bCs/>
          <w:iCs/>
          <w:sz w:val="22"/>
        </w:rPr>
      </w:pPr>
    </w:p>
    <w:p w14:paraId="641F0044" w14:textId="77777777" w:rsidR="0010764F" w:rsidRPr="00804B3B" w:rsidRDefault="0010764F"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5E2DBE56" w14:textId="77777777" w:rsidR="0010764F" w:rsidRPr="00804B3B" w:rsidRDefault="0010764F" w:rsidP="001076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center"/>
        <w:rPr>
          <w:rFonts w:ascii="Cambria" w:hAnsi="Cambria"/>
          <w:b w:val="0"/>
          <w:bCs/>
          <w:iCs/>
          <w:sz w:val="22"/>
        </w:rPr>
      </w:pPr>
    </w:p>
    <w:p w14:paraId="4D7A55E2" w14:textId="77777777" w:rsidR="00EF7EDD" w:rsidRPr="00804B3B" w:rsidRDefault="00EF7EDD" w:rsidP="001076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center"/>
        <w:rPr>
          <w:rFonts w:ascii="Cambria" w:hAnsi="Cambria"/>
          <w:b w:val="0"/>
          <w:bCs/>
          <w:iCs/>
          <w:sz w:val="22"/>
        </w:rPr>
      </w:pPr>
    </w:p>
    <w:p w14:paraId="61BFD230" w14:textId="77777777" w:rsidR="005D3047" w:rsidRPr="00804B3B" w:rsidRDefault="005D3047"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FE1382F"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0BE518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9AC6C15"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5ED06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110E33B"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2F5AFAD"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452E71"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D775E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274EC02" w14:textId="77777777" w:rsidR="00AF096A"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F0E0AD7"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B53CA8"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5181D1D"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173DD23"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1E1F0B3"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10D71A0" w14:textId="77777777" w:rsidR="00EC7818"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12F2F40" w14:textId="77777777" w:rsidR="00EC7818"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74043D" w14:textId="77777777" w:rsidR="00EC7818" w:rsidRPr="00525A1C"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662E8AE"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A1E4CC8"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A693CAB"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1DC4B70" w14:textId="77777777" w:rsidR="000645C7" w:rsidRPr="00525A1C" w:rsidRDefault="000645C7" w:rsidP="004B10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A6B69D2" w14:textId="029CE1B3" w:rsidR="004B10DB" w:rsidRPr="005D0231" w:rsidRDefault="002D781E" w:rsidP="004B10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D0231">
        <w:rPr>
          <w:rFonts w:ascii="Cambria" w:hAnsi="Cambria"/>
          <w:iCs/>
          <w:color w:val="C00000"/>
          <w:sz w:val="28"/>
          <w:szCs w:val="28"/>
        </w:rPr>
        <w:t>J301471</w:t>
      </w:r>
      <w:r w:rsidR="00B227DB" w:rsidRPr="005D0231">
        <w:rPr>
          <w:rFonts w:ascii="Cambria" w:hAnsi="Cambria"/>
          <w:iCs/>
          <w:color w:val="C00000"/>
          <w:sz w:val="28"/>
          <w:szCs w:val="28"/>
        </w:rPr>
        <w:t>9</w:t>
      </w:r>
      <w:r w:rsidRPr="005D0231">
        <w:rPr>
          <w:rFonts w:ascii="Cambria" w:hAnsi="Cambria"/>
          <w:iCs/>
          <w:color w:val="C00000"/>
          <w:sz w:val="28"/>
          <w:szCs w:val="28"/>
        </w:rPr>
        <w:t>/J301481</w:t>
      </w:r>
      <w:r w:rsidR="00B227DB" w:rsidRPr="005D0231">
        <w:rPr>
          <w:rFonts w:ascii="Cambria" w:hAnsi="Cambria"/>
          <w:iCs/>
          <w:color w:val="C00000"/>
          <w:sz w:val="28"/>
          <w:szCs w:val="28"/>
        </w:rPr>
        <w:t>9</w:t>
      </w:r>
      <w:r w:rsidRPr="005D0231">
        <w:rPr>
          <w:rFonts w:ascii="Cambria" w:hAnsi="Cambria"/>
          <w:iCs/>
          <w:color w:val="C00000"/>
          <w:sz w:val="28"/>
          <w:szCs w:val="28"/>
        </w:rPr>
        <w:t xml:space="preserve"> :  </w:t>
      </w:r>
      <w:r w:rsidR="004B10DB" w:rsidRPr="005D0231">
        <w:rPr>
          <w:rFonts w:ascii="Cambria" w:hAnsi="Cambria"/>
          <w:iCs/>
          <w:color w:val="C00000"/>
          <w:sz w:val="28"/>
          <w:szCs w:val="28"/>
        </w:rPr>
        <w:t>Introduction à l’anthropologie</w:t>
      </w:r>
    </w:p>
    <w:p w14:paraId="1B97C5BD" w14:textId="77777777" w:rsidR="000E2D27" w:rsidRPr="00525A1C" w:rsidRDefault="000E2D27" w:rsidP="000839B4">
      <w:pPr>
        <w:pStyle w:val="Sansinterligne"/>
        <w:jc w:val="both"/>
        <w:outlineLvl w:val="0"/>
        <w:rPr>
          <w:rFonts w:ascii="Cambria" w:hAnsi="Cambria"/>
          <w:b/>
          <w:iCs/>
        </w:rPr>
      </w:pPr>
    </w:p>
    <w:p w14:paraId="2259E5D5" w14:textId="59DC12FF" w:rsidR="000839B4" w:rsidRPr="00525A1C" w:rsidRDefault="00312099" w:rsidP="000839B4">
      <w:pPr>
        <w:pStyle w:val="Sansinterligne"/>
        <w:jc w:val="both"/>
        <w:outlineLvl w:val="0"/>
        <w:rPr>
          <w:rFonts w:ascii="Cambria" w:hAnsi="Cambria"/>
          <w:b/>
          <w:iCs/>
        </w:rPr>
      </w:pPr>
      <w:r w:rsidRPr="00525A1C">
        <w:rPr>
          <w:rFonts w:ascii="Cambria" w:hAnsi="Cambria"/>
          <w:b/>
          <w:iCs/>
        </w:rPr>
        <w:t xml:space="preserve">             </w:t>
      </w:r>
      <w:r w:rsidR="00505373" w:rsidRPr="00525A1C">
        <w:rPr>
          <w:rFonts w:ascii="Cambria" w:hAnsi="Cambria"/>
          <w:b/>
          <w:iCs/>
        </w:rPr>
        <w:t>Jean-Claude Lacam</w:t>
      </w:r>
      <w:r w:rsidR="001B7D5D" w:rsidRPr="00525A1C">
        <w:rPr>
          <w:rFonts w:ascii="Cambria" w:hAnsi="Cambria"/>
          <w:b/>
          <w:iCs/>
        </w:rPr>
        <w:t xml:space="preserve"> (S1), </w:t>
      </w:r>
      <w:r w:rsidR="00313C99" w:rsidRPr="00525A1C">
        <w:rPr>
          <w:rFonts w:ascii="Cambria" w:hAnsi="Cambria"/>
          <w:b/>
          <w:iCs/>
        </w:rPr>
        <w:t>Raphaëlle Laignoux</w:t>
      </w:r>
      <w:r w:rsidR="00515BAC" w:rsidRPr="00525A1C">
        <w:rPr>
          <w:rFonts w:ascii="Cambria" w:hAnsi="Cambria"/>
          <w:b/>
          <w:iCs/>
        </w:rPr>
        <w:t xml:space="preserve"> (</w:t>
      </w:r>
      <w:r w:rsidR="001B7D5D" w:rsidRPr="00525A1C">
        <w:rPr>
          <w:rFonts w:ascii="Cambria" w:hAnsi="Cambria"/>
          <w:b/>
          <w:iCs/>
        </w:rPr>
        <w:t>S2)</w:t>
      </w:r>
    </w:p>
    <w:p w14:paraId="6DD2DDCA" w14:textId="77777777" w:rsidR="000839B4" w:rsidRPr="00525A1C" w:rsidRDefault="000839B4" w:rsidP="000839B4">
      <w:pPr>
        <w:pStyle w:val="Sansinterligne"/>
        <w:jc w:val="both"/>
        <w:rPr>
          <w:rFonts w:ascii="Cambria" w:hAnsi="Cambria"/>
          <w:iCs/>
        </w:rPr>
      </w:pPr>
    </w:p>
    <w:p w14:paraId="6FD646FE" w14:textId="77777777" w:rsidR="00196C9E" w:rsidRPr="00525A1C" w:rsidRDefault="00196C9E" w:rsidP="00196C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0E801636" w14:textId="6F5DA601" w:rsidR="00196C9E" w:rsidRPr="005D0231" w:rsidRDefault="00196C9E" w:rsidP="00FF0B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bookmarkStart w:id="42" w:name="_Hlk202783057"/>
      <w:r w:rsidRPr="005D0231">
        <w:rPr>
          <w:rFonts w:ascii="Cambria" w:eastAsia="ArialNarrow,Bold" w:hAnsi="Cambria" w:cs="Times New Roman"/>
          <w:bCs/>
          <w:iCs/>
          <w:color w:val="C00000"/>
          <w:sz w:val="22"/>
          <w:u w:val="single"/>
        </w:rPr>
        <w:t>Sujet du cours S</w:t>
      </w:r>
      <w:bookmarkEnd w:id="42"/>
      <w:r w:rsidR="005D0231" w:rsidRPr="005D0231">
        <w:rPr>
          <w:rFonts w:ascii="Cambria" w:eastAsia="ArialNarrow,Bold" w:hAnsi="Cambria" w:cs="Times New Roman"/>
          <w:bCs/>
          <w:iCs/>
          <w:color w:val="C00000"/>
          <w:sz w:val="22"/>
          <w:u w:val="single"/>
        </w:rPr>
        <w:t>1</w:t>
      </w:r>
      <w:r w:rsidR="005D0231" w:rsidRPr="005D0231">
        <w:rPr>
          <w:rFonts w:ascii="Cambria" w:eastAsia="ArialNarrow,Bold" w:hAnsi="Cambria" w:cs="Times New Roman"/>
          <w:bCs/>
          <w:iCs/>
          <w:color w:val="C00000"/>
          <w:sz w:val="22"/>
        </w:rPr>
        <w:t xml:space="preserve"> :</w:t>
      </w:r>
      <w:r w:rsidRPr="005D0231">
        <w:rPr>
          <w:rFonts w:ascii="Cambria" w:eastAsia="ArialNarrow,Bold" w:hAnsi="Cambria" w:cs="Times New Roman"/>
          <w:bCs/>
          <w:iCs/>
          <w:color w:val="C00000"/>
          <w:sz w:val="22"/>
        </w:rPr>
        <w:t xml:space="preserve"> </w:t>
      </w:r>
      <w:r w:rsidRPr="005D0231">
        <w:rPr>
          <w:rFonts w:ascii="Cambria" w:hAnsi="Cambria" w:cs="Times New Roman"/>
          <w:iCs/>
          <w:color w:val="C00000"/>
          <w:sz w:val="22"/>
        </w:rPr>
        <w:t>Histoire et anthropologie des religions antiques (Grèce, Italie)</w:t>
      </w:r>
    </w:p>
    <w:p w14:paraId="62E0C20C" w14:textId="77777777" w:rsidR="00196C9E" w:rsidRPr="00525A1C" w:rsidRDefault="00196C9E" w:rsidP="00FF0B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eastAsia="ArialNarrow,Bold" w:hAnsi="Cambria" w:cs="Times New Roman"/>
          <w:bCs/>
          <w:iCs/>
          <w:color w:val="004E9A"/>
          <w:sz w:val="22"/>
        </w:rPr>
      </w:pPr>
    </w:p>
    <w:p w14:paraId="7634AFC6" w14:textId="77777777" w:rsidR="00437086" w:rsidRPr="00525A1C" w:rsidRDefault="00437086" w:rsidP="00437086">
      <w:pPr>
        <w:jc w:val="both"/>
        <w:rPr>
          <w:rFonts w:ascii="Cambria" w:hAnsi="Cambria" w:cs="Times New Roman"/>
          <w:b w:val="0"/>
          <w:bCs/>
          <w:iCs/>
          <w:color w:val="353535"/>
        </w:rPr>
      </w:pPr>
      <w:r w:rsidRPr="00525A1C">
        <w:rPr>
          <w:rFonts w:ascii="Cambria" w:hAnsi="Cambria" w:cs="Times New Roman"/>
          <w:b w:val="0"/>
          <w:bCs/>
          <w:iCs/>
          <w:color w:val="353535"/>
        </w:rPr>
        <w:t>Il s’agira d’étudier les religions des mondes grecs, romains, étrusques et italiques, en adoptant une méthode disciplinaire transversale qui fait place égale à l’anthropologie et à l’histoire, dans la lignée des travaux de Jean-Pierre Vernant, Georges Dumézil ou encore John Scheid.</w:t>
      </w:r>
      <w:r w:rsidRPr="00525A1C">
        <w:rPr>
          <w:rFonts w:ascii="Cambria" w:eastAsia="Times New Roman" w:hAnsi="Cambria" w:cs="Times New Roman"/>
          <w:b w:val="0"/>
          <w:bCs/>
          <w:iCs/>
          <w:color w:val="454545"/>
          <w:sz w:val="21"/>
          <w:szCs w:val="21"/>
          <w:lang w:eastAsia="fr-FR"/>
        </w:rPr>
        <w:t xml:space="preserve"> </w:t>
      </w:r>
      <w:r w:rsidRPr="00525A1C">
        <w:rPr>
          <w:rFonts w:ascii="Cambria" w:hAnsi="Cambria" w:cs="Times New Roman"/>
          <w:b w:val="0"/>
          <w:bCs/>
          <w:iCs/>
          <w:color w:val="353535"/>
        </w:rPr>
        <w:t>L’analyse approfondie et croisée de sources variées (littéraires, archéologiques, épigraphiques ou numismatiques) devrait permettre de comprendre, de l’intérieur, de manière diachronique et comparative, le fonctionnement et les spécificités de système religieux antiques homologues structurellement (fondés sur des pratiques foncièrement polythéistes, ritualistes et communautaires) et pourtant porteurs d’infinies variations d’une terre à une autre.</w:t>
      </w:r>
    </w:p>
    <w:p w14:paraId="5E483D2F" w14:textId="77777777" w:rsidR="00437086" w:rsidRPr="00525A1C" w:rsidRDefault="00437086" w:rsidP="00437086">
      <w:pPr>
        <w:rPr>
          <w:rFonts w:ascii="Cambria" w:eastAsia="Times New Roman" w:hAnsi="Cambria" w:cs="Times New Roman"/>
          <w:b w:val="0"/>
          <w:bCs/>
          <w:iCs/>
          <w:color w:val="454545"/>
          <w:lang w:eastAsia="fr-FR"/>
        </w:rPr>
      </w:pPr>
    </w:p>
    <w:p w14:paraId="14601077" w14:textId="77777777" w:rsidR="00437086" w:rsidRPr="00525A1C" w:rsidRDefault="00437086" w:rsidP="00437086">
      <w:pPr>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u w:val="single"/>
          <w:lang w:eastAsia="fr-FR"/>
        </w:rPr>
        <w:t>Bibliographie</w:t>
      </w:r>
      <w:r w:rsidRPr="00525A1C">
        <w:rPr>
          <w:rFonts w:ascii="Cambria" w:eastAsia="Times New Roman" w:hAnsi="Cambria" w:cs="Times New Roman"/>
          <w:b w:val="0"/>
          <w:bCs/>
          <w:iCs/>
          <w:color w:val="454545"/>
          <w:lang w:eastAsia="fr-FR"/>
        </w:rPr>
        <w:t> :</w:t>
      </w:r>
    </w:p>
    <w:p w14:paraId="44645748"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M. Beard, J. North, S. Price, Religions de Rome, volume 1, Paris, 2006.</w:t>
      </w:r>
    </w:p>
    <w:p w14:paraId="58754BE2"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 xml:space="preserve">M. Détienne, J.-P. Vernant (éd.), La cuisine du sacrifice en pays grec, Paris, 1979. </w:t>
      </w:r>
    </w:p>
    <w:p w14:paraId="26ECF811"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G. Dumézil, La religion romaine archaïque, Paris, 1987 [1974].</w:t>
      </w:r>
    </w:p>
    <w:p w14:paraId="6BF56B48"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val="de-DE" w:eastAsia="fr-FR"/>
        </w:rPr>
        <w:t>J. Scheid, La religion des Romains, Paris, 2017 [1998].</w:t>
      </w:r>
      <w:r w:rsidRPr="00525A1C">
        <w:rPr>
          <w:rFonts w:ascii="Cambria" w:eastAsia="Times New Roman" w:hAnsi="Cambria" w:cs="Times New Roman"/>
          <w:b w:val="0"/>
          <w:bCs/>
          <w:iCs/>
          <w:color w:val="454545"/>
          <w:lang w:eastAsia="fr-FR"/>
        </w:rPr>
        <w:t xml:space="preserve"> </w:t>
      </w:r>
    </w:p>
    <w:p w14:paraId="41219175"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 xml:space="preserve">J.-P. Vernant, Mythe et Pensée chez les Grecs. Études de psychologie historique, Paris, 2007 [1965]. </w:t>
      </w:r>
    </w:p>
    <w:p w14:paraId="3FD60959" w14:textId="77777777" w:rsidR="00437086" w:rsidRPr="00525A1C" w:rsidRDefault="00437086" w:rsidP="00437086">
      <w:pPr>
        <w:rPr>
          <w:rFonts w:ascii="Cambria" w:hAnsi="Cambria"/>
          <w:b w:val="0"/>
          <w:bCs/>
        </w:rPr>
      </w:pPr>
    </w:p>
    <w:p w14:paraId="3D4045E3" w14:textId="77777777" w:rsidR="00196C9E" w:rsidRPr="00525A1C" w:rsidRDefault="00196C9E" w:rsidP="00196C9E">
      <w:pPr>
        <w:rPr>
          <w:rFonts w:ascii="Cambria" w:hAnsi="Cambria"/>
          <w:b w:val="0"/>
          <w:bCs/>
          <w:sz w:val="22"/>
        </w:rPr>
      </w:pPr>
    </w:p>
    <w:p w14:paraId="737D7319" w14:textId="77777777" w:rsidR="00196C9E" w:rsidRPr="00525A1C" w:rsidRDefault="00196C9E" w:rsidP="00515B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758F5485" w14:textId="77777777" w:rsidR="000645C7" w:rsidRPr="00525A1C" w:rsidRDefault="000645C7" w:rsidP="00F54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5A6846" w14:textId="04C9F9F4" w:rsidR="003F664C" w:rsidRPr="005D0231" w:rsidRDefault="00186512" w:rsidP="003F66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eastAsia="Aptos" w:hAnsi="Cambria" w:cs="Times New Roman"/>
          <w:b w:val="0"/>
          <w:color w:val="C00000"/>
          <w:sz w:val="22"/>
          <w:lang w:val="pt-BR" w:eastAsia="en-US"/>
          <w14:ligatures w14:val="standardContextual"/>
        </w:rPr>
      </w:pPr>
      <w:r w:rsidRPr="005D0231">
        <w:rPr>
          <w:rFonts w:ascii="Cambria" w:eastAsia="ArialNarrow,Bold" w:hAnsi="Cambria" w:cs="Times New Roman"/>
          <w:bCs/>
          <w:iCs/>
          <w:color w:val="C00000"/>
          <w:sz w:val="22"/>
          <w:u w:val="single"/>
        </w:rPr>
        <w:t>Sujet du cours S2</w:t>
      </w:r>
      <w:r w:rsidR="0037519F" w:rsidRPr="005D0231">
        <w:rPr>
          <w:rFonts w:ascii="Cambria" w:eastAsia="ArialNarrow,Bold" w:hAnsi="Cambria" w:cs="Times New Roman"/>
          <w:bCs/>
          <w:iCs/>
          <w:color w:val="C00000"/>
          <w:sz w:val="22"/>
          <w:u w:val="single"/>
        </w:rPr>
        <w:t> </w:t>
      </w:r>
      <w:r w:rsidR="0037519F" w:rsidRPr="005D0231">
        <w:rPr>
          <w:rFonts w:ascii="Cambria" w:eastAsia="ArialNarrow,Bold" w:hAnsi="Cambria" w:cs="Times New Roman"/>
          <w:bCs/>
          <w:iCs/>
          <w:color w:val="C00000"/>
          <w:sz w:val="22"/>
        </w:rPr>
        <w:t xml:space="preserve">: </w:t>
      </w:r>
      <w:r w:rsidR="008D5702" w:rsidRPr="005D0231">
        <w:rPr>
          <w:rFonts w:ascii="Cambria" w:eastAsia="ArialNarrow,Bold" w:hAnsi="Cambria" w:cs="Times New Roman"/>
          <w:bCs/>
          <w:iCs/>
          <w:color w:val="C00000"/>
          <w:sz w:val="22"/>
        </w:rPr>
        <w:t>Histoire et anthropologie de la guerre civile (mondes grec et romain)</w:t>
      </w:r>
    </w:p>
    <w:p w14:paraId="02F1BC88" w14:textId="77777777" w:rsidR="009166DC" w:rsidRPr="005D0231" w:rsidRDefault="009166DC"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F50F8C4" w14:textId="77777777" w:rsidR="00827F99" w:rsidRPr="00525A1C" w:rsidRDefault="00827F99" w:rsidP="00827F99">
      <w:pPr>
        <w:pStyle w:val="PrformatHTML"/>
        <w:jc w:val="both"/>
        <w:rPr>
          <w:rFonts w:ascii="Cambria" w:hAnsi="Cambria"/>
          <w:color w:val="000000" w:themeColor="text1"/>
          <w:sz w:val="22"/>
          <w:szCs w:val="22"/>
        </w:rPr>
      </w:pPr>
      <w:r w:rsidRPr="00525A1C">
        <w:rPr>
          <w:rFonts w:ascii="Cambria" w:hAnsi="Cambria"/>
          <w:color w:val="000000" w:themeColor="text1"/>
          <w:sz w:val="22"/>
          <w:szCs w:val="22"/>
        </w:rPr>
        <w:t xml:space="preserve">Ce cours se centre sur l’irruption de la guerre civile dans les cités antiques, en particulier à Athènes et à Rome. Comment comprendre les oppositions violentes et fratricides entre concitoyens ? La </w:t>
      </w:r>
      <w:r w:rsidRPr="00525A1C">
        <w:rPr>
          <w:rFonts w:ascii="Cambria" w:hAnsi="Cambria"/>
          <w:i/>
          <w:iCs/>
          <w:color w:val="000000" w:themeColor="text1"/>
          <w:sz w:val="22"/>
          <w:szCs w:val="22"/>
        </w:rPr>
        <w:t xml:space="preserve">stasis </w:t>
      </w:r>
      <w:r w:rsidRPr="00525A1C">
        <w:rPr>
          <w:rFonts w:ascii="Cambria" w:hAnsi="Cambria"/>
          <w:color w:val="000000" w:themeColor="text1"/>
          <w:sz w:val="22"/>
          <w:szCs w:val="22"/>
        </w:rPr>
        <w:t>est-elle forcément inhérente au politique dans la cité grecque comme l’écrivait Nicole Loraux à propos d’Athènes ? Les Romains ont-ils vraiment « inventé » la guerre civile comme le suggère David Armitage ? A partir de sources variées (</w:t>
      </w:r>
      <w:r w:rsidRPr="00525A1C">
        <w:rPr>
          <w:rFonts w:ascii="Cambria" w:hAnsi="Cambria"/>
          <w:bCs/>
          <w:iCs/>
          <w:color w:val="000000" w:themeColor="text1"/>
          <w:sz w:val="22"/>
          <w:szCs w:val="22"/>
        </w:rPr>
        <w:t>textuelles et iconographiques</w:t>
      </w:r>
      <w:r w:rsidRPr="00525A1C">
        <w:rPr>
          <w:rFonts w:ascii="Cambria" w:hAnsi="Cambria"/>
          <w:color w:val="000000" w:themeColor="text1"/>
          <w:sz w:val="22"/>
          <w:szCs w:val="22"/>
        </w:rPr>
        <w:t xml:space="preserve">) et d’une réflexion anthropologique, historique et comparatiste, il s’agira de s’interroger sur les origines, le déroulement, les acteurs et les conséquences de ces conflits traumatiques. Cela permettra </w:t>
      </w:r>
      <w:r w:rsidRPr="00525A1C">
        <w:rPr>
          <w:rFonts w:ascii="Cambria" w:hAnsi="Cambria"/>
          <w:i/>
          <w:iCs/>
          <w:color w:val="000000" w:themeColor="text1"/>
          <w:sz w:val="22"/>
          <w:szCs w:val="22"/>
        </w:rPr>
        <w:t>in fine</w:t>
      </w:r>
      <w:r w:rsidRPr="00525A1C">
        <w:rPr>
          <w:rFonts w:ascii="Cambria" w:hAnsi="Cambria"/>
          <w:color w:val="000000" w:themeColor="text1"/>
          <w:sz w:val="22"/>
          <w:szCs w:val="22"/>
        </w:rPr>
        <w:t xml:space="preserve"> de dégager à la fois les invariants et les singularités des situations de guerre civile dans le monde classique, tout en ouvrant des perspectives de réflexion sur les guerres civiles contemporaines. </w:t>
      </w:r>
    </w:p>
    <w:p w14:paraId="60647861" w14:textId="77777777" w:rsidR="00827F99" w:rsidRPr="00525A1C" w:rsidRDefault="00827F99" w:rsidP="00827F99">
      <w:pPr>
        <w:jc w:val="both"/>
        <w:rPr>
          <w:rFonts w:ascii="Cambria" w:hAnsi="Cambria" w:cs="Times New Roman"/>
          <w:sz w:val="22"/>
        </w:rPr>
      </w:pPr>
    </w:p>
    <w:p w14:paraId="096B00C7" w14:textId="77777777" w:rsidR="00827F99" w:rsidRPr="00525A1C" w:rsidRDefault="00827F99" w:rsidP="00827F99">
      <w:pPr>
        <w:jc w:val="both"/>
        <w:rPr>
          <w:rFonts w:ascii="Cambria" w:eastAsia="Times New Roman" w:hAnsi="Cambria" w:cs="Times New Roman"/>
          <w:b w:val="0"/>
          <w:bCs/>
          <w:iCs/>
          <w:color w:val="000000" w:themeColor="text1"/>
          <w:sz w:val="22"/>
          <w:lang w:eastAsia="fr-FR"/>
        </w:rPr>
      </w:pPr>
      <w:r w:rsidRPr="00525A1C">
        <w:rPr>
          <w:rFonts w:ascii="Cambria" w:eastAsia="Times New Roman" w:hAnsi="Cambria" w:cs="Times New Roman"/>
          <w:bCs/>
          <w:iCs/>
          <w:color w:val="000000" w:themeColor="text1"/>
          <w:sz w:val="22"/>
          <w:u w:val="single"/>
          <w:lang w:eastAsia="fr-FR"/>
        </w:rPr>
        <w:t>Bibliographie</w:t>
      </w:r>
      <w:r w:rsidRPr="00525A1C">
        <w:rPr>
          <w:rFonts w:ascii="Cambria" w:eastAsia="Times New Roman" w:hAnsi="Cambria" w:cs="Times New Roman"/>
          <w:bCs/>
          <w:iCs/>
          <w:color w:val="000000" w:themeColor="text1"/>
          <w:sz w:val="22"/>
          <w:lang w:eastAsia="fr-FR"/>
        </w:rPr>
        <w:t> :</w:t>
      </w:r>
    </w:p>
    <w:p w14:paraId="6909761B"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G. Agamben, </w:t>
      </w:r>
      <w:r w:rsidRPr="005D0231">
        <w:rPr>
          <w:rFonts w:ascii="Cambria" w:hAnsi="Cambria" w:cs="Times New Roman"/>
          <w:b w:val="0"/>
          <w:bCs/>
          <w:i/>
          <w:sz w:val="22"/>
        </w:rPr>
        <w:t xml:space="preserve">La guerre civile. Pour une théorie politique de la </w:t>
      </w:r>
      <w:r w:rsidRPr="005D0231">
        <w:rPr>
          <w:rFonts w:ascii="Cambria" w:hAnsi="Cambria" w:cs="Times New Roman"/>
          <w:b w:val="0"/>
          <w:bCs/>
          <w:sz w:val="22"/>
        </w:rPr>
        <w:t>stasis</w:t>
      </w:r>
      <w:r w:rsidRPr="005D0231">
        <w:rPr>
          <w:rFonts w:ascii="Cambria" w:hAnsi="Cambria" w:cs="Times New Roman"/>
          <w:b w:val="0"/>
          <w:bCs/>
          <w:i/>
          <w:sz w:val="22"/>
        </w:rPr>
        <w:t xml:space="preserve">, </w:t>
      </w:r>
      <w:r w:rsidRPr="005D0231">
        <w:rPr>
          <w:rFonts w:ascii="Cambria" w:hAnsi="Cambria" w:cs="Times New Roman"/>
          <w:b w:val="0"/>
          <w:bCs/>
          <w:sz w:val="22"/>
        </w:rPr>
        <w:t>Paris, 2015.</w:t>
      </w:r>
    </w:p>
    <w:p w14:paraId="2B04E345"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lang w:val="en-US"/>
        </w:rPr>
        <w:t xml:space="preserve">D. Armitage, </w:t>
      </w:r>
      <w:r w:rsidRPr="005D0231">
        <w:rPr>
          <w:rFonts w:ascii="Cambria" w:hAnsi="Cambria" w:cs="Times New Roman"/>
          <w:b w:val="0"/>
          <w:bCs/>
          <w:i/>
          <w:sz w:val="22"/>
          <w:lang w:val="en-US"/>
        </w:rPr>
        <w:t>Civil wars. A history in ideas</w:t>
      </w:r>
      <w:r w:rsidRPr="005D0231">
        <w:rPr>
          <w:rFonts w:ascii="Cambria" w:hAnsi="Cambria" w:cs="Times New Roman"/>
          <w:b w:val="0"/>
          <w:bCs/>
          <w:sz w:val="22"/>
          <w:lang w:val="en-US"/>
        </w:rPr>
        <w:t>, New York</w:t>
      </w:r>
      <w:r w:rsidRPr="005D0231">
        <w:rPr>
          <w:rFonts w:ascii="Cambria" w:hAnsi="Cambria" w:cs="Times New Roman"/>
          <w:b w:val="0"/>
          <w:bCs/>
          <w:sz w:val="22"/>
        </w:rPr>
        <w:t>, 2017.</w:t>
      </w:r>
    </w:p>
    <w:p w14:paraId="758F9266"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V. Azoulay, P. Ismard, </w:t>
      </w:r>
      <w:r w:rsidRPr="005D0231">
        <w:rPr>
          <w:rFonts w:ascii="Cambria" w:hAnsi="Cambria" w:cs="Times New Roman"/>
          <w:b w:val="0"/>
          <w:bCs/>
          <w:i/>
          <w:sz w:val="22"/>
        </w:rPr>
        <w:t>Athènes 403. Une histoire chorale</w:t>
      </w:r>
      <w:r w:rsidRPr="005D0231">
        <w:rPr>
          <w:rFonts w:ascii="Cambria" w:hAnsi="Cambria" w:cs="Times New Roman"/>
          <w:b w:val="0"/>
          <w:bCs/>
          <w:sz w:val="22"/>
        </w:rPr>
        <w:t>, Paris, 2020.</w:t>
      </w:r>
    </w:p>
    <w:p w14:paraId="1FF04612"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color w:val="000000" w:themeColor="text1"/>
          <w:sz w:val="22"/>
        </w:rPr>
        <w:t xml:space="preserve">M. Bats, J.-C. Lacam, R. Laignoux (dir.), </w:t>
      </w:r>
      <w:r w:rsidRPr="005D0231">
        <w:rPr>
          <w:rFonts w:ascii="Cambria" w:hAnsi="Cambria" w:cs="Times New Roman"/>
          <w:b w:val="0"/>
          <w:bCs/>
          <w:i/>
          <w:color w:val="000000"/>
          <w:sz w:val="22"/>
        </w:rPr>
        <w:t>La République face aux crises : traumatismes, résilience et recompositions aux temps des guerres hannibalique et civiles (218-201 / 49-30 av. J.-C.)</w:t>
      </w:r>
      <w:r w:rsidRPr="005D0231">
        <w:rPr>
          <w:rFonts w:ascii="Cambria" w:hAnsi="Cambria" w:cs="Times New Roman"/>
          <w:b w:val="0"/>
          <w:bCs/>
          <w:color w:val="000000"/>
          <w:sz w:val="22"/>
        </w:rPr>
        <w:t>, 2 tomes, Bordeaux, 2023-2026.</w:t>
      </w:r>
    </w:p>
    <w:p w14:paraId="5FBCF37C"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N. Grangé, </w:t>
      </w:r>
      <w:r w:rsidRPr="005D0231">
        <w:rPr>
          <w:rFonts w:ascii="Cambria" w:hAnsi="Cambria" w:cs="Times New Roman"/>
          <w:b w:val="0"/>
          <w:bCs/>
          <w:i/>
          <w:sz w:val="22"/>
        </w:rPr>
        <w:t>De la guerre civile</w:t>
      </w:r>
      <w:r w:rsidRPr="005D0231">
        <w:rPr>
          <w:rFonts w:ascii="Cambria" w:hAnsi="Cambria" w:cs="Times New Roman"/>
          <w:b w:val="0"/>
          <w:bCs/>
          <w:sz w:val="22"/>
        </w:rPr>
        <w:t>, Paris, 2009.</w:t>
      </w:r>
    </w:p>
    <w:p w14:paraId="6ED5B8CE"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N. Loraux, </w:t>
      </w:r>
      <w:r w:rsidRPr="005D0231">
        <w:rPr>
          <w:rFonts w:ascii="Cambria" w:hAnsi="Cambria" w:cs="Times New Roman"/>
          <w:b w:val="0"/>
          <w:bCs/>
          <w:i/>
          <w:sz w:val="22"/>
        </w:rPr>
        <w:t>La cité divisée. L’oubli dans la mémoire d’Athènes</w:t>
      </w:r>
      <w:r w:rsidRPr="005D0231">
        <w:rPr>
          <w:rFonts w:ascii="Cambria" w:hAnsi="Cambria" w:cs="Times New Roman"/>
          <w:b w:val="0"/>
          <w:bCs/>
          <w:sz w:val="22"/>
        </w:rPr>
        <w:t>, Paris, 1997.</w:t>
      </w:r>
    </w:p>
    <w:p w14:paraId="6C58DD8A" w14:textId="77777777" w:rsidR="009166DC" w:rsidRPr="005D0231" w:rsidRDefault="009166DC"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02E254FB" w14:textId="77777777" w:rsidR="009166DC" w:rsidRPr="00525A1C" w:rsidRDefault="009166DC" w:rsidP="003120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DC2D5CA" w14:textId="77777777" w:rsidR="00827F99" w:rsidRPr="00525A1C" w:rsidRDefault="00827F99" w:rsidP="00315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037E085" w14:textId="77777777" w:rsidR="00827F99" w:rsidRPr="00525A1C" w:rsidRDefault="00827F99" w:rsidP="00315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27F2260" w14:textId="77777777" w:rsidR="00855C88" w:rsidRPr="00525A1C" w:rsidRDefault="00855C88"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rPr>
      </w:pPr>
    </w:p>
    <w:p w14:paraId="6365ACEF" w14:textId="77777777" w:rsidR="0056419B" w:rsidRPr="00525A1C" w:rsidRDefault="0056419B"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9EFB4D8" w14:textId="77777777" w:rsidR="00D77FD6" w:rsidRPr="005D0231" w:rsidRDefault="00D77FD6" w:rsidP="00D77F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D0231">
        <w:rPr>
          <w:rFonts w:ascii="Cambria" w:hAnsi="Cambria"/>
          <w:iCs/>
          <w:color w:val="C00000"/>
          <w:sz w:val="28"/>
          <w:szCs w:val="28"/>
        </w:rPr>
        <w:t>J3013319/J3013419 : Introduction à l'histoire culturelle contemporaine</w:t>
      </w:r>
    </w:p>
    <w:p w14:paraId="7BF9CC2F" w14:textId="77777777" w:rsidR="00D77FD6" w:rsidRPr="005D0231" w:rsidRDefault="00D77FD6" w:rsidP="00D77F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Cambria" w:hAnsi="Cambria" w:cs="Times New Roman"/>
          <w:bCs/>
          <w:iCs/>
          <w:color w:val="C00000"/>
          <w:sz w:val="28"/>
          <w:szCs w:val="28"/>
        </w:rPr>
      </w:pPr>
      <w:r w:rsidRPr="005D0231">
        <w:rPr>
          <w:rFonts w:ascii="Cambria" w:hAnsi="Cambria" w:cs="Times New Roman"/>
          <w:bCs/>
          <w:iCs/>
          <w:color w:val="C00000"/>
          <w:sz w:val="28"/>
          <w:szCs w:val="28"/>
        </w:rPr>
        <w:t xml:space="preserve">    </w:t>
      </w:r>
    </w:p>
    <w:p w14:paraId="006F83C4" w14:textId="1B3B6A27" w:rsidR="00D77FD6" w:rsidRPr="005D0231" w:rsidRDefault="00D77FD6" w:rsidP="002814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Cambria" w:hAnsi="Cambria"/>
          <w:iCs/>
          <w:color w:val="C00000"/>
          <w:sz w:val="28"/>
          <w:szCs w:val="28"/>
        </w:rPr>
      </w:pPr>
      <w:r w:rsidRPr="005D0231">
        <w:rPr>
          <w:rFonts w:ascii="Cambria" w:hAnsi="Cambria" w:cs="Times New Roman"/>
          <w:bCs/>
          <w:iCs/>
          <w:color w:val="C00000"/>
          <w:sz w:val="28"/>
          <w:szCs w:val="28"/>
          <w:u w:val="single"/>
        </w:rPr>
        <w:t xml:space="preserve">Cet enseignement </w:t>
      </w:r>
      <w:r w:rsidR="0028149C" w:rsidRPr="005D0231">
        <w:rPr>
          <w:rFonts w:ascii="Cambria" w:hAnsi="Cambria" w:cs="Times New Roman"/>
          <w:bCs/>
          <w:iCs/>
          <w:color w:val="C00000"/>
          <w:sz w:val="28"/>
          <w:szCs w:val="28"/>
          <w:u w:val="single"/>
        </w:rPr>
        <w:t>est suspendu pour cette année</w:t>
      </w:r>
    </w:p>
    <w:p w14:paraId="210FA1FF" w14:textId="77777777" w:rsidR="00D77FD6" w:rsidRPr="005D0231"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C00000"/>
          <w:sz w:val="28"/>
          <w:szCs w:val="28"/>
        </w:rPr>
      </w:pPr>
    </w:p>
    <w:p w14:paraId="2DA76495"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69E7326"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439C14"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5B16AF"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92A9271"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7AC19C9"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725B778"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AF65268"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6301D77"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A0DDD4D"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944469"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C4C8C4F"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DAA560"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4159B4B"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C5EA1E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C2F5E8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27AF1A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9F2AB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C12F6D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8ECCEB"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4540BA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B4D597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3084F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F5F4CB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93CEA4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019300"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2B9657"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C6FFC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47A278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0C35F7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DBFA39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CE82C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5E6A729"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AAEF0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41EC7A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6380FD0"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4C4691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45BD26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28D1A1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E93C6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30F298"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A8D687"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DDD7E9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E27D0C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8DFB2C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2FA36C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2884C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E978B3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E56DD5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4CCB64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4EEA31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54D670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AA4E4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88C35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E689AD9"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C41733"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6E09266"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5E5ACF2"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E200B5"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CAC1B67"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761886F"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C77568C"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091FA18"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9BC32BC"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1E11388"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FA93A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06854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BF801E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AE4B8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EA83067" w14:textId="77777777" w:rsidR="0063567B" w:rsidRPr="00525A1C" w:rsidRDefault="0063567B" w:rsidP="003527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2555C89F" w14:textId="77777777" w:rsidR="0063567B" w:rsidRPr="00E7295F" w:rsidRDefault="0063567B" w:rsidP="006356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8"/>
        <w:jc w:val="center"/>
        <w:rPr>
          <w:rFonts w:ascii="Cambria" w:hAnsi="Cambria"/>
          <w:iCs/>
          <w:color w:val="C00000"/>
          <w:sz w:val="28"/>
          <w:szCs w:val="28"/>
        </w:rPr>
      </w:pPr>
      <w:r w:rsidRPr="00E7295F">
        <w:rPr>
          <w:rFonts w:ascii="Cambria" w:hAnsi="Cambria"/>
          <w:iCs/>
          <w:color w:val="C00000"/>
          <w:sz w:val="28"/>
          <w:szCs w:val="28"/>
        </w:rPr>
        <w:t>J301451</w:t>
      </w:r>
      <w:r w:rsidR="000307AE" w:rsidRPr="00E7295F">
        <w:rPr>
          <w:rFonts w:ascii="Cambria" w:hAnsi="Cambria"/>
          <w:iCs/>
          <w:color w:val="C00000"/>
          <w:sz w:val="28"/>
          <w:szCs w:val="28"/>
        </w:rPr>
        <w:t>9</w:t>
      </w:r>
      <w:r w:rsidRPr="00E7295F">
        <w:rPr>
          <w:rFonts w:ascii="Cambria" w:hAnsi="Cambria"/>
          <w:iCs/>
          <w:color w:val="C00000"/>
          <w:sz w:val="28"/>
          <w:szCs w:val="28"/>
        </w:rPr>
        <w:t>/J301461</w:t>
      </w:r>
      <w:r w:rsidR="000307AE" w:rsidRPr="00E7295F">
        <w:rPr>
          <w:rFonts w:ascii="Cambria" w:hAnsi="Cambria"/>
          <w:iCs/>
          <w:color w:val="C00000"/>
          <w:sz w:val="28"/>
          <w:szCs w:val="28"/>
        </w:rPr>
        <w:t>9</w:t>
      </w:r>
      <w:r w:rsidRPr="00E7295F">
        <w:rPr>
          <w:rFonts w:ascii="Cambria" w:hAnsi="Cambria"/>
          <w:iCs/>
          <w:color w:val="C00000"/>
          <w:sz w:val="28"/>
          <w:szCs w:val="28"/>
        </w:rPr>
        <w:t xml:space="preserve"> : </w:t>
      </w:r>
      <w:r w:rsidR="00B829F2" w:rsidRPr="00E7295F">
        <w:rPr>
          <w:rFonts w:ascii="Cambria" w:hAnsi="Cambria"/>
          <w:iCs/>
          <w:color w:val="C00000"/>
          <w:sz w:val="28"/>
          <w:szCs w:val="28"/>
        </w:rPr>
        <w:t>Les politiques économiques et sociales du XVIIIe siècle à nos jours</w:t>
      </w:r>
    </w:p>
    <w:p w14:paraId="66FE3022" w14:textId="77777777" w:rsidR="0063567B" w:rsidRPr="00E7295F" w:rsidRDefault="0063567B" w:rsidP="006356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8"/>
        <w:jc w:val="center"/>
        <w:rPr>
          <w:rFonts w:ascii="Cambria" w:hAnsi="Cambria"/>
          <w:iCs/>
          <w:color w:val="C00000"/>
          <w:sz w:val="28"/>
          <w:szCs w:val="28"/>
        </w:rPr>
      </w:pPr>
    </w:p>
    <w:p w14:paraId="40898748" w14:textId="1E643A46" w:rsidR="001457A6"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center"/>
        <w:rPr>
          <w:rFonts w:ascii="Cambria" w:eastAsia="ヒラギノ角ゴ Pro W3" w:hAnsi="Cambria" w:cs="Times New Roman"/>
          <w:iCs/>
          <w:color w:val="000000"/>
          <w:kern w:val="0"/>
          <w:sz w:val="22"/>
          <w:lang w:eastAsia="en-US"/>
        </w:rPr>
      </w:pPr>
      <w:r w:rsidRPr="00525A1C">
        <w:rPr>
          <w:rFonts w:ascii="Cambria" w:eastAsia="ヒラギノ角ゴ Pro W3" w:hAnsi="Cambria" w:cs="Times New Roman"/>
          <w:iCs/>
          <w:color w:val="000000"/>
          <w:kern w:val="0"/>
          <w:sz w:val="22"/>
          <w:lang w:eastAsia="en-US"/>
        </w:rPr>
        <w:t>Frédéric Tristram</w:t>
      </w:r>
      <w:r w:rsidR="00B9156F" w:rsidRPr="00525A1C">
        <w:rPr>
          <w:rFonts w:ascii="Cambria" w:eastAsia="ヒラギノ角ゴ Pro W3" w:hAnsi="Cambria" w:cs="Times New Roman"/>
          <w:iCs/>
          <w:color w:val="000000"/>
          <w:kern w:val="0"/>
          <w:sz w:val="22"/>
          <w:lang w:eastAsia="en-US"/>
        </w:rPr>
        <w:t>/Anne Conchon</w:t>
      </w:r>
    </w:p>
    <w:p w14:paraId="7717A374"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L’objectif de cet enseignement est d’offrir aux étudiants une vision large des politiques économiques </w:t>
      </w:r>
      <w:r w:rsidR="00B9156F" w:rsidRPr="00525A1C">
        <w:rPr>
          <w:rFonts w:ascii="Cambria" w:eastAsia="ヒラギノ角ゴ Pro W3" w:hAnsi="Cambria" w:cs="Times New Roman"/>
          <w:b w:val="0"/>
          <w:iCs/>
          <w:color w:val="000000"/>
          <w:kern w:val="0"/>
          <w:sz w:val="22"/>
          <w:lang w:eastAsia="en-US"/>
        </w:rPr>
        <w:t xml:space="preserve">et sociales </w:t>
      </w:r>
      <w:r w:rsidRPr="00525A1C">
        <w:rPr>
          <w:rFonts w:ascii="Cambria" w:eastAsia="ヒラギノ角ゴ Pro W3" w:hAnsi="Cambria" w:cs="Times New Roman"/>
          <w:b w:val="0"/>
          <w:iCs/>
          <w:color w:val="000000"/>
          <w:kern w:val="0"/>
          <w:sz w:val="22"/>
          <w:lang w:eastAsia="en-US"/>
        </w:rPr>
        <w:t xml:space="preserve">mises en </w:t>
      </w:r>
      <w:r w:rsidR="000307AE" w:rsidRPr="00525A1C">
        <w:rPr>
          <w:rFonts w:ascii="Cambria" w:eastAsia="ヒラギノ角ゴ Pro W3" w:hAnsi="Cambria" w:cs="Times New Roman"/>
          <w:b w:val="0"/>
          <w:iCs/>
          <w:color w:val="000000"/>
          <w:kern w:val="0"/>
          <w:sz w:val="22"/>
          <w:lang w:eastAsia="en-US"/>
        </w:rPr>
        <w:t>œuvre</w:t>
      </w:r>
      <w:r w:rsidRPr="00525A1C">
        <w:rPr>
          <w:rFonts w:ascii="Cambria" w:eastAsia="ヒラギノ角ゴ Pro W3" w:hAnsi="Cambria" w:cs="Times New Roman"/>
          <w:b w:val="0"/>
          <w:iCs/>
          <w:color w:val="000000"/>
          <w:kern w:val="0"/>
          <w:sz w:val="22"/>
          <w:lang w:eastAsia="en-US"/>
        </w:rPr>
        <w:t xml:space="preserve"> aux XIX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et XX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siècles en France et dans les principaux pays industrialisés (Royaume-Uni, Etats-Unis, Allemagne). Seront ainsi présentées, au premier semestre, les politiques budgétaires et fiscales, les politiques monétaires et de financement, les politiques industrielles et commerciales, les politiques de protection sociale et la mise en place des grands services publics... </w:t>
      </w:r>
    </w:p>
    <w:p w14:paraId="60E69239"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Ce panorama sera aussi l’occasion de se familiariser avec un certain nombre d’institutions publiques, françaises, étrangères ou internationales, dont il est souvent fait mention dans les débats d’actualité mais dont il est essentiel de comprendre les origines et de replacer dans le temps long les logiques de fonctionnement. On insistera particulièrement sur l’organisation des administrations financières, des banques centrales, du FMI, des institutions économiques européennes ou de coopération commerciale... On étudiera le rôle joué par les partenaires sociaux (syndicats et patronat) dans le cadre de l’économie concertée. </w:t>
      </w:r>
    </w:p>
    <w:p w14:paraId="088482EE"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L’analyse des pratiques s’accompagnera d’une réflexion sur la construction des savoirs théoriques ou techniques, leur diffusion géographique et leur application dans les différentes situations économiques et sociales. </w:t>
      </w:r>
    </w:p>
    <w:p w14:paraId="5E9F9F5A"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Une perspective plus micro-économique sera adoptée au second semestre et une ouverture sera faite sur le fonctionnement des entreprises, les dynamiques territoriales de développement et l’organisation des marchés. </w:t>
      </w:r>
    </w:p>
    <w:p w14:paraId="2CB1370F"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Ce cours-TD accompagne et complète le cours et les TD de L3 consacrés à Etats, économies et sociétés (1880-2010)</w:t>
      </w:r>
    </w:p>
    <w:p w14:paraId="2599FB7D"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1F51B75D"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1CF4332B" w14:textId="77777777" w:rsidR="00C55861" w:rsidRPr="00525A1C" w:rsidRDefault="00C55861" w:rsidP="00B171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iCs/>
          <w:color w:val="000000"/>
          <w:kern w:val="0"/>
          <w:sz w:val="22"/>
          <w:lang w:eastAsia="en-US"/>
        </w:rPr>
      </w:pPr>
    </w:p>
    <w:p w14:paraId="5F5BBDEE"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5D922DF9"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r w:rsidRPr="00525A1C">
        <w:rPr>
          <w:rFonts w:ascii="Cambria" w:eastAsia="ヒラギノ角ゴ Pro W3" w:hAnsi="Cambria" w:cs="Times New Roman"/>
          <w:iCs/>
          <w:color w:val="000000"/>
          <w:kern w:val="0"/>
          <w:sz w:val="22"/>
          <w:lang w:eastAsia="en-US"/>
        </w:rPr>
        <w:t>Bibliographie indicative (pour les deux semestres)</w:t>
      </w:r>
    </w:p>
    <w:p w14:paraId="4BFA937B" w14:textId="77777777" w:rsidR="001457A6" w:rsidRPr="00525A1C" w:rsidRDefault="0063567B" w:rsidP="00C5586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Jean-Charles Asselain, Histoire économique du XXè siècle, 2 vol., Paris, Scie</w:t>
      </w:r>
      <w:r w:rsidR="00C55861" w:rsidRPr="00525A1C">
        <w:rPr>
          <w:rFonts w:ascii="Cambria" w:eastAsia="ヒラギノ角ゴ Pro W3" w:hAnsi="Cambria" w:cs="Times New Roman"/>
          <w:b w:val="0"/>
          <w:iCs/>
          <w:color w:val="000000"/>
          <w:kern w:val="0"/>
          <w:sz w:val="22"/>
          <w:lang w:eastAsia="en-US"/>
        </w:rPr>
        <w:t xml:space="preserve">nces Po/Dalloz, 1995.          </w:t>
      </w:r>
    </w:p>
    <w:p w14:paraId="66F8B058" w14:textId="77777777" w:rsidR="00B51D3B" w:rsidRPr="00525A1C" w:rsidRDefault="0063567B" w:rsidP="0063567B">
      <w:pPr>
        <w:keepNext/>
        <w:spacing w:after="0" w:line="240" w:lineRule="auto"/>
        <w:jc w:val="both"/>
        <w:outlineLvl w:val="0"/>
        <w:rPr>
          <w:rFonts w:ascii="Cambria" w:hAnsi="Cambria" w:cs="Times New Roman"/>
          <w:b w:val="0"/>
          <w:iCs/>
          <w:sz w:val="22"/>
        </w:rPr>
      </w:pPr>
      <w:r w:rsidRPr="00525A1C">
        <w:rPr>
          <w:rFonts w:ascii="Cambria" w:eastAsia="ヒラギノ角ゴ Pro W3" w:hAnsi="Cambria" w:cs="Times New Roman"/>
          <w:b w:val="0"/>
          <w:iCs/>
          <w:color w:val="000000"/>
          <w:kern w:val="0"/>
          <w:sz w:val="22"/>
          <w:lang w:eastAsia="en-US"/>
        </w:rPr>
        <w:t>Jean-Charles Asselain, « L’économique », in Jean-Charles Asselain et alii, Précis d’histoire européenne du 19è siècle à nos jours, Paris, Armand Colin, (4è édition), 2015, p. 212-318.</w:t>
      </w:r>
    </w:p>
    <w:p w14:paraId="6D9217ED" w14:textId="77777777" w:rsidR="0063567B" w:rsidRPr="00525A1C" w:rsidRDefault="0063567B" w:rsidP="00433E2A">
      <w:pPr>
        <w:keepNext/>
        <w:spacing w:after="0" w:line="240" w:lineRule="auto"/>
        <w:jc w:val="both"/>
        <w:outlineLvl w:val="0"/>
        <w:rPr>
          <w:rFonts w:ascii="Cambria" w:hAnsi="Cambria" w:cs="Times New Roman"/>
          <w:b w:val="0"/>
          <w:iCs/>
          <w:sz w:val="22"/>
        </w:rPr>
      </w:pPr>
    </w:p>
    <w:p w14:paraId="18ACD7E3"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Pierre Guillaume, « Le social », in Jean-Charles Asselain et alii, Précis d’histoire européenne du 19è siècle à nos jours, Paris, Armand Colin, (4è édition), 2015, p. 321-420.</w:t>
      </w:r>
    </w:p>
    <w:p w14:paraId="39E2CB73"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Éric J. Hobsbawm, L’âge des extrêmes. Histoire du Court XXè siècle, trad. fr., Bruxelles, Complexe, 1999. </w:t>
      </w:r>
    </w:p>
    <w:p w14:paraId="4CA3C628"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Maurice Niveau, Yves Crozet, Histoire des faits économiques contemporains, 3è éd., Paris, PUF, « Quadrige », 2010. </w:t>
      </w:r>
    </w:p>
    <w:p w14:paraId="41F5BC08"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André Gueslin, L’État, l’économie et la société française XIX-XXè siècles, Paris, Hachette, 1992. </w:t>
      </w:r>
    </w:p>
    <w:p w14:paraId="0B3B4E09" w14:textId="77777777" w:rsidR="001457A6"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François Caron, Les deux révolutions industrielles du XX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siècle, Paris, Albin Michel, 1997.</w:t>
      </w:r>
    </w:p>
    <w:p w14:paraId="7D2D5B8C" w14:textId="77777777" w:rsidR="0063567B"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Une bibliographie plus spécialisée sera communiquée à chaque séance</w:t>
      </w:r>
    </w:p>
    <w:p w14:paraId="14B8D5FE" w14:textId="77777777" w:rsidR="004D274D" w:rsidRPr="00525A1C" w:rsidRDefault="004D274D" w:rsidP="00433E2A">
      <w:pPr>
        <w:keepNext/>
        <w:spacing w:after="0" w:line="240" w:lineRule="auto"/>
        <w:jc w:val="both"/>
        <w:outlineLvl w:val="0"/>
        <w:rPr>
          <w:rFonts w:ascii="Cambria" w:hAnsi="Cambria"/>
          <w:b w:val="0"/>
          <w:iCs/>
          <w:sz w:val="22"/>
        </w:rPr>
      </w:pPr>
    </w:p>
    <w:p w14:paraId="33BD6512" w14:textId="77777777" w:rsidR="00736FEF" w:rsidRPr="00525A1C" w:rsidRDefault="00736FEF" w:rsidP="00433E2A">
      <w:pPr>
        <w:keepNext/>
        <w:spacing w:after="0" w:line="240" w:lineRule="auto"/>
        <w:jc w:val="both"/>
        <w:outlineLvl w:val="0"/>
        <w:rPr>
          <w:rFonts w:ascii="Cambria" w:hAnsi="Cambria"/>
          <w:b w:val="0"/>
          <w:iCs/>
          <w:sz w:val="22"/>
        </w:rPr>
      </w:pPr>
    </w:p>
    <w:p w14:paraId="11F62D38" w14:textId="77777777" w:rsidR="00AE3EC6" w:rsidRPr="00525A1C" w:rsidRDefault="00AE3EC6" w:rsidP="00433E2A">
      <w:pPr>
        <w:keepNext/>
        <w:spacing w:after="0" w:line="240" w:lineRule="auto"/>
        <w:jc w:val="both"/>
        <w:outlineLvl w:val="0"/>
        <w:rPr>
          <w:rFonts w:ascii="Cambria" w:hAnsi="Cambria"/>
          <w:b w:val="0"/>
          <w:iCs/>
          <w:sz w:val="22"/>
        </w:rPr>
      </w:pPr>
    </w:p>
    <w:p w14:paraId="68ECC06F" w14:textId="77777777" w:rsidR="00A23898" w:rsidRPr="00525A1C" w:rsidRDefault="00A23898" w:rsidP="004B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b w:val="0"/>
          <w:iCs/>
          <w:color w:val="000000"/>
          <w:kern w:val="0"/>
          <w:sz w:val="22"/>
          <w:lang w:eastAsia="en-US"/>
        </w:rPr>
      </w:pPr>
    </w:p>
    <w:p w14:paraId="198C789C" w14:textId="77777777" w:rsidR="00261515" w:rsidRPr="00525A1C" w:rsidRDefault="00261515" w:rsidP="00CD44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AC4B97" w14:textId="77777777" w:rsidR="00261515" w:rsidRPr="00525A1C" w:rsidRDefault="00261515" w:rsidP="00E729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52FE6AB0" w14:textId="77777777" w:rsidR="00261515" w:rsidRPr="00525A1C" w:rsidRDefault="00261515" w:rsidP="00CD44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1FAF6D3" w14:textId="7A690E9E" w:rsidR="00660AF1" w:rsidRPr="00E7295F"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iCs/>
          <w:color w:val="C00000"/>
          <w:sz w:val="26"/>
          <w:szCs w:val="26"/>
        </w:rPr>
      </w:pPr>
      <w:r w:rsidRPr="00E7295F">
        <w:rPr>
          <w:rFonts w:ascii="Cambria" w:hAnsi="Cambria"/>
          <w:iCs/>
          <w:color w:val="C00000"/>
          <w:sz w:val="26"/>
          <w:szCs w:val="26"/>
        </w:rPr>
        <w:t xml:space="preserve">             J3024919/J3025019 </w:t>
      </w:r>
      <w:r w:rsidRPr="00E7295F">
        <w:rPr>
          <w:rFonts w:ascii="Cambria" w:hAnsi="Cambria"/>
          <w:b w:val="0"/>
          <w:iCs/>
          <w:color w:val="C00000"/>
          <w:sz w:val="26"/>
          <w:szCs w:val="26"/>
        </w:rPr>
        <w:t>:</w:t>
      </w:r>
      <w:r w:rsidR="00E7295F" w:rsidRPr="00E7295F">
        <w:rPr>
          <w:rFonts w:ascii="Cambria" w:hAnsi="Cambria"/>
          <w:b w:val="0"/>
          <w:iCs/>
          <w:color w:val="C00000"/>
          <w:sz w:val="26"/>
          <w:szCs w:val="26"/>
        </w:rPr>
        <w:t xml:space="preserve"> </w:t>
      </w:r>
      <w:r w:rsidRPr="00E7295F">
        <w:rPr>
          <w:rFonts w:ascii="Cambria" w:hAnsi="Cambria"/>
          <w:iCs/>
          <w:color w:val="C00000"/>
          <w:sz w:val="26"/>
          <w:szCs w:val="26"/>
        </w:rPr>
        <w:t>Administration et entreprise</w:t>
      </w:r>
    </w:p>
    <w:p w14:paraId="03DBBCF2" w14:textId="54454AA6" w:rsidR="00660AF1" w:rsidRPr="00E7295F" w:rsidRDefault="00660AF1" w:rsidP="00660AF1">
      <w:pPr>
        <w:spacing w:after="0" w:line="240" w:lineRule="auto"/>
        <w:jc w:val="both"/>
        <w:rPr>
          <w:rFonts w:ascii="Cambria" w:eastAsia="Calibri" w:hAnsi="Cambria" w:cs="Times New Roman"/>
          <w:iCs/>
          <w:color w:val="C00000"/>
          <w:kern w:val="0"/>
          <w:sz w:val="26"/>
          <w:szCs w:val="26"/>
          <w:lang w:eastAsia="en-US"/>
        </w:rPr>
      </w:pPr>
      <w:r w:rsidRPr="00E7295F">
        <w:rPr>
          <w:rFonts w:ascii="Cambria" w:eastAsia="Calibri" w:hAnsi="Cambria" w:cs="Times New Roman"/>
          <w:iCs/>
          <w:color w:val="C00000"/>
          <w:kern w:val="0"/>
          <w:sz w:val="26"/>
          <w:szCs w:val="26"/>
          <w:lang w:eastAsia="en-US"/>
        </w:rPr>
        <w:t xml:space="preserve">  L’Etat et les politiques publiques, de l’Antiquité à nos jours </w:t>
      </w:r>
    </w:p>
    <w:p w14:paraId="1FEC3D8C" w14:textId="77777777" w:rsidR="00660AF1" w:rsidRPr="00E7295F" w:rsidRDefault="00660AF1" w:rsidP="00660AF1">
      <w:pPr>
        <w:spacing w:after="0" w:line="240" w:lineRule="auto"/>
        <w:jc w:val="both"/>
        <w:rPr>
          <w:rFonts w:ascii="Cambria" w:eastAsia="Calibri" w:hAnsi="Cambria" w:cs="Times New Roman"/>
          <w:iCs/>
          <w:color w:val="000000"/>
          <w:kern w:val="0"/>
          <w:sz w:val="28"/>
          <w:szCs w:val="28"/>
          <w:lang w:eastAsia="en-US"/>
        </w:rPr>
      </w:pPr>
    </w:p>
    <w:p w14:paraId="4501EF16" w14:textId="1E0FEE89" w:rsidR="00660AF1" w:rsidRPr="00525A1C" w:rsidRDefault="00660AF1" w:rsidP="00660AF1">
      <w:pPr>
        <w:spacing w:after="0" w:line="240" w:lineRule="auto"/>
        <w:jc w:val="center"/>
        <w:rPr>
          <w:rFonts w:ascii="Cambria" w:eastAsia="Calibri" w:hAnsi="Cambria" w:cs="Times New Roman"/>
          <w:iCs/>
          <w:color w:val="000000"/>
          <w:kern w:val="0"/>
          <w:sz w:val="22"/>
          <w:lang w:eastAsia="en-US"/>
        </w:rPr>
      </w:pPr>
      <w:r w:rsidRPr="00525A1C">
        <w:rPr>
          <w:rFonts w:ascii="Cambria" w:eastAsia="Calibri" w:hAnsi="Cambria" w:cs="Times New Roman"/>
          <w:iCs/>
          <w:color w:val="000000"/>
          <w:kern w:val="0"/>
          <w:sz w:val="22"/>
          <w:lang w:eastAsia="en-US"/>
        </w:rPr>
        <w:t xml:space="preserve">Fréderic Tristram </w:t>
      </w:r>
    </w:p>
    <w:p w14:paraId="763E06EA"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449C3CBD"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r w:rsidRPr="00525A1C">
        <w:rPr>
          <w:rFonts w:ascii="Cambria" w:eastAsia="Calibri" w:hAnsi="Cambria" w:cs="Times New Roman"/>
          <w:b w:val="0"/>
          <w:iCs/>
          <w:color w:val="000000"/>
          <w:kern w:val="0"/>
          <w:sz w:val="22"/>
          <w:lang w:eastAsia="en-US"/>
        </w:rPr>
        <w:t>Ce cours a pour but de présenter le rôle croissant de l’Etat dans les sociétés occidentales. Conçu dans une dimension chronologique large, favorisant l’étude dans la longue durée, cet enseignement explore la genèse des grandes politiques publiques et leurs développements successifs, autrement dit les domaines d’intervention de la puissance publique, en s’intéressant aux transformations de son périmètre d’action, de ses modalités et de ses agents. Ce cours s’adresse aux étudiants se destinant aux carrières de la fonction publique, mais aussi plus largement aux étudiants intéressés par les politiques publiques, aussi bien leur histoire que leurs mises en œuvre et enjeux actuels.</w:t>
      </w:r>
    </w:p>
    <w:p w14:paraId="38D2F0B5"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0F6925A0"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r w:rsidRPr="00525A1C">
        <w:rPr>
          <w:rFonts w:ascii="Cambria" w:eastAsia="Calibri" w:hAnsi="Cambria" w:cs="Times New Roman"/>
          <w:b w:val="0"/>
          <w:iCs/>
          <w:color w:val="000000"/>
          <w:kern w:val="0"/>
          <w:sz w:val="22"/>
          <w:lang w:eastAsia="en-US"/>
        </w:rPr>
        <w:t>Le premier semestre sera consacré à une présentation introductive de l’histoire de l’Etat, jusqu’à sa configuration contemporaine. Le cours abordera ensuite l’histoire de politiques publiques spécifiques. Une partie du semestre sera consacrée à la définition du rôle de l’Etat dans le domaine du maintien de l’ordre et la sécurité, depuis le XVIe siècle jusqu’à nos jours. Il abordera la genèse des politiques de sécurité et de l’ordre public et leurs reconfigurations successives de la fin de l’Ancien Régime à la « montée de l’insécurité » et du terrorisme depuis les années 1970. On s’intéressera aux différents visages de l’Etat (naissance, structuration et crises des polices professionnelles, rôle de l’armée), à la définition mouvante de son périmètre d’action (gestion des illégalismes, renseignement), pour comprendre comment est né le mythe de la police comme fonction « régalienne ».</w:t>
      </w:r>
    </w:p>
    <w:p w14:paraId="4FD524BF"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649ED53C" w14:textId="014D9568" w:rsidR="00660AF1" w:rsidRPr="00525A1C" w:rsidRDefault="00660AF1" w:rsidP="00660AF1">
      <w:pPr>
        <w:spacing w:after="0" w:line="240" w:lineRule="auto"/>
        <w:jc w:val="both"/>
        <w:rPr>
          <w:rFonts w:ascii="Cambria" w:eastAsia="Calibri" w:hAnsi="Cambria" w:cs="Times New Roman"/>
          <w:b w:val="0"/>
          <w:iCs/>
          <w:color w:val="000000"/>
          <w:kern w:val="0"/>
          <w:sz w:val="22"/>
          <w:lang w:eastAsia="fr-FR"/>
        </w:rPr>
      </w:pPr>
      <w:r w:rsidRPr="00525A1C">
        <w:rPr>
          <w:rFonts w:ascii="Cambria" w:eastAsia="Calibri" w:hAnsi="Cambria" w:cs="Times New Roman"/>
          <w:b w:val="0"/>
          <w:iCs/>
          <w:color w:val="000000"/>
          <w:kern w:val="0"/>
          <w:sz w:val="22"/>
          <w:lang w:eastAsia="fr-FR"/>
        </w:rPr>
        <w:t xml:space="preserve">Le deuxième semestre se concentrera sur l’action sociale de l’Etat. Il s’agira de s’interroger plus spécifiquement sur les raisons et les possibilités pour la puissance publique de prendre en charge certaines fonctions de protection et de solidarité afin de réduire les inégalités (régulations contraignantes, redistributions matérielles…) mais aussi d’influencer les modèles familiaux (rapports entre les parents, place des enfants…). A partir de la lecture critique d’articles de sciences sociales, le cours permettra aux étudiants de développer une approche analytique des politiques sociales et familiales en comparant différents modèles possibles, que ces modèles soient éloignés dans le temps (les distributions d’argent et de blé de l’Empire romain, la charité d’époque médiévale…) ou qu’ils correspondent aux différentes structures existant à l’époque contemporaine (l’Etat-providence et ses diverses formes…). Ce semestre sera d’autre part l’occasion d’adopter une approche plus pratique des métiers de l’administration aujourd’hui en France : des intervenants extérieurs seront sollicités et les étudiants réaliseront une enquête de terrain auprès d’une institution publique. </w:t>
      </w:r>
    </w:p>
    <w:p w14:paraId="3C673CAF" w14:textId="77777777" w:rsidR="00660AF1" w:rsidRPr="00525A1C" w:rsidRDefault="00660AF1" w:rsidP="00660AF1">
      <w:pPr>
        <w:spacing w:after="0" w:line="240" w:lineRule="auto"/>
        <w:jc w:val="both"/>
        <w:rPr>
          <w:rFonts w:ascii="Cambria" w:eastAsia="Calibri" w:hAnsi="Cambria" w:cs="Times New Roman"/>
          <w:iCs/>
          <w:color w:val="000000"/>
          <w:kern w:val="0"/>
          <w:sz w:val="22"/>
          <w:u w:val="single"/>
          <w:lang w:eastAsia="en-US"/>
        </w:rPr>
      </w:pPr>
      <w:r w:rsidRPr="00525A1C">
        <w:rPr>
          <w:rFonts w:ascii="Cambria" w:eastAsia="Calibri" w:hAnsi="Cambria" w:cs="Times New Roman"/>
          <w:iCs/>
          <w:color w:val="000000"/>
          <w:kern w:val="0"/>
          <w:sz w:val="22"/>
          <w:u w:val="single"/>
          <w:lang w:eastAsia="en-US"/>
        </w:rPr>
        <w:t>Bibliographie indicative :</w:t>
      </w:r>
    </w:p>
    <w:p w14:paraId="5F8FCFE7" w14:textId="77777777" w:rsidR="00660AF1" w:rsidRPr="00525A1C" w:rsidRDefault="00660AF1" w:rsidP="00660AF1">
      <w:pPr>
        <w:spacing w:after="0" w:line="240" w:lineRule="auto"/>
        <w:jc w:val="both"/>
        <w:rPr>
          <w:rFonts w:ascii="Cambria" w:eastAsia="Calibri" w:hAnsi="Cambria" w:cs="Times New Roman"/>
          <w:iCs/>
          <w:color w:val="000000"/>
          <w:kern w:val="0"/>
          <w:sz w:val="22"/>
          <w:lang w:eastAsia="en-US"/>
        </w:rPr>
      </w:pPr>
      <w:r w:rsidRPr="00525A1C">
        <w:rPr>
          <w:rFonts w:ascii="Cambria" w:eastAsia="Calibri" w:hAnsi="Cambria" w:cs="Times New Roman"/>
          <w:iCs/>
          <w:color w:val="000000"/>
          <w:kern w:val="0"/>
          <w:sz w:val="22"/>
          <w:lang w:eastAsia="en-US"/>
        </w:rPr>
        <w:t xml:space="preserve">- Généralités : </w:t>
      </w:r>
    </w:p>
    <w:p w14:paraId="2B27B1F4" w14:textId="77777777" w:rsidR="00660AF1" w:rsidRPr="00E7295F" w:rsidRDefault="00660AF1" w:rsidP="00660AF1">
      <w:pPr>
        <w:spacing w:after="0" w:line="240" w:lineRule="auto"/>
        <w:jc w:val="both"/>
        <w:rPr>
          <w:rFonts w:ascii="Cambria" w:eastAsia="Times New Roman" w:hAnsi="Cambria" w:cs="Times New Roman"/>
          <w:b w:val="0"/>
          <w:iCs/>
          <w:kern w:val="0"/>
          <w:sz w:val="21"/>
          <w:szCs w:val="21"/>
          <w:lang w:eastAsia="fr-FR"/>
        </w:rPr>
      </w:pPr>
      <w:r w:rsidRPr="00E7295F">
        <w:rPr>
          <w:rFonts w:ascii="Cambria" w:eastAsia="Times New Roman" w:hAnsi="Cambria" w:cs="Times New Roman"/>
          <w:b w:val="0"/>
          <w:iCs/>
          <w:color w:val="000000"/>
          <w:kern w:val="0"/>
          <w:sz w:val="21"/>
          <w:szCs w:val="21"/>
          <w:lang w:eastAsia="fr-FR"/>
        </w:rPr>
        <w:t>D. Chagnollaud, Le premier des ordres. Les hauts fonctionnaires (XVIIIe-XXe siècles), Paris, 1991. </w:t>
      </w:r>
    </w:p>
    <w:p w14:paraId="2CE299BC"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F. Dreyfus, L’invention de la bureaucratie. Servir l’État en France, en Grande-Bretagne et aux États-Unis (XVIII</w:t>
      </w:r>
      <w:r w:rsidRPr="00E7295F">
        <w:rPr>
          <w:rFonts w:ascii="Cambria" w:eastAsia="Times New Roman" w:hAnsi="Cambria" w:cs="Times New Roman"/>
          <w:b w:val="0"/>
          <w:iCs/>
          <w:color w:val="000000"/>
          <w:kern w:val="0"/>
          <w:sz w:val="21"/>
          <w:szCs w:val="21"/>
          <w:vertAlign w:val="superscript"/>
          <w:lang w:eastAsia="fr-FR"/>
        </w:rPr>
        <w:t>e</w:t>
      </w:r>
      <w:r w:rsidRPr="00E7295F">
        <w:rPr>
          <w:rFonts w:ascii="Cambria" w:eastAsia="Times New Roman" w:hAnsi="Cambria" w:cs="Times New Roman"/>
          <w:b w:val="0"/>
          <w:iCs/>
          <w:color w:val="000000"/>
          <w:kern w:val="0"/>
          <w:sz w:val="21"/>
          <w:szCs w:val="21"/>
          <w:lang w:eastAsia="fr-FR"/>
        </w:rPr>
        <w:t> siècle - XX</w:t>
      </w:r>
      <w:r w:rsidRPr="00E7295F">
        <w:rPr>
          <w:rFonts w:ascii="Cambria" w:eastAsia="Times New Roman" w:hAnsi="Cambria" w:cs="Times New Roman"/>
          <w:b w:val="0"/>
          <w:iCs/>
          <w:color w:val="000000"/>
          <w:kern w:val="0"/>
          <w:sz w:val="21"/>
          <w:szCs w:val="21"/>
          <w:vertAlign w:val="superscript"/>
          <w:lang w:eastAsia="fr-FR"/>
        </w:rPr>
        <w:t>e</w:t>
      </w:r>
      <w:r w:rsidRPr="00E7295F">
        <w:rPr>
          <w:rFonts w:ascii="Cambria" w:eastAsia="Times New Roman" w:hAnsi="Cambria" w:cs="Times New Roman"/>
          <w:b w:val="0"/>
          <w:iCs/>
          <w:color w:val="000000"/>
          <w:kern w:val="0"/>
          <w:sz w:val="21"/>
          <w:szCs w:val="21"/>
          <w:lang w:eastAsia="fr-FR"/>
        </w:rPr>
        <w:t> siècle), Paris, 2000.</w:t>
      </w:r>
    </w:p>
    <w:p w14:paraId="0C308EB4" w14:textId="77777777" w:rsidR="00660AF1" w:rsidRPr="00E7295F" w:rsidRDefault="00660AF1" w:rsidP="00660AF1">
      <w:pPr>
        <w:spacing w:after="0" w:line="240" w:lineRule="auto"/>
        <w:jc w:val="both"/>
        <w:rPr>
          <w:rFonts w:ascii="Cambria" w:eastAsia="Times New Roman" w:hAnsi="Cambria" w:cs="Times New Roman"/>
          <w:b w:val="0"/>
          <w:iCs/>
          <w:kern w:val="0"/>
          <w:sz w:val="21"/>
          <w:szCs w:val="21"/>
          <w:lang w:eastAsia="fr-FR"/>
        </w:rPr>
      </w:pPr>
      <w:r w:rsidRPr="00E7295F">
        <w:rPr>
          <w:rFonts w:ascii="Cambria" w:eastAsia="Times New Roman" w:hAnsi="Cambria" w:cs="Times New Roman"/>
          <w:b w:val="0"/>
          <w:iCs/>
          <w:color w:val="000000"/>
          <w:kern w:val="0"/>
          <w:sz w:val="21"/>
          <w:szCs w:val="21"/>
          <w:lang w:eastAsia="fr-FR"/>
        </w:rPr>
        <w:t>V. Duclerc et M.-O. Baruch (dir.), Serviteurs de l’État. une histoire politique de l’administration française (1875-1945), Paris, 2000.</w:t>
      </w:r>
    </w:p>
    <w:p w14:paraId="3DDF34DB"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P. Duran, Penser l’action publique, Paris, 1999.</w:t>
      </w:r>
    </w:p>
    <w:p w14:paraId="36FB8881"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P. Rosanvallon, L’Etat en France, de 1789 à nos jours, Paris, 1993.</w:t>
      </w:r>
    </w:p>
    <w:p w14:paraId="6AB0999F"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A. Guéry et R. Descimon, « Un Etat des temps modernes ? », « Conquêtes : l’Etat et les marges de la modernité » in A. Burguière et J. Revel (dir.), Histoire de la France. La longue durée de l’Etat, volume dirigé par J. Le Goff, Paris, 2000, p  395-462.</w:t>
      </w:r>
    </w:p>
    <w:p w14:paraId="14026406" w14:textId="77777777" w:rsidR="00660AF1" w:rsidRPr="00E7295F" w:rsidRDefault="00660AF1" w:rsidP="00660AF1">
      <w:pPr>
        <w:spacing w:after="0" w:line="240" w:lineRule="auto"/>
        <w:jc w:val="both"/>
        <w:rPr>
          <w:rFonts w:ascii="Cambria" w:eastAsia="Calibri" w:hAnsi="Cambria" w:cs="Times New Roman"/>
          <w:iCs/>
          <w:color w:val="000000"/>
          <w:kern w:val="0"/>
          <w:sz w:val="21"/>
          <w:szCs w:val="21"/>
          <w:lang w:eastAsia="en-US"/>
        </w:rPr>
      </w:pPr>
      <w:r w:rsidRPr="00E7295F">
        <w:rPr>
          <w:rFonts w:ascii="Cambria" w:eastAsia="Calibri" w:hAnsi="Cambria" w:cs="Times New Roman"/>
          <w:iCs/>
          <w:color w:val="000000"/>
          <w:kern w:val="0"/>
          <w:sz w:val="21"/>
          <w:szCs w:val="21"/>
          <w:lang w:eastAsia="en-US"/>
        </w:rPr>
        <w:t>- Sur la police, la sécurité et le maintien de l’ordre :</w:t>
      </w:r>
    </w:p>
    <w:p w14:paraId="3AC3E5F0"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P. Napoli, Naissance de la police moderne, Paris, 2003.</w:t>
      </w:r>
    </w:p>
    <w:p w14:paraId="08590507"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J.-M. Berlière et R. Lévy, Histoire des polices en France, Paris, 2015.</w:t>
      </w:r>
    </w:p>
    <w:p w14:paraId="5A22930A"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J.-M. Berlière, Le monde des polices en France, Bruxelles, 1996.</w:t>
      </w:r>
    </w:p>
    <w:p w14:paraId="7B6FDAFE"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V. Milliot, ‘L’admirable police’ : tenir Paris au siècle des Lumières, Ceyzérieu, 2016.</w:t>
      </w:r>
    </w:p>
    <w:p w14:paraId="0D3145DA"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Q. Deluermoz, Policiers dans la ville : la construction d’un ordre public à Paris, 1854-1914, Paris, 2012.</w:t>
      </w:r>
    </w:p>
    <w:p w14:paraId="36516E2C"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A. Houte, Le métier de gendarme au XIXe siècle, Rennes, 2009.</w:t>
      </w:r>
    </w:p>
    <w:p w14:paraId="6CFC6DBE" w14:textId="77777777" w:rsidR="00660AF1" w:rsidRPr="00E7295F" w:rsidRDefault="00660AF1" w:rsidP="00660AF1">
      <w:pPr>
        <w:spacing w:after="0" w:line="240" w:lineRule="auto"/>
        <w:jc w:val="both"/>
        <w:rPr>
          <w:rFonts w:ascii="Cambria" w:eastAsia="Calibri" w:hAnsi="Cambria" w:cs="Times New Roman"/>
          <w:iCs/>
          <w:color w:val="000000"/>
          <w:kern w:val="0"/>
          <w:sz w:val="21"/>
          <w:szCs w:val="21"/>
          <w:lang w:eastAsia="en-US"/>
        </w:rPr>
      </w:pPr>
      <w:r w:rsidRPr="00E7295F">
        <w:rPr>
          <w:rFonts w:ascii="Cambria" w:eastAsia="Calibri" w:hAnsi="Cambria" w:cs="Times New Roman"/>
          <w:iCs/>
          <w:color w:val="000000"/>
          <w:kern w:val="0"/>
          <w:sz w:val="21"/>
          <w:szCs w:val="21"/>
          <w:lang w:eastAsia="en-US"/>
        </w:rPr>
        <w:t>- Sur les politiques sociales et familiales :</w:t>
      </w:r>
    </w:p>
    <w:p w14:paraId="2B0AF11C"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P. Veyne, Le pain et le cirque. Sociologie historique d’un pluralisme politique, Paris, 1976.</w:t>
      </w:r>
    </w:p>
    <w:p w14:paraId="5DD085FA"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shd w:val="clear" w:color="auto" w:fill="FAFAFA"/>
          <w:lang w:eastAsia="fr-FR"/>
        </w:rPr>
        <w:t xml:space="preserve">B. Geremek, </w:t>
      </w:r>
      <w:r w:rsidRPr="00E7295F">
        <w:rPr>
          <w:rFonts w:ascii="Cambria" w:eastAsia="Times New Roman" w:hAnsi="Cambria" w:cs="Times New Roman"/>
          <w:b w:val="0"/>
          <w:iCs/>
          <w:color w:val="000000"/>
          <w:kern w:val="0"/>
          <w:sz w:val="21"/>
          <w:szCs w:val="21"/>
          <w:lang w:eastAsia="fr-FR"/>
        </w:rPr>
        <w:t>La potence ou la pitié. L’Europe et les pauvres du Moyen Âge à nos jours, Paris, 1987 [1978].</w:t>
      </w:r>
    </w:p>
    <w:p w14:paraId="23B0BA9D"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G. Esping-Andersen, Les trois mondes de l'État-providence. Essai sur le capitalisme moderne, Paris, 1999 [1990].</w:t>
      </w:r>
    </w:p>
    <w:p w14:paraId="5060F099" w14:textId="556B6E8C"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Times New Roman" w:hAnsi="Cambria" w:cs="Times New Roman"/>
          <w:b w:val="0"/>
          <w:iCs/>
          <w:color w:val="000000"/>
          <w:kern w:val="0"/>
          <w:sz w:val="21"/>
          <w:szCs w:val="21"/>
          <w:lang w:eastAsia="fr-FR"/>
        </w:rPr>
        <w:t>V. Dubois, La vie au guichet. Relation administrative et traitement de la misère, Paris, 1999.</w:t>
      </w:r>
    </w:p>
    <w:p w14:paraId="49E6C7EA" w14:textId="77777777" w:rsidR="00B8032E" w:rsidRPr="00E7295F" w:rsidRDefault="00B8032E" w:rsidP="00660AF1">
      <w:pPr>
        <w:jc w:val="center"/>
        <w:rPr>
          <w:rFonts w:eastAsia="Times New Roman" w:cs="Times New Roman"/>
          <w:bCs/>
          <w:kern w:val="0"/>
          <w:sz w:val="21"/>
          <w:szCs w:val="21"/>
          <w:lang w:eastAsia="fr-FR"/>
        </w:rPr>
      </w:pPr>
    </w:p>
    <w:p w14:paraId="6CB56838" w14:textId="44960265" w:rsidR="00660AF1" w:rsidRPr="00E7295F" w:rsidRDefault="00D059B0" w:rsidP="00660AF1">
      <w:pPr>
        <w:jc w:val="center"/>
        <w:rPr>
          <w:rFonts w:ascii="Cambria" w:hAnsi="Cambria"/>
          <w:bCs/>
          <w:iCs/>
          <w:color w:val="C00000"/>
          <w:sz w:val="28"/>
          <w:szCs w:val="28"/>
        </w:rPr>
      </w:pPr>
      <w:r w:rsidRPr="00E7295F">
        <w:rPr>
          <w:rFonts w:eastAsia="Times New Roman" w:cs="Times New Roman"/>
          <w:bCs/>
          <w:color w:val="C00000"/>
          <w:kern w:val="0"/>
          <w:sz w:val="28"/>
          <w:szCs w:val="28"/>
          <w:lang w:eastAsia="fr-FR"/>
        </w:rPr>
        <w:t> </w:t>
      </w:r>
      <w:r w:rsidR="00660AF1" w:rsidRPr="00E7295F">
        <w:rPr>
          <w:rFonts w:ascii="Cambria" w:hAnsi="Cambria"/>
          <w:bCs/>
          <w:iCs/>
          <w:color w:val="C00000"/>
          <w:sz w:val="28"/>
          <w:szCs w:val="28"/>
        </w:rPr>
        <w:t>J3W10121 : Introduction au droit public</w:t>
      </w:r>
    </w:p>
    <w:p w14:paraId="066C0F2E" w14:textId="77777777" w:rsidR="00660AF1" w:rsidRPr="00E7295F" w:rsidRDefault="00660AF1" w:rsidP="00660AF1">
      <w:pPr>
        <w:jc w:val="center"/>
        <w:rPr>
          <w:rFonts w:ascii="Cambria" w:hAnsi="Cambria" w:cs="Times New Roman"/>
          <w:iCs/>
          <w:color w:val="C00000"/>
          <w:sz w:val="22"/>
        </w:rPr>
      </w:pPr>
      <w:r w:rsidRPr="00E7295F">
        <w:rPr>
          <w:rFonts w:ascii="Cambria" w:hAnsi="Cambria" w:cs="Times New Roman"/>
          <w:iCs/>
          <w:color w:val="C00000"/>
          <w:sz w:val="22"/>
        </w:rPr>
        <w:t>Semestre 1</w:t>
      </w:r>
    </w:p>
    <w:p w14:paraId="6470C315" w14:textId="5FCA3071" w:rsidR="00B8032E" w:rsidRPr="00525A1C" w:rsidRDefault="00B8032E" w:rsidP="00B8032E">
      <w:pPr>
        <w:jc w:val="center"/>
        <w:rPr>
          <w:rFonts w:ascii="Cambria" w:hAnsi="Cambria"/>
          <w:sz w:val="22"/>
        </w:rPr>
      </w:pPr>
      <w:r w:rsidRPr="00525A1C">
        <w:rPr>
          <w:rFonts w:ascii="Cambria" w:hAnsi="Cambria"/>
          <w:sz w:val="22"/>
        </w:rPr>
        <w:t>Ackiel B</w:t>
      </w:r>
      <w:r w:rsidR="005934A4" w:rsidRPr="00525A1C">
        <w:rPr>
          <w:rFonts w:ascii="Cambria" w:hAnsi="Cambria"/>
          <w:sz w:val="22"/>
        </w:rPr>
        <w:t>oudinar</w:t>
      </w:r>
      <w:r w:rsidRPr="00525A1C">
        <w:rPr>
          <w:rFonts w:ascii="Cambria" w:hAnsi="Cambria"/>
          <w:sz w:val="22"/>
        </w:rPr>
        <w:t>-Z</w:t>
      </w:r>
      <w:r w:rsidR="005934A4" w:rsidRPr="00525A1C">
        <w:rPr>
          <w:rFonts w:ascii="Cambria" w:hAnsi="Cambria"/>
          <w:sz w:val="22"/>
        </w:rPr>
        <w:t>abaleta</w:t>
      </w:r>
    </w:p>
    <w:p w14:paraId="33C821FF"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Ce cours constitue une introduction générale au droit public. </w:t>
      </w:r>
    </w:p>
    <w:p w14:paraId="1FCCFDAB"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162C4E4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En préambule, après avoir présenté les particularités du modèle français, nous nous attacherons à cerner ce qu'est le droit public, notamment en le distinguant du droit privé et en délimitant son objet. À cet égard, le droit public s'entend comme le droit du pouvoir politique. </w:t>
      </w:r>
    </w:p>
    <w:p w14:paraId="3CC3ECBC"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35DB43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Après ces propos introductifs, nous analyserons comment le droit public saisit le pouvoir politique. </w:t>
      </w:r>
    </w:p>
    <w:p w14:paraId="7CD6E27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5AB9E1B1"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première partie sera alors consacrée à la manière dont ce pouvoir politique est légitimé par le droit public, à travers l'étude de la souveraineté et de la démocratie. </w:t>
      </w:r>
    </w:p>
    <w:p w14:paraId="281418A5"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2602478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seconde partie s'emploiera à montrer comment ce même pouvoir politique est institutionnalisé par le droit public, à travers l'étude des systèmes constitutionnel et administratif. </w:t>
      </w:r>
    </w:p>
    <w:p w14:paraId="407E30B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41F212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troisième et dernière partie étudiera la manière dont le pouvoir politique est encadré par le droit public, qui conditionne son exercice au respect des principes de l'État de droit — principes de légalité et de responsabilité — et le soumet au contrôle des juges. </w:t>
      </w:r>
    </w:p>
    <w:p w14:paraId="79471AF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37E1B0F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Ce cours vise en définitive</w:t>
      </w:r>
      <w:r w:rsidRPr="00525A1C">
        <w:rPr>
          <w:rFonts w:ascii="Cambria" w:hAnsi="Cambria" w:cs="Calibri"/>
          <w:i/>
          <w:iCs/>
          <w:sz w:val="22"/>
          <w:szCs w:val="22"/>
        </w:rPr>
        <w:t> </w:t>
      </w:r>
      <w:r w:rsidRPr="00525A1C">
        <w:rPr>
          <w:rFonts w:ascii="Cambria" w:hAnsi="Cambria" w:cs="Calibri"/>
          <w:sz w:val="22"/>
          <w:szCs w:val="22"/>
        </w:rPr>
        <w:t xml:space="preserve">à livrer les clés de compréhension du droit public contemporain, tant dans ses fondements théoriques que dans son fonctionnement institutionnel. </w:t>
      </w:r>
    </w:p>
    <w:p w14:paraId="684E17A4"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16EDE5B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Le cours se voudra enfin dynamique. Une large place sera ainsi laissée, autant que possible, aux échanges avec les étudiants afin de les accoutumer au raisonnement juridique, qui est au cœur de l'apprentissage du droit public.</w:t>
      </w:r>
    </w:p>
    <w:p w14:paraId="3F926FFA" w14:textId="77777777" w:rsidR="00B8032E" w:rsidRPr="00525A1C" w:rsidRDefault="00B8032E" w:rsidP="00B8032E">
      <w:pPr>
        <w:pStyle w:val="gmail-enseignants"/>
        <w:spacing w:before="0" w:beforeAutospacing="0" w:after="0" w:afterAutospacing="0"/>
        <w:jc w:val="both"/>
        <w:rPr>
          <w:rFonts w:ascii="Cambria" w:hAnsi="Cambria" w:cs="Calibri"/>
          <w:sz w:val="22"/>
          <w:szCs w:val="22"/>
        </w:rPr>
      </w:pPr>
      <w:r w:rsidRPr="00525A1C">
        <w:rPr>
          <w:rFonts w:ascii="Cambria" w:hAnsi="Cambria" w:cs="Calibri"/>
          <w:sz w:val="22"/>
          <w:szCs w:val="22"/>
        </w:rPr>
        <w:t> </w:t>
      </w:r>
    </w:p>
    <w:p w14:paraId="6140683D" w14:textId="77777777" w:rsidR="00B8032E" w:rsidRPr="00525A1C" w:rsidRDefault="00B8032E" w:rsidP="00B8032E">
      <w:pPr>
        <w:pStyle w:val="gmail-enseignants"/>
        <w:spacing w:before="0" w:beforeAutospacing="0" w:after="0" w:afterAutospacing="0"/>
        <w:jc w:val="both"/>
        <w:rPr>
          <w:rFonts w:ascii="Cambria" w:hAnsi="Cambria" w:cs="Calibri"/>
          <w:sz w:val="22"/>
          <w:szCs w:val="22"/>
        </w:rPr>
      </w:pPr>
    </w:p>
    <w:p w14:paraId="3AD1E93A"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p>
    <w:p w14:paraId="6FDEA32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b/>
          <w:bCs/>
          <w:sz w:val="22"/>
          <w:szCs w:val="22"/>
        </w:rPr>
        <w:t>Bibliographie indicative</w:t>
      </w:r>
      <w:r w:rsidRPr="00525A1C">
        <w:rPr>
          <w:rFonts w:ascii="Cambria" w:hAnsi="Cambria" w:cs="Calibri"/>
          <w:sz w:val="22"/>
          <w:szCs w:val="22"/>
        </w:rPr>
        <w:t> :</w:t>
      </w:r>
    </w:p>
    <w:p w14:paraId="4B253CF9"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EA0EC67"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b/>
          <w:bCs/>
          <w:sz w:val="22"/>
          <w:szCs w:val="22"/>
        </w:rPr>
        <w:t xml:space="preserve">              Ouvrages d’introduction générale au droit </w:t>
      </w:r>
    </w:p>
    <w:p w14:paraId="2E9A245B"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A71712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Pascale Deumier, </w:t>
      </w:r>
      <w:r w:rsidRPr="00525A1C">
        <w:rPr>
          <w:rFonts w:ascii="Cambria" w:hAnsi="Cambria" w:cs="Calibri"/>
          <w:i/>
          <w:iCs/>
          <w:sz w:val="22"/>
          <w:szCs w:val="22"/>
        </w:rPr>
        <w:t>Introduction générale au droit</w:t>
      </w:r>
      <w:r w:rsidRPr="00525A1C">
        <w:rPr>
          <w:rFonts w:ascii="Cambria" w:hAnsi="Cambria" w:cs="Calibri"/>
          <w:sz w:val="22"/>
          <w:szCs w:val="22"/>
        </w:rPr>
        <w:t>, LGDJ, coll. Manuels, 8</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1D0DD01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François Terré et Nicolas Molfessis, </w:t>
      </w:r>
      <w:r w:rsidRPr="00525A1C">
        <w:rPr>
          <w:rFonts w:ascii="Cambria" w:hAnsi="Cambria" w:cs="Calibri"/>
          <w:i/>
          <w:iCs/>
          <w:sz w:val="22"/>
          <w:szCs w:val="22"/>
        </w:rPr>
        <w:t>Introduction générale au droit</w:t>
      </w:r>
      <w:r w:rsidRPr="00525A1C">
        <w:rPr>
          <w:rFonts w:ascii="Cambria" w:hAnsi="Cambria" w:cs="Calibri"/>
          <w:sz w:val="22"/>
          <w:szCs w:val="22"/>
        </w:rPr>
        <w:t>, Dalloz, coll. Précis, 17</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35F3BDD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2C5EA1E"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                </w:t>
      </w:r>
      <w:r w:rsidRPr="00525A1C">
        <w:rPr>
          <w:rFonts w:ascii="Cambria" w:hAnsi="Cambria" w:cs="Calibri"/>
          <w:b/>
          <w:bCs/>
          <w:sz w:val="22"/>
          <w:szCs w:val="22"/>
        </w:rPr>
        <w:t>Ouvrages d’introduction au droit public</w:t>
      </w:r>
    </w:p>
    <w:p w14:paraId="5DB37004"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7DD319A"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A. Duffy-Meunier, I. Fassassi, G. J. Guglielmi et Elisabeth Zoller, </w:t>
      </w:r>
      <w:r w:rsidRPr="00525A1C">
        <w:rPr>
          <w:rFonts w:ascii="Cambria" w:hAnsi="Cambria" w:cs="Calibri"/>
          <w:i/>
          <w:iCs/>
          <w:sz w:val="22"/>
          <w:szCs w:val="22"/>
        </w:rPr>
        <w:t>Introduction au droit public</w:t>
      </w:r>
      <w:r w:rsidRPr="00525A1C">
        <w:rPr>
          <w:rFonts w:ascii="Cambria" w:hAnsi="Cambria" w:cs="Calibri"/>
          <w:sz w:val="22"/>
          <w:szCs w:val="22"/>
        </w:rPr>
        <w:t>, Dalloz, collection Précis, 3</w:t>
      </w:r>
      <w:r w:rsidRPr="00525A1C">
        <w:rPr>
          <w:rFonts w:ascii="Cambria" w:hAnsi="Cambria" w:cs="Calibri"/>
          <w:sz w:val="22"/>
          <w:szCs w:val="22"/>
          <w:vertAlign w:val="superscript"/>
        </w:rPr>
        <w:t>e</w:t>
      </w:r>
      <w:r w:rsidRPr="00525A1C">
        <w:rPr>
          <w:rFonts w:ascii="Cambria" w:hAnsi="Cambria" w:cs="Calibri"/>
          <w:sz w:val="22"/>
          <w:szCs w:val="22"/>
        </w:rPr>
        <w:t xml:space="preserve"> éd., 2022.</w:t>
      </w:r>
    </w:p>
    <w:p w14:paraId="0BC4CD3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Michel de Villiers et Thibaut de Beranger, </w:t>
      </w:r>
      <w:r w:rsidRPr="00525A1C">
        <w:rPr>
          <w:rFonts w:ascii="Cambria" w:hAnsi="Cambria" w:cs="Calibri"/>
          <w:i/>
          <w:iCs/>
          <w:sz w:val="22"/>
          <w:szCs w:val="22"/>
        </w:rPr>
        <w:t>Droit public général</w:t>
      </w:r>
      <w:r w:rsidRPr="00525A1C">
        <w:rPr>
          <w:rFonts w:ascii="Cambria" w:hAnsi="Cambria" w:cs="Calibri"/>
          <w:sz w:val="22"/>
          <w:szCs w:val="22"/>
        </w:rPr>
        <w:t>, LexisNexis, coll. Manuels, 8</w:t>
      </w:r>
      <w:r w:rsidRPr="00525A1C">
        <w:rPr>
          <w:rFonts w:ascii="Cambria" w:hAnsi="Cambria" w:cs="Calibri"/>
          <w:sz w:val="22"/>
          <w:szCs w:val="22"/>
          <w:vertAlign w:val="superscript"/>
        </w:rPr>
        <w:t>e</w:t>
      </w:r>
      <w:r w:rsidRPr="00525A1C">
        <w:rPr>
          <w:rFonts w:ascii="Cambria" w:hAnsi="Cambria" w:cs="Calibri"/>
          <w:sz w:val="22"/>
          <w:szCs w:val="22"/>
        </w:rPr>
        <w:t xml:space="preserve"> éd., 2020.</w:t>
      </w:r>
    </w:p>
    <w:p w14:paraId="1801A2E1"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Joël Mekhantar, </w:t>
      </w:r>
      <w:r w:rsidRPr="00525A1C">
        <w:rPr>
          <w:rFonts w:ascii="Cambria" w:hAnsi="Cambria" w:cs="Calibri"/>
          <w:i/>
          <w:iCs/>
          <w:sz w:val="22"/>
          <w:szCs w:val="22"/>
        </w:rPr>
        <w:t>Introduction au droit public</w:t>
      </w:r>
      <w:r w:rsidRPr="00525A1C">
        <w:rPr>
          <w:rFonts w:ascii="Cambria" w:hAnsi="Cambria" w:cs="Calibri"/>
          <w:sz w:val="22"/>
          <w:szCs w:val="22"/>
        </w:rPr>
        <w:t>, Ma éditions, 2019.</w:t>
      </w:r>
    </w:p>
    <w:p w14:paraId="11D25ACC"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B. Plessix, </w:t>
      </w:r>
      <w:r w:rsidRPr="00525A1C">
        <w:rPr>
          <w:rFonts w:ascii="Cambria" w:hAnsi="Cambria" w:cs="Calibri"/>
          <w:i/>
          <w:iCs/>
          <w:sz w:val="22"/>
          <w:szCs w:val="22"/>
        </w:rPr>
        <w:t>Le droit public</w:t>
      </w:r>
      <w:r w:rsidRPr="00525A1C">
        <w:rPr>
          <w:rFonts w:ascii="Cambria" w:hAnsi="Cambria" w:cs="Calibri"/>
          <w:sz w:val="22"/>
          <w:szCs w:val="22"/>
        </w:rPr>
        <w:t>, PUF, coll. Que sais-je ?, 2</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4DF1FB6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D. Truchet, </w:t>
      </w:r>
      <w:r w:rsidRPr="00525A1C">
        <w:rPr>
          <w:rFonts w:ascii="Cambria" w:hAnsi="Cambria" w:cs="Calibri"/>
          <w:i/>
          <w:iCs/>
          <w:sz w:val="22"/>
          <w:szCs w:val="22"/>
        </w:rPr>
        <w:t>Le droit public</w:t>
      </w:r>
      <w:r w:rsidRPr="00525A1C">
        <w:rPr>
          <w:rFonts w:ascii="Cambria" w:hAnsi="Cambria" w:cs="Calibri"/>
          <w:sz w:val="22"/>
          <w:szCs w:val="22"/>
        </w:rPr>
        <w:t>, PUF, coll. Que sais-je ?, 2018</w:t>
      </w:r>
    </w:p>
    <w:p w14:paraId="3F10E6BD"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670A3E0" w14:textId="77777777" w:rsidR="00660AF1" w:rsidRPr="00E7295F" w:rsidRDefault="00660AF1" w:rsidP="00660AF1">
      <w:pPr>
        <w:jc w:val="center"/>
        <w:rPr>
          <w:rFonts w:ascii="Cambria" w:hAnsi="Cambria" w:cs="Times New Roman"/>
          <w:iCs/>
          <w:color w:val="C00000"/>
          <w:sz w:val="28"/>
          <w:szCs w:val="28"/>
        </w:rPr>
      </w:pPr>
      <w:r w:rsidRPr="00E7295F">
        <w:rPr>
          <w:rFonts w:ascii="Cambria" w:hAnsi="Cambria" w:cs="Times New Roman"/>
          <w:iCs/>
          <w:color w:val="C00000"/>
          <w:sz w:val="28"/>
          <w:szCs w:val="28"/>
        </w:rPr>
        <w:t xml:space="preserve">J3010221 : INTRODUCTION AU DROIT PRIVE </w:t>
      </w:r>
    </w:p>
    <w:p w14:paraId="2A4B793B" w14:textId="77777777" w:rsidR="00660AF1" w:rsidRPr="00E7295F" w:rsidRDefault="00660AF1" w:rsidP="00660AF1">
      <w:pPr>
        <w:jc w:val="center"/>
        <w:rPr>
          <w:rFonts w:ascii="Cambria" w:hAnsi="Cambria" w:cs="Times New Roman"/>
          <w:bCs/>
          <w:iCs/>
          <w:color w:val="C00000"/>
          <w:sz w:val="22"/>
        </w:rPr>
      </w:pPr>
      <w:r w:rsidRPr="00E7295F">
        <w:rPr>
          <w:rFonts w:ascii="Cambria" w:hAnsi="Cambria" w:cs="Times New Roman"/>
          <w:bCs/>
          <w:iCs/>
          <w:color w:val="C00000"/>
          <w:sz w:val="22"/>
        </w:rPr>
        <w:t>Semestre 2</w:t>
      </w:r>
    </w:p>
    <w:p w14:paraId="2C769065" w14:textId="77777777" w:rsidR="00660AF1" w:rsidRPr="00525A1C" w:rsidRDefault="00660AF1" w:rsidP="00660AF1">
      <w:pPr>
        <w:jc w:val="center"/>
        <w:rPr>
          <w:rFonts w:ascii="Cambria" w:hAnsi="Cambria" w:cs="Times New Roman"/>
          <w:b w:val="0"/>
          <w:iCs/>
          <w:sz w:val="22"/>
        </w:rPr>
      </w:pPr>
      <w:r w:rsidRPr="00525A1C">
        <w:rPr>
          <w:rFonts w:ascii="Cambria" w:hAnsi="Cambria" w:cs="Times New Roman"/>
          <w:iCs/>
          <w:sz w:val="22"/>
        </w:rPr>
        <w:t>Doroth</w:t>
      </w:r>
      <w:r w:rsidRPr="00525A1C">
        <w:rPr>
          <w:rFonts w:ascii="Cambria" w:hAnsi="Cambria" w:cs="Times New Roman"/>
          <w:b w:val="0"/>
          <w:iCs/>
          <w:sz w:val="22"/>
        </w:rPr>
        <w:t>é</w:t>
      </w:r>
      <w:r w:rsidRPr="00525A1C">
        <w:rPr>
          <w:rFonts w:ascii="Cambria" w:hAnsi="Cambria" w:cs="Times New Roman"/>
          <w:iCs/>
          <w:sz w:val="22"/>
        </w:rPr>
        <w:t>e</w:t>
      </w:r>
      <w:r w:rsidRPr="00525A1C">
        <w:rPr>
          <w:rFonts w:ascii="Cambria" w:hAnsi="Cambria" w:cs="Times New Roman"/>
          <w:b w:val="0"/>
          <w:iCs/>
          <w:sz w:val="22"/>
        </w:rPr>
        <w:t xml:space="preserve"> </w:t>
      </w:r>
      <w:r w:rsidRPr="00525A1C">
        <w:rPr>
          <w:rFonts w:ascii="Cambria" w:hAnsi="Cambria" w:cs="Times New Roman"/>
          <w:iCs/>
          <w:sz w:val="22"/>
        </w:rPr>
        <w:t>Pardoel</w:t>
      </w:r>
    </w:p>
    <w:p w14:paraId="5B8E42DD"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 xml:space="preserve">Le cours d’Introduction au droit privé a pour objectif de vous sensibiliser aux différentes notions du droit privé. </w:t>
      </w:r>
    </w:p>
    <w:p w14:paraId="7BA7FFC2"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Après avoir présenté les différentes acceptions du mot droit, les séances sont consacrées dans un premier temps au droit objectif c’est-à-dire à l’ensemble des règles de droit dont il convient de connaître la diversité et l’organisation. Sont alors abordés les thèmes propres à la hiérarchie des normes (constitution, traités internationaux, loi et règlement), à l’identification des différentes sources du droit (loi écrite, coutume, usages, jurisprudence et doctrine), mais également à leur organisation thématique (notion de codification, loi générale/loi spéciale) et temporelle (application de la loi dans le temps).</w:t>
      </w:r>
    </w:p>
    <w:p w14:paraId="770BAFC2"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 xml:space="preserve">Dans un second temps, le cours porte sur la notion de droit subjectif, c’est-à-dire sur les prérogatives juridiques de chaque personne et sur leur mise en œuvre devant les tribunaux. Sont ainsi abordés l’organisation des juridictions françaises, le raisonnement juridique, les notions de personnes, de bien, de patrimoine, d’obligation (contrat et responsabilité civile), de responsabilité pénale. </w:t>
      </w:r>
    </w:p>
    <w:p w14:paraId="1662901A"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Le cours est complété par un ensemble de documents mis en ligne sur l’EPI qui servent de support à des exercices d’applications du cours.</w:t>
      </w:r>
    </w:p>
    <w:p w14:paraId="5E3EFB34" w14:textId="77777777" w:rsidR="00660AF1" w:rsidRPr="00525A1C" w:rsidRDefault="00660AF1" w:rsidP="00660AF1">
      <w:pPr>
        <w:jc w:val="both"/>
        <w:rPr>
          <w:rFonts w:ascii="Cambria" w:hAnsi="Cambria" w:cs="Times New Roman"/>
          <w:b w:val="0"/>
          <w:iCs/>
          <w:sz w:val="22"/>
        </w:rPr>
      </w:pPr>
    </w:p>
    <w:p w14:paraId="3137D7DA" w14:textId="77777777" w:rsidR="00660AF1" w:rsidRPr="00525A1C" w:rsidRDefault="00660AF1" w:rsidP="00660AF1">
      <w:pPr>
        <w:jc w:val="center"/>
        <w:rPr>
          <w:rFonts w:ascii="Cambria" w:hAnsi="Cambria" w:cs="Times New Roman"/>
          <w:iCs/>
          <w:sz w:val="22"/>
        </w:rPr>
      </w:pPr>
      <w:r w:rsidRPr="00525A1C">
        <w:rPr>
          <w:rFonts w:ascii="Cambria" w:hAnsi="Cambria" w:cs="Times New Roman"/>
          <w:iCs/>
          <w:sz w:val="22"/>
        </w:rPr>
        <w:t>BIBLIOGRAPHIE INDICATIVE</w:t>
      </w:r>
    </w:p>
    <w:p w14:paraId="4660977E" w14:textId="77777777" w:rsidR="00660AF1" w:rsidRPr="00525A1C" w:rsidRDefault="00660AF1" w:rsidP="00660AF1">
      <w:pPr>
        <w:jc w:val="center"/>
        <w:rPr>
          <w:rFonts w:ascii="Cambria" w:hAnsi="Cambria" w:cs="Times New Roman"/>
          <w:b w:val="0"/>
          <w:iCs/>
          <w:sz w:val="22"/>
        </w:rPr>
      </w:pPr>
    </w:p>
    <w:p w14:paraId="02A099B0"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 xml:space="preserve">R. Cabrillac :  </w:t>
      </w:r>
      <w:r w:rsidRPr="00525A1C">
        <w:rPr>
          <w:rFonts w:ascii="Cambria" w:hAnsi="Cambria" w:cs="Times New Roman"/>
          <w:b w:val="0"/>
          <w:iCs/>
          <w:sz w:val="22"/>
        </w:rPr>
        <w:t>Introduction générale au droit, Dalloz Cours, 2021 (accessible Domino, droit, Dalloz livre)</w:t>
      </w:r>
    </w:p>
    <w:p w14:paraId="6634B167" w14:textId="77777777" w:rsidR="00660AF1" w:rsidRPr="00525A1C" w:rsidRDefault="00660AF1" w:rsidP="00660AF1">
      <w:pPr>
        <w:jc w:val="both"/>
        <w:rPr>
          <w:rFonts w:ascii="Cambria" w:hAnsi="Cambria" w:cs="Times New Roman"/>
          <w:b w:val="0"/>
          <w:iCs/>
          <w:sz w:val="22"/>
          <w:u w:val="single"/>
        </w:rPr>
      </w:pPr>
      <w:r w:rsidRPr="00525A1C">
        <w:rPr>
          <w:rFonts w:ascii="Cambria" w:hAnsi="Cambria" w:cs="Times New Roman"/>
          <w:b w:val="0"/>
          <w:iCs/>
          <w:sz w:val="22"/>
          <w:u w:val="single"/>
        </w:rPr>
        <w:t>Pour aller plus loin :</w:t>
      </w:r>
    </w:p>
    <w:p w14:paraId="0E86ACAB"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Gilles Goubeaux et Pierre Voirin :</w:t>
      </w:r>
      <w:r w:rsidRPr="00525A1C">
        <w:rPr>
          <w:rFonts w:ascii="Cambria" w:hAnsi="Cambria" w:cs="Times New Roman"/>
          <w:b w:val="0"/>
          <w:iCs/>
          <w:sz w:val="22"/>
        </w:rPr>
        <w:t xml:space="preserve">  Droit civil, tome 1, Introduction au droit, Personnes, Famille, Personnes protégées, Biens, obligations – sûretés LGDJ, 2021.</w:t>
      </w:r>
    </w:p>
    <w:p w14:paraId="5F9AC3FB" w14:textId="77777777" w:rsidR="00660AF1" w:rsidRPr="00525A1C" w:rsidRDefault="00660AF1" w:rsidP="00660AF1">
      <w:pPr>
        <w:jc w:val="both"/>
        <w:rPr>
          <w:rFonts w:ascii="Cambria" w:hAnsi="Cambria" w:cs="Times New Roman"/>
          <w:b w:val="0"/>
          <w:iCs/>
          <w:sz w:val="22"/>
          <w:u w:val="single"/>
        </w:rPr>
      </w:pPr>
      <w:r w:rsidRPr="00525A1C">
        <w:rPr>
          <w:rFonts w:ascii="Cambria" w:hAnsi="Cambria" w:cs="Times New Roman"/>
          <w:b w:val="0"/>
          <w:iCs/>
          <w:sz w:val="22"/>
          <w:u w:val="single"/>
        </w:rPr>
        <w:t>Ph. Jestaz </w:t>
      </w:r>
      <w:r w:rsidRPr="00525A1C">
        <w:rPr>
          <w:rFonts w:ascii="Cambria" w:hAnsi="Cambria" w:cs="Times New Roman"/>
          <w:b w:val="0"/>
          <w:iCs/>
          <w:sz w:val="22"/>
        </w:rPr>
        <w:t xml:space="preserve">: Le Droit, éd. Dalloz, collection connaissance du droit, 2021 (accessible Domino, droit, Dalloz livre). </w:t>
      </w:r>
    </w:p>
    <w:p w14:paraId="4F5D664C"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P. Jourdain :</w:t>
      </w:r>
      <w:r w:rsidRPr="00525A1C">
        <w:rPr>
          <w:rFonts w:ascii="Cambria" w:hAnsi="Cambria" w:cs="Times New Roman"/>
          <w:b w:val="0"/>
          <w:iCs/>
          <w:sz w:val="22"/>
        </w:rPr>
        <w:t xml:space="preserve"> Les principes de la responsabilité civile, éd. Dalloz, collection Connaissance du droit, 2021 (accessible Domino, droit, Dalloz livre)</w:t>
      </w:r>
    </w:p>
    <w:p w14:paraId="4D2A63F3"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J.L. Aubert et F. Collard-Dutilleul</w:t>
      </w:r>
      <w:r w:rsidRPr="00525A1C">
        <w:rPr>
          <w:rFonts w:ascii="Cambria" w:hAnsi="Cambria" w:cs="Times New Roman"/>
          <w:b w:val="0"/>
          <w:iCs/>
          <w:sz w:val="22"/>
        </w:rPr>
        <w:t xml:space="preserve"> Le contrat - Droit des obligations, éd. Dalloz, Collection connaissance du droit, 2017. (Accessible Domino, droit, Dalloz livre)</w:t>
      </w:r>
    </w:p>
    <w:p w14:paraId="6E494228"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J. Rochefeld</w:t>
      </w:r>
      <w:r w:rsidRPr="00525A1C">
        <w:rPr>
          <w:rFonts w:ascii="Cambria" w:hAnsi="Cambria" w:cs="Times New Roman"/>
          <w:b w:val="0"/>
          <w:iCs/>
          <w:sz w:val="22"/>
        </w:rPr>
        <w:t> : Les grandes notions du droit privé, PUF.</w:t>
      </w:r>
    </w:p>
    <w:p w14:paraId="0B7BF36B" w14:textId="77777777" w:rsidR="00660AF1" w:rsidRPr="00525A1C" w:rsidRDefault="00660AF1" w:rsidP="00660AF1">
      <w:pPr>
        <w:rPr>
          <w:rFonts w:ascii="Cambria" w:hAnsi="Cambria" w:cs="Times New Roman"/>
          <w:iCs/>
          <w:sz w:val="22"/>
        </w:rPr>
      </w:pPr>
    </w:p>
    <w:p w14:paraId="2D35FF27"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B8A4640"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2B5B8E0"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08248FC"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136BCB2"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BF1C7A3"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584A34A"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C791717"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4915E7E" w14:textId="0C779298" w:rsidR="00D059B0" w:rsidRPr="00525A1C" w:rsidRDefault="00D059B0" w:rsidP="00D059B0">
      <w:pPr>
        <w:spacing w:line="256" w:lineRule="auto"/>
        <w:rPr>
          <w:rFonts w:eastAsia="Times New Roman" w:cs="Times New Roman"/>
          <w:bCs/>
          <w:kern w:val="0"/>
          <w:szCs w:val="24"/>
          <w:lang w:eastAsia="fr-FR"/>
        </w:rPr>
      </w:pPr>
    </w:p>
    <w:p w14:paraId="0DED22D4"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446F319"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19270E6"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8B05044"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77BC635"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46FD022"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EEB90FE"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02AC743"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1EEAFBC"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C078A6F"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8E0FD33"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02C1920C"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90A91A8"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066B8C4"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6976E5E7"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AE9A4B3"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4E4C9DC" w14:textId="77777777" w:rsidR="005934A4" w:rsidRPr="00525A1C" w:rsidRDefault="005934A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947393F"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5A54710" w14:textId="66C45117" w:rsidR="00016FCF" w:rsidRPr="00525A1C" w:rsidRDefault="00016FCF" w:rsidP="006F3758">
      <w:pPr>
        <w:tabs>
          <w:tab w:val="left" w:pos="6521"/>
        </w:tabs>
        <w:rPr>
          <w:b w:val="0"/>
          <w:i/>
          <w:color w:val="333333" w:themeColor="text2" w:themeShade="BF"/>
          <w:sz w:val="36"/>
          <w:szCs w:val="36"/>
          <w:u w:val="single"/>
        </w:rPr>
      </w:pPr>
      <w:r w:rsidRPr="00E7295F">
        <w:rPr>
          <w:b w:val="0"/>
          <w:i/>
          <w:color w:val="333333" w:themeColor="text2" w:themeShade="BF"/>
          <w:sz w:val="36"/>
          <w:szCs w:val="3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Préprofessionnalisation</w:t>
      </w:r>
      <w:r w:rsidRPr="00525A1C">
        <w:rPr>
          <w:i/>
          <w:color w:val="333333" w:themeColor="text2" w:themeShade="BF"/>
          <w:sz w:val="36"/>
          <w:szCs w:val="36"/>
          <w:u w:val="single"/>
        </w:rPr>
        <w:t xml:space="preserve"> </w:t>
      </w:r>
    </w:p>
    <w:p w14:paraId="4CDE0833" w14:textId="77777777" w:rsidR="006F3758" w:rsidRPr="00525A1C" w:rsidRDefault="006F3758" w:rsidP="006F3758">
      <w:pPr>
        <w:tabs>
          <w:tab w:val="left" w:pos="6521"/>
        </w:tabs>
        <w:suppressAutoHyphens/>
        <w:spacing w:after="0" w:line="240" w:lineRule="auto"/>
        <w:textAlignment w:val="baseline"/>
        <w:rPr>
          <w:rFonts w:ascii="Cambria" w:eastAsia="Times New Roman" w:hAnsi="Cambria" w:cs="Times New Roman"/>
          <w:iCs/>
          <w:kern w:val="0"/>
          <w:sz w:val="22"/>
          <w:lang w:eastAsia="fr-FR"/>
        </w:rPr>
      </w:pPr>
    </w:p>
    <w:p w14:paraId="7CED580D" w14:textId="77777777" w:rsidR="006F3758" w:rsidRPr="00E7295F" w:rsidRDefault="006F3758" w:rsidP="006F3758">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E7295F">
        <w:rPr>
          <w:rFonts w:ascii="Cambria" w:eastAsia="Times New Roman" w:hAnsi="Cambria" w:cs="Times New Roman"/>
          <w:iCs/>
          <w:color w:val="C00000"/>
          <w:kern w:val="0"/>
          <w:sz w:val="28"/>
          <w:szCs w:val="28"/>
          <w:lang w:eastAsia="fr-FR"/>
        </w:rPr>
        <w:t>J3023319/J3023419 : Patrimoine culturel</w:t>
      </w:r>
    </w:p>
    <w:p w14:paraId="3857EE86" w14:textId="77777777" w:rsidR="006F3758" w:rsidRPr="00525A1C" w:rsidRDefault="006F3758" w:rsidP="006F3758">
      <w:pPr>
        <w:tabs>
          <w:tab w:val="left" w:pos="6521"/>
        </w:tabs>
        <w:suppressAutoHyphens/>
        <w:spacing w:after="0" w:line="240" w:lineRule="auto"/>
        <w:jc w:val="both"/>
        <w:textAlignment w:val="baseline"/>
        <w:rPr>
          <w:rFonts w:ascii="Cambria" w:eastAsia="Times New Roman" w:hAnsi="Cambria" w:cs="Times New Roman"/>
          <w:iCs/>
          <w:color w:val="FF0000"/>
          <w:kern w:val="0"/>
          <w:sz w:val="22"/>
          <w:lang w:eastAsia="fr-FR"/>
        </w:rPr>
      </w:pPr>
    </w:p>
    <w:p w14:paraId="206651A4" w14:textId="77777777" w:rsidR="006F3758" w:rsidRPr="00525A1C" w:rsidRDefault="006F3758" w:rsidP="006F3758">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Guillaume Mazeau</w:t>
      </w:r>
    </w:p>
    <w:p w14:paraId="1056B495" w14:textId="77777777" w:rsidR="006F3758" w:rsidRPr="00525A1C" w:rsidRDefault="006F3758" w:rsidP="006F3758">
      <w:pPr>
        <w:jc w:val="both"/>
        <w:rPr>
          <w:rFonts w:ascii="Cambria" w:eastAsia="Times New Roman" w:hAnsi="Cambria" w:cs="Times New Roman"/>
          <w:b w:val="0"/>
          <w:bCs/>
          <w:iCs/>
          <w:sz w:val="21"/>
          <w:szCs w:val="21"/>
          <w:lang w:eastAsia="fr-FR"/>
        </w:rPr>
      </w:pPr>
      <w:r w:rsidRPr="00525A1C">
        <w:rPr>
          <w:rFonts w:ascii="Cambria" w:eastAsia="Times New Roman" w:hAnsi="Cambria" w:cs="Times New Roman"/>
          <w:bCs/>
          <w:iCs/>
          <w:sz w:val="21"/>
          <w:szCs w:val="21"/>
          <w:lang w:eastAsia="fr-FR"/>
        </w:rPr>
        <w:t xml:space="preserve">Descriptif général : </w:t>
      </w:r>
    </w:p>
    <w:p w14:paraId="695A6DDA"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eastAsia="fr-FR"/>
        </w:rPr>
        <w:t>Option professionnalisante articulée à l’offre de formation du Master « Patrimoine et musées » (UFR 03 et UFR 09, Université Paris 1 Panthéon-Sorbonne), ce cours doit permettre aux étudiants de se familiariser avec l’histoire du patrimoine, de sa gouvernance, de sa construction institutionnelle et de ses modes de gestion, mais aussi sur ses enjeux politiques, sociétaux et professionnels passés et actuels. Au premier semestre, nous retracerons l’histoire du patrimoine et de ses institutions en France, mais en comparant les échelles nationales et mondiale, de l’Antiquité à nos jours. Le second semestre sera consacré à une formation plus pratique mêlant contenu disciplinaire sur l’histoire de la Révolution française et expérience professionnalisante de médiation historique à la Conciergerie (île de la Cité, Centre des Monuments nationaux).</w:t>
      </w:r>
    </w:p>
    <w:p w14:paraId="4D35271A" w14:textId="77777777" w:rsidR="006F3758" w:rsidRPr="00525A1C" w:rsidRDefault="006F3758" w:rsidP="006F3758">
      <w:pPr>
        <w:spacing w:after="200" w:line="276" w:lineRule="auto"/>
        <w:jc w:val="both"/>
        <w:rPr>
          <w:rFonts w:ascii="Cambria" w:eastAsia="Times New Roman" w:hAnsi="Cambria" w:cs="Times New Roman"/>
          <w:bCs/>
          <w:color w:val="007BB8"/>
          <w:sz w:val="21"/>
          <w:szCs w:val="21"/>
          <w:lang w:eastAsia="fr-FR"/>
        </w:rPr>
      </w:pPr>
      <w:r w:rsidRPr="00525A1C">
        <w:rPr>
          <w:rFonts w:ascii="Cambria" w:eastAsia="Times New Roman" w:hAnsi="Cambria" w:cs="Times New Roman"/>
          <w:bCs/>
          <w:color w:val="5B0F21" w:themeColor="accent1" w:themeShade="80"/>
          <w:sz w:val="21"/>
          <w:szCs w:val="21"/>
          <w:lang w:eastAsia="fr-FR"/>
        </w:rPr>
        <w:t xml:space="preserve">Semestre 1. Le patrimoine culturel en France, de la Révolution à nos jours. </w:t>
      </w:r>
      <w:r w:rsidRPr="00525A1C">
        <w:rPr>
          <w:rFonts w:ascii="Cambria" w:eastAsia="Times New Roman" w:hAnsi="Cambria" w:cs="Times New Roman"/>
          <w:b w:val="0"/>
          <w:sz w:val="21"/>
          <w:szCs w:val="21"/>
          <w:lang w:eastAsia="fr-FR"/>
        </w:rPr>
        <w:t xml:space="preserve">Le cours présente une histoire critique de la notion de patrimoine culturel de la fin du XVIIIe siècle au début du XXIe siècle, ainsi que les principales caractéristiques de la prise en compte du patrimoine culturel au sein des politiques publiques et dans le développement d’une action culturelle publique et privée. Pourquoi et comment la notion apparaît-elle ? Quand commence-t-on à protéger les monuments ? Comment expliquer l’hypertrophie contemporaine (« tout est patrimoine ») ? Le cours, également ouvert aux étudiants de M2 Patrimoine, spécialité Concours - Archives, propose aussi des débats sur l'actualité patrimoniale. </w:t>
      </w:r>
    </w:p>
    <w:p w14:paraId="0B29E14C"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Cs/>
          <w:sz w:val="21"/>
          <w:szCs w:val="21"/>
          <w:lang w:eastAsia="fr-FR"/>
        </w:rPr>
        <w:t>Bibliographie semestre 1 :</w:t>
      </w:r>
    </w:p>
    <w:p w14:paraId="60B4D3B5"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eastAsia="fr-FR"/>
        </w:rPr>
        <w:t xml:space="preserve">Françoise BERCÉ, </w:t>
      </w:r>
      <w:r w:rsidRPr="00525A1C">
        <w:rPr>
          <w:rFonts w:ascii="Cambria" w:eastAsia="Times New Roman" w:hAnsi="Cambria" w:cs="Times New Roman"/>
          <w:b w:val="0"/>
          <w:i/>
          <w:iCs/>
          <w:sz w:val="21"/>
          <w:szCs w:val="21"/>
          <w:lang w:eastAsia="fr-FR"/>
        </w:rPr>
        <w:t>Des monuments historiques au patrimoine, du XVIII</w:t>
      </w:r>
      <w:r w:rsidRPr="00525A1C">
        <w:rPr>
          <w:rFonts w:ascii="Cambria" w:eastAsia="Times New Roman" w:hAnsi="Cambria" w:cs="Times New Roman"/>
          <w:b w:val="0"/>
          <w:i/>
          <w:iCs/>
          <w:sz w:val="21"/>
          <w:szCs w:val="21"/>
          <w:vertAlign w:val="superscript"/>
          <w:lang w:eastAsia="fr-FR"/>
        </w:rPr>
        <w:t>e</w:t>
      </w:r>
      <w:r w:rsidRPr="00525A1C">
        <w:rPr>
          <w:rFonts w:ascii="Cambria" w:eastAsia="Times New Roman" w:hAnsi="Cambria" w:cs="Times New Roman"/>
          <w:b w:val="0"/>
          <w:i/>
          <w:iCs/>
          <w:sz w:val="21"/>
          <w:szCs w:val="21"/>
          <w:lang w:eastAsia="fr-FR"/>
        </w:rPr>
        <w:t> siècle à nos jours, ou Les égarements du cœur et de l’esprit</w:t>
      </w:r>
      <w:r w:rsidRPr="00525A1C">
        <w:rPr>
          <w:rFonts w:ascii="Cambria" w:eastAsia="Times New Roman" w:hAnsi="Cambria" w:cs="Times New Roman"/>
          <w:b w:val="0"/>
          <w:sz w:val="21"/>
          <w:szCs w:val="21"/>
          <w:lang w:eastAsia="fr-FR"/>
        </w:rPr>
        <w:t>, Paris, Flammarion, 2000.</w:t>
      </w:r>
    </w:p>
    <w:p w14:paraId="142AC250"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shd w:val="clear" w:color="auto" w:fill="FFFFFF"/>
          <w:lang w:eastAsia="fr-FR"/>
        </w:rPr>
        <w:t xml:space="preserve">Françoise CHOAY, </w:t>
      </w:r>
      <w:r w:rsidRPr="00525A1C">
        <w:rPr>
          <w:rFonts w:ascii="Cambria" w:eastAsia="Times New Roman" w:hAnsi="Cambria" w:cs="Times New Roman"/>
          <w:b w:val="0"/>
          <w:i/>
          <w:iCs/>
          <w:sz w:val="21"/>
          <w:szCs w:val="21"/>
          <w:lang w:eastAsia="fr-FR"/>
        </w:rPr>
        <w:t>L’Allégorie du patrimoine</w:t>
      </w:r>
      <w:r w:rsidRPr="00525A1C">
        <w:rPr>
          <w:rFonts w:ascii="Cambria" w:eastAsia="Times New Roman" w:hAnsi="Cambria" w:cs="Times New Roman"/>
          <w:b w:val="0"/>
          <w:sz w:val="21"/>
          <w:szCs w:val="21"/>
          <w:lang w:eastAsia="fr-FR"/>
        </w:rPr>
        <w:t>, Paris, Flammarion, 1991.</w:t>
      </w:r>
    </w:p>
    <w:p w14:paraId="476D3EB2"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r w:rsidRPr="00525A1C">
        <w:rPr>
          <w:rFonts w:ascii="Times New Roman" w:eastAsia="Times New Roman" w:hAnsi="Times New Roman" w:cs="Times New Roman"/>
          <w:b w:val="0"/>
          <w:kern w:val="0"/>
          <w:sz w:val="21"/>
          <w:szCs w:val="21"/>
          <w:lang w:eastAsia="fr-FR"/>
        </w:rPr>
        <w:t xml:space="preserve">André GOB et Noémie </w:t>
      </w:r>
      <w:r w:rsidRPr="00525A1C">
        <w:rPr>
          <w:rFonts w:ascii="Times New Roman" w:eastAsia="Times New Roman" w:hAnsi="Times New Roman" w:cs="Times New Roman"/>
          <w:b w:val="0"/>
          <w:smallCaps/>
          <w:kern w:val="0"/>
          <w:sz w:val="21"/>
          <w:szCs w:val="21"/>
          <w:lang w:eastAsia="fr-FR"/>
        </w:rPr>
        <w:t>DRUGUET</w:t>
      </w:r>
      <w:r w:rsidRPr="00525A1C">
        <w:rPr>
          <w:rFonts w:ascii="Times New Roman" w:eastAsia="Times New Roman" w:hAnsi="Times New Roman" w:cs="Times New Roman"/>
          <w:b w:val="0"/>
          <w:kern w:val="0"/>
          <w:sz w:val="21"/>
          <w:szCs w:val="21"/>
          <w:lang w:eastAsia="fr-FR"/>
        </w:rPr>
        <w:t xml:space="preserve"> (dir.), </w:t>
      </w:r>
      <w:r w:rsidRPr="00525A1C">
        <w:rPr>
          <w:rFonts w:ascii="Times New Roman" w:eastAsia="Times New Roman" w:hAnsi="Times New Roman" w:cs="Times New Roman"/>
          <w:b w:val="0"/>
          <w:i/>
          <w:iCs/>
          <w:kern w:val="0"/>
          <w:sz w:val="21"/>
          <w:szCs w:val="21"/>
          <w:lang w:eastAsia="fr-FR"/>
        </w:rPr>
        <w:t xml:space="preserve">La muséologie : Histoire, développements, enjeux actuels. </w:t>
      </w:r>
      <w:r w:rsidRPr="00525A1C">
        <w:rPr>
          <w:rFonts w:ascii="Times New Roman" w:eastAsia="Times New Roman" w:hAnsi="Times New Roman" w:cs="Times New Roman"/>
          <w:b w:val="0"/>
          <w:kern w:val="0"/>
          <w:sz w:val="21"/>
          <w:szCs w:val="21"/>
          <w:lang w:eastAsia="fr-FR"/>
        </w:rPr>
        <w:t>(6</w:t>
      </w:r>
      <w:r w:rsidRPr="00525A1C">
        <w:rPr>
          <w:rFonts w:ascii="Times New Roman" w:eastAsia="Times New Roman" w:hAnsi="Times New Roman" w:cs="Times New Roman"/>
          <w:b w:val="0"/>
          <w:kern w:val="0"/>
          <w:sz w:val="21"/>
          <w:szCs w:val="21"/>
          <w:vertAlign w:val="superscript"/>
          <w:lang w:eastAsia="fr-FR"/>
        </w:rPr>
        <w:t>e</w:t>
      </w:r>
      <w:r w:rsidRPr="00525A1C">
        <w:rPr>
          <w:rFonts w:ascii="Times New Roman" w:eastAsia="Times New Roman" w:hAnsi="Times New Roman" w:cs="Times New Roman"/>
          <w:b w:val="0"/>
          <w:kern w:val="0"/>
          <w:sz w:val="21"/>
          <w:szCs w:val="21"/>
          <w:lang w:eastAsia="fr-FR"/>
        </w:rPr>
        <w:t xml:space="preserve"> éd.), Armand Colin, 2025</w:t>
      </w:r>
    </w:p>
    <w:p w14:paraId="450AFF04"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p>
    <w:p w14:paraId="51E619D0"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r w:rsidRPr="00525A1C">
        <w:rPr>
          <w:rFonts w:ascii="Times New Roman" w:eastAsia="Times New Roman" w:hAnsi="Times New Roman" w:cs="Times New Roman"/>
          <w:b w:val="0"/>
          <w:kern w:val="0"/>
          <w:sz w:val="21"/>
          <w:szCs w:val="21"/>
          <w:lang w:eastAsia="fr-FR"/>
        </w:rPr>
        <w:t xml:space="preserve">Jean-Michel LENIAUD, </w:t>
      </w:r>
      <w:r w:rsidRPr="00525A1C">
        <w:rPr>
          <w:rFonts w:ascii="Times New Roman" w:eastAsia="Times New Roman" w:hAnsi="Times New Roman" w:cs="Times New Roman"/>
          <w:b w:val="0"/>
          <w:i/>
          <w:iCs/>
          <w:kern w:val="0"/>
          <w:sz w:val="21"/>
          <w:szCs w:val="21"/>
          <w:lang w:eastAsia="fr-FR"/>
        </w:rPr>
        <w:t>Les Archipels du passé. Le patrimoine et son histoire</w:t>
      </w:r>
      <w:r w:rsidRPr="00525A1C">
        <w:rPr>
          <w:rFonts w:ascii="Times New Roman" w:eastAsia="Times New Roman" w:hAnsi="Times New Roman" w:cs="Times New Roman"/>
          <w:b w:val="0"/>
          <w:kern w:val="0"/>
          <w:sz w:val="21"/>
          <w:szCs w:val="21"/>
          <w:lang w:eastAsia="fr-FR"/>
        </w:rPr>
        <w:t>, Flammarion, 2002</w:t>
      </w:r>
    </w:p>
    <w:p w14:paraId="037926D8"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p>
    <w:p w14:paraId="59D3DD9F" w14:textId="77777777" w:rsidR="006F3758" w:rsidRPr="00525A1C" w:rsidRDefault="006F3758" w:rsidP="006F3758">
      <w:pPr>
        <w:spacing w:after="200" w:line="276" w:lineRule="auto"/>
        <w:jc w:val="both"/>
        <w:rPr>
          <w:rFonts w:ascii="Cambria" w:eastAsia="Times New Roman" w:hAnsi="Cambria" w:cs="Times New Roman"/>
          <w:b w:val="0"/>
          <w:bCs/>
          <w:sz w:val="21"/>
          <w:szCs w:val="21"/>
          <w:lang w:eastAsia="fr-FR"/>
        </w:rPr>
      </w:pPr>
      <w:r w:rsidRPr="00525A1C">
        <w:rPr>
          <w:rFonts w:ascii="Cambria" w:eastAsia="Times New Roman" w:hAnsi="Cambria" w:cs="Times New Roman"/>
          <w:b w:val="0"/>
          <w:sz w:val="21"/>
          <w:szCs w:val="21"/>
          <w:lang w:eastAsia="fr-FR"/>
        </w:rPr>
        <w:t xml:space="preserve">Krzysztof POMIAN, </w:t>
      </w:r>
      <w:r w:rsidRPr="00525A1C">
        <w:rPr>
          <w:rFonts w:ascii="Cambria" w:eastAsia="Times New Roman" w:hAnsi="Cambria" w:cs="Times New Roman"/>
          <w:b w:val="0"/>
          <w:i/>
          <w:iCs/>
          <w:sz w:val="21"/>
          <w:szCs w:val="21"/>
          <w:lang w:eastAsia="fr-FR"/>
        </w:rPr>
        <w:t>Le musée, une histoire mondiale (3 vol.)</w:t>
      </w:r>
      <w:r w:rsidRPr="00525A1C">
        <w:rPr>
          <w:rFonts w:ascii="Cambria" w:eastAsia="Times New Roman" w:hAnsi="Cambria" w:cs="Times New Roman"/>
          <w:b w:val="0"/>
          <w:sz w:val="21"/>
          <w:szCs w:val="21"/>
          <w:lang w:eastAsia="fr-FR"/>
        </w:rPr>
        <w:t>, Paris, Gallimard, 2020-2022</w:t>
      </w:r>
    </w:p>
    <w:p w14:paraId="2FE9FC99"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val="de-DE" w:eastAsia="fr-FR"/>
        </w:rPr>
        <w:t xml:space="preserve">Dominique POULOT, </w:t>
      </w:r>
      <w:r w:rsidRPr="00525A1C">
        <w:rPr>
          <w:rFonts w:ascii="Cambria" w:eastAsia="Times New Roman" w:hAnsi="Cambria" w:cs="Times New Roman"/>
          <w:b w:val="0"/>
          <w:i/>
          <w:iCs/>
          <w:sz w:val="21"/>
          <w:szCs w:val="21"/>
          <w:lang w:val="de-DE" w:eastAsia="fr-FR"/>
        </w:rPr>
        <w:t>Une histoire des musées de France, XVIIIe-XXe siècle</w:t>
      </w:r>
      <w:r w:rsidRPr="00525A1C">
        <w:rPr>
          <w:rFonts w:ascii="Cambria" w:eastAsia="Times New Roman" w:hAnsi="Cambria" w:cs="Times New Roman"/>
          <w:b w:val="0"/>
          <w:sz w:val="21"/>
          <w:szCs w:val="21"/>
          <w:lang w:val="de-DE" w:eastAsia="fr-FR"/>
        </w:rPr>
        <w:t>, Paris, La Découverte, 2008.</w:t>
      </w:r>
    </w:p>
    <w:p w14:paraId="3E8C3946"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val="de-DE" w:eastAsia="fr-FR"/>
        </w:rPr>
        <w:t xml:space="preserve">Dominique POULOT, </w:t>
      </w:r>
      <w:r w:rsidRPr="00525A1C">
        <w:rPr>
          <w:rFonts w:ascii="Cambria" w:eastAsia="Times New Roman" w:hAnsi="Cambria" w:cs="Times New Roman"/>
          <w:b w:val="0"/>
          <w:i/>
          <w:iCs/>
          <w:sz w:val="21"/>
          <w:szCs w:val="21"/>
          <w:lang w:eastAsia="fr-FR"/>
        </w:rPr>
        <w:t>Musée nation patrimoine 1789-1815</w:t>
      </w:r>
      <w:r w:rsidRPr="00525A1C">
        <w:rPr>
          <w:rFonts w:ascii="Cambria" w:eastAsia="Times New Roman" w:hAnsi="Cambria" w:cs="Times New Roman"/>
          <w:b w:val="0"/>
          <w:sz w:val="21"/>
          <w:szCs w:val="21"/>
          <w:lang w:eastAsia="fr-FR"/>
        </w:rPr>
        <w:t>, Paris, Gallimard, 1997.</w:t>
      </w:r>
    </w:p>
    <w:p w14:paraId="247DF50B" w14:textId="77777777" w:rsidR="006F3758" w:rsidRPr="00525A1C" w:rsidRDefault="006F3758" w:rsidP="006F3758">
      <w:pPr>
        <w:spacing w:after="200" w:line="276" w:lineRule="auto"/>
        <w:jc w:val="both"/>
        <w:rPr>
          <w:rFonts w:ascii="Cambria" w:eastAsia="Times New Roman" w:hAnsi="Cambria" w:cs="Times New Roman"/>
          <w:color w:val="007BB8"/>
          <w:sz w:val="21"/>
          <w:szCs w:val="21"/>
          <w:lang w:eastAsia="fr-FR"/>
        </w:rPr>
      </w:pPr>
      <w:r w:rsidRPr="00525A1C">
        <w:rPr>
          <w:rFonts w:ascii="Cambria" w:eastAsia="Times New Roman" w:hAnsi="Cambria" w:cs="Times New Roman"/>
          <w:color w:val="5B0F21" w:themeColor="accent1" w:themeShade="80"/>
          <w:sz w:val="21"/>
          <w:szCs w:val="21"/>
          <w:lang w:eastAsia="fr-FR"/>
        </w:rPr>
        <w:t>Semestre 2. De l’histoire universitaire à l’histoire publique : une expérience de médiation culturelle sur la Révolution française dans un monument public.</w:t>
      </w:r>
      <w:r w:rsidRPr="00525A1C">
        <w:rPr>
          <w:rFonts w:ascii="Cambria" w:eastAsia="Times New Roman" w:hAnsi="Cambria" w:cs="Times New Roman"/>
          <w:color w:val="007BB8"/>
          <w:sz w:val="21"/>
          <w:szCs w:val="21"/>
          <w:lang w:eastAsia="fr-FR"/>
        </w:rPr>
        <w:t xml:space="preserve"> </w:t>
      </w:r>
      <w:r w:rsidRPr="00525A1C">
        <w:rPr>
          <w:rFonts w:ascii="Cambria" w:eastAsia="Times New Roman" w:hAnsi="Cambria" w:cs="Times New Roman"/>
          <w:b w:val="0"/>
          <w:sz w:val="21"/>
          <w:szCs w:val="21"/>
          <w:lang w:eastAsia="fr-FR"/>
        </w:rPr>
        <w:t>A partir de l’exemple de l’histoire de la Révolution française, le cours vise à familiariser les étudiantes et étudiants aux enjeux publics de l’histoire et à la transmission de l'histoire scientifique. Pourquoi l’histoire scientifique se confronte-t-elle régulièrement au débat public ? Comment les enjeux publics de l’histoire influencent-ils la pratique du métier d’historienne ou d’historien ? Comment passer d’un contenu scientifique spécialisé à la médiation culturelle dans un monument ouvert au grand public : la Conciergerie, gérée par le Centre des Monuments nationaux ? Après des apports théoriques sur l’histoire de la Terreur, sur la vulgarisation et sur la médiation culturelle, il s’agit de produire des documents de médiation qui seront utilisés dans la Table Numérique de la Salle des Noms de la Conciergerie.</w:t>
      </w:r>
    </w:p>
    <w:p w14:paraId="0F2E6CD5"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Cs/>
          <w:sz w:val="21"/>
          <w:szCs w:val="21"/>
          <w:lang w:eastAsia="fr-FR"/>
        </w:rPr>
        <w:t>Bibliographie semestre 2 :</w:t>
      </w:r>
    </w:p>
    <w:p w14:paraId="0311E5F3"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 Vivre sous la Terreur », magazine </w:t>
      </w:r>
      <w:r w:rsidRPr="00525A1C">
        <w:rPr>
          <w:rFonts w:ascii="Cambria" w:eastAsia="Times New Roman" w:hAnsi="Cambria" w:cs="Times New Roman"/>
          <w:b w:val="0"/>
          <w:i/>
          <w:sz w:val="21"/>
          <w:szCs w:val="21"/>
          <w:lang w:eastAsia="fr-FR"/>
        </w:rPr>
        <w:t>L’Histoire</w:t>
      </w:r>
      <w:r w:rsidRPr="00525A1C">
        <w:rPr>
          <w:rFonts w:ascii="Cambria" w:eastAsia="Times New Roman" w:hAnsi="Cambria" w:cs="Times New Roman"/>
          <w:b w:val="0"/>
          <w:sz w:val="21"/>
          <w:szCs w:val="21"/>
          <w:lang w:eastAsia="fr-FR"/>
        </w:rPr>
        <w:t>, n°251, oct 2023</w:t>
      </w:r>
    </w:p>
    <w:p w14:paraId="60AF4217"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Bruno Nassim ABOUDRAR, </w:t>
      </w:r>
      <w:r w:rsidRPr="00525A1C">
        <w:rPr>
          <w:rFonts w:ascii="Cambria" w:eastAsia="Times New Roman" w:hAnsi="Cambria" w:cs="Times New Roman"/>
          <w:b w:val="0"/>
          <w:i/>
          <w:sz w:val="21"/>
          <w:szCs w:val="21"/>
          <w:lang w:eastAsia="fr-FR"/>
        </w:rPr>
        <w:t xml:space="preserve">La médiation culturelle, </w:t>
      </w:r>
      <w:r w:rsidRPr="00525A1C">
        <w:rPr>
          <w:rFonts w:ascii="Cambria" w:eastAsia="Times New Roman" w:hAnsi="Cambria" w:cs="Times New Roman"/>
          <w:b w:val="0"/>
          <w:sz w:val="21"/>
          <w:szCs w:val="21"/>
          <w:lang w:eastAsia="fr-FR"/>
        </w:rPr>
        <w:t>Paris, PUF, 2018</w:t>
      </w:r>
    </w:p>
    <w:p w14:paraId="72AB3075" w14:textId="2C52A83A" w:rsidR="00016FCF" w:rsidRPr="00525A1C" w:rsidRDefault="006F3758" w:rsidP="00C13F80">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Guillaume MAZEAU et Béatrice DE PARSEVAL, </w:t>
      </w:r>
      <w:r w:rsidRPr="00525A1C">
        <w:rPr>
          <w:rFonts w:ascii="Cambria" w:eastAsia="Times New Roman" w:hAnsi="Cambria" w:cs="Times New Roman"/>
          <w:b w:val="0"/>
          <w:i/>
          <w:sz w:val="21"/>
          <w:szCs w:val="21"/>
          <w:lang w:eastAsia="fr-FR"/>
        </w:rPr>
        <w:t>La Conciergerie. Palais de la Cité</w:t>
      </w:r>
      <w:r w:rsidRPr="00525A1C">
        <w:rPr>
          <w:rFonts w:ascii="Cambria" w:eastAsia="Times New Roman" w:hAnsi="Cambria" w:cs="Times New Roman"/>
          <w:b w:val="0"/>
          <w:sz w:val="21"/>
          <w:szCs w:val="21"/>
          <w:lang w:eastAsia="fr-FR"/>
        </w:rPr>
        <w:t>, Paris, Editions du Patrimoine, 2019</w:t>
      </w:r>
    </w:p>
    <w:p w14:paraId="38002CCF" w14:textId="77777777" w:rsidR="00016FCF" w:rsidRPr="00525A1C" w:rsidRDefault="00016FCF" w:rsidP="00307199">
      <w:pPr>
        <w:spacing w:after="0" w:line="240" w:lineRule="auto"/>
        <w:jc w:val="center"/>
        <w:rPr>
          <w:rFonts w:ascii="Cambria" w:eastAsia="Times New Roman" w:hAnsi="Cambria" w:cs="Times New Roman"/>
          <w:iCs/>
          <w:color w:val="FF0000"/>
          <w:kern w:val="0"/>
          <w:szCs w:val="24"/>
          <w:lang w:eastAsia="fr-FR"/>
        </w:rPr>
      </w:pPr>
    </w:p>
    <w:p w14:paraId="1B2011CA" w14:textId="2C6EF6D6" w:rsidR="00307199" w:rsidRPr="005C30A1" w:rsidRDefault="00307199" w:rsidP="00307199">
      <w:pPr>
        <w:spacing w:after="0" w:line="240" w:lineRule="auto"/>
        <w:jc w:val="center"/>
        <w:rPr>
          <w:rFonts w:ascii="Cambria" w:eastAsia="MS Mincho" w:hAnsi="Cambria" w:cs="Times New Roman"/>
          <w:iCs/>
          <w:color w:val="C00000"/>
          <w:kern w:val="0"/>
          <w:sz w:val="28"/>
          <w:szCs w:val="28"/>
        </w:rPr>
      </w:pPr>
      <w:r w:rsidRPr="005C30A1">
        <w:rPr>
          <w:rFonts w:ascii="Cambria" w:eastAsia="Times New Roman" w:hAnsi="Cambria" w:cs="Times New Roman"/>
          <w:iCs/>
          <w:color w:val="C00000"/>
          <w:kern w:val="0"/>
          <w:sz w:val="28"/>
          <w:szCs w:val="28"/>
          <w:lang w:eastAsia="fr-FR"/>
        </w:rPr>
        <w:t xml:space="preserve">J3014119/J3014219 : </w:t>
      </w:r>
      <w:r w:rsidRPr="005C30A1">
        <w:rPr>
          <w:rFonts w:ascii="Cambria" w:eastAsia="MS Mincho" w:hAnsi="Cambria" w:cs="Times New Roman"/>
          <w:iCs/>
          <w:color w:val="C00000"/>
          <w:kern w:val="0"/>
          <w:sz w:val="28"/>
          <w:szCs w:val="28"/>
        </w:rPr>
        <w:t>Initiation à l’histoire urbaine</w:t>
      </w:r>
    </w:p>
    <w:p w14:paraId="721FB09A" w14:textId="77777777" w:rsidR="00307199" w:rsidRPr="00525A1C" w:rsidRDefault="00307199" w:rsidP="00307199">
      <w:pPr>
        <w:spacing w:after="0" w:line="240" w:lineRule="auto"/>
        <w:jc w:val="center"/>
        <w:rPr>
          <w:rFonts w:ascii="Cambria" w:eastAsia="MS Mincho" w:hAnsi="Cambria" w:cs="Times New Roman"/>
          <w:iCs/>
          <w:color w:val="FF0000"/>
          <w:kern w:val="0"/>
          <w:szCs w:val="24"/>
        </w:rPr>
      </w:pPr>
    </w:p>
    <w:p w14:paraId="68C137B5" w14:textId="1902A15D" w:rsidR="00307199" w:rsidRPr="00525A1C" w:rsidRDefault="00307199" w:rsidP="00307199">
      <w:pPr>
        <w:spacing w:after="0" w:line="240" w:lineRule="auto"/>
        <w:jc w:val="center"/>
        <w:rPr>
          <w:rFonts w:ascii="Cambria" w:eastAsia="MS Mincho" w:hAnsi="Cambria" w:cs="Times New Roman"/>
          <w:iCs/>
          <w:color w:val="FF0000"/>
          <w:kern w:val="0"/>
          <w:szCs w:val="24"/>
          <w:u w:val="single"/>
        </w:rPr>
      </w:pPr>
      <w:r w:rsidRPr="00525A1C">
        <w:rPr>
          <w:rFonts w:ascii="Cambria" w:eastAsia="MS Mincho" w:hAnsi="Cambria" w:cs="Times New Roman"/>
          <w:iCs/>
          <w:color w:val="FF0000"/>
          <w:kern w:val="0"/>
          <w:szCs w:val="24"/>
          <w:u w:val="single"/>
        </w:rPr>
        <w:t xml:space="preserve">Cet enseignement se déroulera </w:t>
      </w:r>
      <w:r w:rsidR="006F3758" w:rsidRPr="00525A1C">
        <w:rPr>
          <w:rFonts w:ascii="Cambria" w:eastAsia="MS Mincho" w:hAnsi="Cambria" w:cs="Times New Roman"/>
          <w:iCs/>
          <w:color w:val="FF0000"/>
          <w:kern w:val="0"/>
          <w:szCs w:val="24"/>
          <w:u w:val="single"/>
        </w:rPr>
        <w:t xml:space="preserve">uniquement </w:t>
      </w:r>
      <w:r w:rsidRPr="00525A1C">
        <w:rPr>
          <w:rFonts w:ascii="Cambria" w:eastAsia="MS Mincho" w:hAnsi="Cambria" w:cs="Times New Roman"/>
          <w:iCs/>
          <w:color w:val="FF0000"/>
          <w:kern w:val="0"/>
          <w:szCs w:val="24"/>
          <w:u w:val="single"/>
        </w:rPr>
        <w:t>au semestre 2</w:t>
      </w:r>
    </w:p>
    <w:p w14:paraId="38573140" w14:textId="77777777" w:rsidR="00307199" w:rsidRPr="00525A1C" w:rsidRDefault="00307199" w:rsidP="00307199">
      <w:pPr>
        <w:spacing w:after="0" w:line="240" w:lineRule="auto"/>
        <w:rPr>
          <w:rFonts w:eastAsia="MS Mincho" w:cs="Times New Roman"/>
          <w:iCs/>
          <w:kern w:val="0"/>
          <w:sz w:val="22"/>
        </w:rPr>
      </w:pPr>
    </w:p>
    <w:p w14:paraId="040926F1" w14:textId="77777777" w:rsidR="00307199" w:rsidRPr="00525A1C" w:rsidRDefault="00307199" w:rsidP="00307199">
      <w:pPr>
        <w:spacing w:after="0" w:line="240" w:lineRule="auto"/>
        <w:jc w:val="center"/>
        <w:rPr>
          <w:rFonts w:ascii="Times New Roman" w:eastAsia="MS Mincho" w:hAnsi="Times New Roman" w:cs="Times New Roman"/>
          <w:iCs/>
          <w:kern w:val="0"/>
          <w:sz w:val="22"/>
        </w:rPr>
      </w:pPr>
      <w:r w:rsidRPr="00525A1C">
        <w:rPr>
          <w:rFonts w:ascii="Times New Roman" w:eastAsia="MS Mincho" w:hAnsi="Times New Roman" w:cs="Times New Roman"/>
          <w:iCs/>
          <w:kern w:val="0"/>
          <w:sz w:val="22"/>
        </w:rPr>
        <w:t>Lola Zappi, Charlotte Vorms</w:t>
      </w:r>
    </w:p>
    <w:p w14:paraId="6E2791FD" w14:textId="77777777" w:rsidR="00307199" w:rsidRPr="00525A1C" w:rsidRDefault="00307199" w:rsidP="00307199">
      <w:pPr>
        <w:spacing w:after="0" w:line="240" w:lineRule="auto"/>
        <w:jc w:val="center"/>
        <w:rPr>
          <w:rFonts w:ascii="Times New Roman" w:eastAsia="MS Mincho" w:hAnsi="Times New Roman" w:cs="Times New Roman"/>
          <w:iCs/>
          <w:kern w:val="0"/>
          <w:sz w:val="22"/>
        </w:rPr>
      </w:pPr>
    </w:p>
    <w:p w14:paraId="7F1877B7" w14:textId="716C2B00" w:rsidR="00307199" w:rsidRPr="005C30A1" w:rsidRDefault="00307199" w:rsidP="00307199">
      <w:pPr>
        <w:jc w:val="both"/>
        <w:rPr>
          <w:rFonts w:ascii="Cambria" w:hAnsi="Cambria"/>
          <w:b w:val="0"/>
          <w:bCs/>
          <w:iCs/>
          <w:color w:val="C00000"/>
          <w:sz w:val="22"/>
        </w:rPr>
      </w:pPr>
      <w:bookmarkStart w:id="43" w:name="_Hlk170742458"/>
      <w:r w:rsidRPr="005C30A1">
        <w:rPr>
          <w:rFonts w:ascii="Cambria" w:hAnsi="Cambria" w:cs="Times New Roman"/>
          <w:bCs/>
          <w:iCs/>
          <w:color w:val="C00000"/>
          <w:sz w:val="22"/>
          <w:u w:val="single"/>
        </w:rPr>
        <w:t>Sujet du cours</w:t>
      </w:r>
      <w:r w:rsidR="00434A1E" w:rsidRPr="005C30A1">
        <w:rPr>
          <w:rFonts w:ascii="Cambria" w:hAnsi="Cambria" w:cs="Times New Roman"/>
          <w:bCs/>
          <w:iCs/>
          <w:color w:val="C00000"/>
          <w:sz w:val="22"/>
        </w:rPr>
        <w:t xml:space="preserve"> : </w:t>
      </w:r>
      <w:r w:rsidRPr="005C30A1">
        <w:rPr>
          <w:rFonts w:ascii="Cambria" w:hAnsi="Cambria" w:cs="Times New Roman"/>
          <w:bCs/>
          <w:iCs/>
          <w:color w:val="C00000"/>
          <w:sz w:val="22"/>
        </w:rPr>
        <w:t> </w:t>
      </w:r>
      <w:r w:rsidRPr="005C30A1">
        <w:rPr>
          <w:rFonts w:ascii="Cambria" w:hAnsi="Cambria"/>
          <w:bCs/>
          <w:iCs/>
          <w:color w:val="C00000"/>
          <w:sz w:val="22"/>
        </w:rPr>
        <w:t>Au chevet des classes populaires urbaines : enquêtes et action sociale (Europe et Amérique, du milieu du XIX</w:t>
      </w:r>
      <w:r w:rsidRPr="005C30A1">
        <w:rPr>
          <w:rFonts w:ascii="Cambria" w:hAnsi="Cambria"/>
          <w:bCs/>
          <w:iCs/>
          <w:color w:val="C00000"/>
          <w:sz w:val="22"/>
          <w:vertAlign w:val="superscript"/>
        </w:rPr>
        <w:t>e</w:t>
      </w:r>
      <w:r w:rsidRPr="005C30A1">
        <w:rPr>
          <w:rFonts w:ascii="Cambria" w:hAnsi="Cambria"/>
          <w:bCs/>
          <w:iCs/>
          <w:color w:val="C00000"/>
          <w:sz w:val="22"/>
        </w:rPr>
        <w:t xml:space="preserve"> siècle à nos jours)</w:t>
      </w:r>
    </w:p>
    <w:bookmarkEnd w:id="43"/>
    <w:p w14:paraId="68B59B64" w14:textId="77777777" w:rsidR="00307199" w:rsidRPr="005C30A1" w:rsidRDefault="00307199" w:rsidP="00434A1E">
      <w:pPr>
        <w:tabs>
          <w:tab w:val="left" w:pos="2426"/>
          <w:tab w:val="right" w:pos="9066"/>
        </w:tabs>
        <w:spacing w:beforeLines="60" w:before="144"/>
        <w:jc w:val="both"/>
        <w:rPr>
          <w:rFonts w:ascii="Cambria" w:hAnsi="Cambria"/>
          <w:b w:val="0"/>
          <w:bCs/>
          <w:sz w:val="22"/>
          <w:vertAlign w:val="superscript"/>
        </w:rPr>
      </w:pPr>
      <w:r w:rsidRPr="005C30A1">
        <w:rPr>
          <w:rFonts w:ascii="Cambria" w:hAnsi="Cambria"/>
          <w:b w:val="0"/>
          <w:bCs/>
          <w:sz w:val="22"/>
        </w:rPr>
        <w:t xml:space="preserve">À partir du milieu du </w:t>
      </w:r>
      <w:r w:rsidRPr="005C30A1">
        <w:rPr>
          <w:rFonts w:ascii="Cambria" w:hAnsi="Cambria"/>
          <w:b w:val="0"/>
          <w:bCs/>
          <w:smallCaps/>
          <w:sz w:val="22"/>
        </w:rPr>
        <w:t>XIX</w:t>
      </w:r>
      <w:r w:rsidRPr="005C30A1">
        <w:rPr>
          <w:rFonts w:ascii="Cambria" w:hAnsi="Cambria"/>
          <w:b w:val="0"/>
          <w:bCs/>
          <w:sz w:val="22"/>
          <w:vertAlign w:val="superscript"/>
        </w:rPr>
        <w:t>e</w:t>
      </w:r>
      <w:r w:rsidRPr="005C30A1">
        <w:rPr>
          <w:rFonts w:ascii="Cambria" w:hAnsi="Cambria"/>
          <w:b w:val="0"/>
          <w:bCs/>
          <w:sz w:val="22"/>
        </w:rPr>
        <w:t xml:space="preserve"> siècle, la vague de la seconde industrialisation et la croissance des villes transforment les sociétés urbaines. Les conditions de vie des populations ouvrières, la précarité de leur existence et leur concentration spatiale inquiètent les contemporains. Elles les exposent à la misère et à la maladie. Elles sont aussi considérées comme une menace à la stabilité sociale car elles font planer le risque de révoltes. Un faisceau d’acteurs s’intéressent ainsi à cette « question sociale ». Pour traiter le problème, il faut le connaître ; enquêtes et action sociale vont donc de pair. La description de leurs conditions de vie fonde les manières d’assister les populations en difficulté et le travail conduit auprès de celles-ci nourrit la connaissance à leur sujet.</w:t>
      </w:r>
    </w:p>
    <w:p w14:paraId="1A174B88" w14:textId="77777777" w:rsidR="00307199" w:rsidRPr="005C30A1" w:rsidRDefault="00307199" w:rsidP="00434A1E">
      <w:pPr>
        <w:spacing w:beforeLines="60" w:before="144"/>
        <w:jc w:val="both"/>
        <w:rPr>
          <w:rFonts w:ascii="Cambria" w:hAnsi="Cambria"/>
          <w:b w:val="0"/>
          <w:bCs/>
          <w:sz w:val="22"/>
        </w:rPr>
      </w:pPr>
      <w:r w:rsidRPr="005C30A1">
        <w:rPr>
          <w:rFonts w:ascii="Cambria" w:hAnsi="Cambria"/>
          <w:b w:val="0"/>
          <w:bCs/>
          <w:sz w:val="22"/>
        </w:rPr>
        <w:t>Ce cours propose d’explorer les formes prises par ce travail de terrain auprès des classes populaires urbaines et leur évolution du milieu du XIX</w:t>
      </w:r>
      <w:r w:rsidRPr="005C30A1">
        <w:rPr>
          <w:rFonts w:ascii="Cambria" w:hAnsi="Cambria"/>
          <w:b w:val="0"/>
          <w:bCs/>
          <w:sz w:val="22"/>
          <w:vertAlign w:val="superscript"/>
        </w:rPr>
        <w:t>e</w:t>
      </w:r>
      <w:r w:rsidRPr="005C30A1">
        <w:rPr>
          <w:rFonts w:ascii="Cambria" w:hAnsi="Cambria"/>
          <w:b w:val="0"/>
          <w:bCs/>
          <w:sz w:val="22"/>
        </w:rPr>
        <w:t xml:space="preserve"> siècle à nos jours. À travers ces enquêtes sociales, nous étudierons à la fois les populations qu’elles décrivent, les acteurs qui les conduisent, les théories qui les fondent et qu’elles nourrissent en retour, ainsi que les méthodes qu’elles mobilisent et contribuent à élaborer. Ce faisant, ce cours parcourra à la fois l’histoire sociale des classes populaires urbaines, celle des politiques sociales observées en pratique, celle du travail social et celle des sciences sociales.</w:t>
      </w:r>
    </w:p>
    <w:p w14:paraId="431FE887" w14:textId="28FFA45F" w:rsidR="00307199" w:rsidRPr="005C30A1" w:rsidRDefault="00307199" w:rsidP="00434A1E">
      <w:pPr>
        <w:tabs>
          <w:tab w:val="left" w:pos="2426"/>
          <w:tab w:val="right" w:pos="9066"/>
        </w:tabs>
        <w:spacing w:beforeLines="60" w:before="144"/>
        <w:jc w:val="both"/>
        <w:rPr>
          <w:rFonts w:ascii="Cambria" w:hAnsi="Cambria"/>
          <w:b w:val="0"/>
          <w:bCs/>
          <w:sz w:val="22"/>
        </w:rPr>
      </w:pPr>
      <w:r w:rsidRPr="005C30A1">
        <w:rPr>
          <w:rFonts w:ascii="Cambria" w:hAnsi="Cambria"/>
          <w:b w:val="0"/>
          <w:bCs/>
          <w:sz w:val="22"/>
        </w:rPr>
        <w:t>Le cours couvrira les espaces d’Europe de l’Ouest (France, Royaume-Uni, Espagne) et des Amériques (États-Unis, Mexique). Il abordera différents types et différents domaines d’enquêtes (enfance, santé publique, logement, travail, pauvreté, etc.). Il procédera par des éclairages sur des lieux et des moments particuliers : les enquêtes sur les « bas-fonds » londoniens de la fin du XIX</w:t>
      </w:r>
      <w:r w:rsidRPr="005C30A1">
        <w:rPr>
          <w:rFonts w:ascii="Cambria" w:hAnsi="Cambria"/>
          <w:b w:val="0"/>
          <w:bCs/>
          <w:sz w:val="22"/>
          <w:vertAlign w:val="superscript"/>
        </w:rPr>
        <w:t>e</w:t>
      </w:r>
      <w:r w:rsidRPr="005C30A1">
        <w:rPr>
          <w:rFonts w:ascii="Cambria" w:hAnsi="Cambria"/>
          <w:b w:val="0"/>
          <w:bCs/>
          <w:sz w:val="22"/>
        </w:rPr>
        <w:t xml:space="preserve">, le travail conduit dans les </w:t>
      </w:r>
      <w:r w:rsidRPr="005C30A1">
        <w:rPr>
          <w:rFonts w:ascii="Cambria" w:hAnsi="Cambria"/>
          <w:b w:val="0"/>
          <w:bCs/>
          <w:i/>
          <w:iCs/>
          <w:sz w:val="22"/>
        </w:rPr>
        <w:t>settlements</w:t>
      </w:r>
      <w:r w:rsidRPr="005C30A1">
        <w:rPr>
          <w:rFonts w:ascii="Cambria" w:hAnsi="Cambria"/>
          <w:b w:val="0"/>
          <w:bCs/>
          <w:sz w:val="22"/>
        </w:rPr>
        <w:t xml:space="preserve"> new-yorkais du tournant du </w:t>
      </w:r>
      <w:r w:rsidRPr="005C30A1">
        <w:rPr>
          <w:rFonts w:ascii="Cambria" w:hAnsi="Cambria"/>
          <w:b w:val="0"/>
          <w:bCs/>
          <w:smallCaps/>
          <w:sz w:val="22"/>
        </w:rPr>
        <w:t>xix</w:t>
      </w:r>
      <w:r w:rsidRPr="005C30A1">
        <w:rPr>
          <w:rFonts w:ascii="Cambria" w:hAnsi="Cambria"/>
          <w:b w:val="0"/>
          <w:bCs/>
          <w:sz w:val="22"/>
          <w:vertAlign w:val="superscript"/>
        </w:rPr>
        <w:t xml:space="preserve">e </w:t>
      </w:r>
      <w:r w:rsidRPr="005C30A1">
        <w:rPr>
          <w:rFonts w:ascii="Cambria" w:hAnsi="Cambria"/>
          <w:b w:val="0"/>
          <w:bCs/>
          <w:sz w:val="22"/>
        </w:rPr>
        <w:t>et du</w:t>
      </w:r>
      <w:r w:rsidRPr="005C30A1">
        <w:rPr>
          <w:rFonts w:ascii="Cambria" w:hAnsi="Cambria"/>
          <w:b w:val="0"/>
          <w:bCs/>
          <w:smallCaps/>
          <w:sz w:val="22"/>
        </w:rPr>
        <w:t xml:space="preserve"> xx</w:t>
      </w:r>
      <w:r w:rsidRPr="005C30A1">
        <w:rPr>
          <w:rFonts w:ascii="Cambria" w:hAnsi="Cambria"/>
          <w:b w:val="0"/>
          <w:bCs/>
          <w:sz w:val="22"/>
          <w:vertAlign w:val="superscript"/>
        </w:rPr>
        <w:t>e</w:t>
      </w:r>
      <w:r w:rsidRPr="005C30A1">
        <w:rPr>
          <w:rFonts w:ascii="Cambria" w:hAnsi="Cambria"/>
          <w:b w:val="0"/>
          <w:bCs/>
          <w:sz w:val="22"/>
        </w:rPr>
        <w:t>,</w:t>
      </w:r>
      <w:r w:rsidRPr="005C30A1">
        <w:rPr>
          <w:rFonts w:ascii="Cambria" w:hAnsi="Cambria"/>
          <w:b w:val="0"/>
          <w:bCs/>
          <w:sz w:val="22"/>
          <w:vertAlign w:val="superscript"/>
        </w:rPr>
        <w:t xml:space="preserve"> </w:t>
      </w:r>
      <w:r w:rsidRPr="005C30A1">
        <w:rPr>
          <w:rFonts w:ascii="Cambria" w:hAnsi="Cambria"/>
          <w:b w:val="0"/>
          <w:bCs/>
          <w:sz w:val="22"/>
        </w:rPr>
        <w:t>les enquêtes sur les familles effectuées par les assistantes sociales françaises lors de la crise de chômage des années 1930 ou encore celles explorant les nouvelles formes de pauvreté dans les villes latino-américaines,</w:t>
      </w:r>
      <w:r w:rsidR="00434A1E" w:rsidRPr="005C30A1">
        <w:rPr>
          <w:rFonts w:ascii="Cambria" w:hAnsi="Cambria"/>
          <w:b w:val="0"/>
          <w:bCs/>
          <w:sz w:val="22"/>
        </w:rPr>
        <w:t xml:space="preserve"> </w:t>
      </w:r>
      <w:r w:rsidRPr="005C30A1">
        <w:rPr>
          <w:rFonts w:ascii="Cambria" w:hAnsi="Cambria"/>
          <w:b w:val="0"/>
          <w:bCs/>
          <w:sz w:val="22"/>
        </w:rPr>
        <w:t>françaises et espagnoles des années 1950 et 1960. Nous verrons comment ces modes d’enquêtes et d’action sociale circulent d’un pays à l’autre et nourrissent le mouvement de fond de la professionnalisation du travail social à l’époque contemporaine.</w:t>
      </w:r>
    </w:p>
    <w:p w14:paraId="60297BFF" w14:textId="77777777" w:rsidR="00434A1E" w:rsidRPr="005C30A1" w:rsidRDefault="00434A1E" w:rsidP="00434A1E">
      <w:pPr>
        <w:tabs>
          <w:tab w:val="left" w:pos="2426"/>
          <w:tab w:val="right" w:pos="9066"/>
        </w:tabs>
        <w:spacing w:beforeLines="60" w:before="144"/>
        <w:jc w:val="both"/>
        <w:rPr>
          <w:rFonts w:ascii="Cambria" w:hAnsi="Cambria"/>
          <w:b w:val="0"/>
          <w:bCs/>
          <w:sz w:val="22"/>
        </w:rPr>
      </w:pPr>
    </w:p>
    <w:p w14:paraId="38B6E4D4" w14:textId="7251948B" w:rsidR="00307199" w:rsidRPr="005C30A1" w:rsidRDefault="00307199" w:rsidP="00307199">
      <w:pPr>
        <w:rPr>
          <w:rFonts w:ascii="Cambria" w:hAnsi="Cambria"/>
          <w:b w:val="0"/>
          <w:bCs/>
          <w:sz w:val="22"/>
          <w:u w:val="single"/>
        </w:rPr>
      </w:pPr>
      <w:r w:rsidRPr="005C30A1">
        <w:rPr>
          <w:rFonts w:ascii="Cambria" w:hAnsi="Cambria"/>
          <w:b w:val="0"/>
          <w:bCs/>
          <w:sz w:val="22"/>
          <w:u w:val="single"/>
        </w:rPr>
        <w:t>Bibliographie indicative :</w:t>
      </w:r>
    </w:p>
    <w:p w14:paraId="5B755FF9" w14:textId="77777777" w:rsidR="00307199" w:rsidRPr="005C30A1" w:rsidRDefault="00307199" w:rsidP="00307199">
      <w:pPr>
        <w:pStyle w:val="Paragraphedeliste"/>
        <w:numPr>
          <w:ilvl w:val="0"/>
          <w:numId w:val="11"/>
        </w:numPr>
        <w:suppressAutoHyphens w:val="0"/>
        <w:spacing w:after="0" w:line="240" w:lineRule="auto"/>
        <w:rPr>
          <w:rFonts w:ascii="Cambria" w:hAnsi="Cambria"/>
          <w:b w:val="0"/>
          <w:bCs/>
          <w:sz w:val="22"/>
          <w:u w:val="single"/>
        </w:rPr>
      </w:pPr>
      <w:r w:rsidRPr="005C30A1">
        <w:rPr>
          <w:rFonts w:ascii="Cambria" w:hAnsi="Cambria"/>
          <w:b w:val="0"/>
          <w:bCs/>
          <w:sz w:val="22"/>
          <w:u w:val="single"/>
        </w:rPr>
        <w:t>Sur les enquêtes et l’action sociale :</w:t>
      </w:r>
    </w:p>
    <w:p w14:paraId="40EFADD2" w14:textId="77777777" w:rsidR="00307199" w:rsidRPr="005C30A1" w:rsidRDefault="00307199" w:rsidP="00307199">
      <w:pPr>
        <w:jc w:val="both"/>
        <w:rPr>
          <w:rFonts w:ascii="Cambria" w:hAnsi="Cambria"/>
          <w:b w:val="0"/>
          <w:bCs/>
          <w:sz w:val="22"/>
        </w:rPr>
      </w:pPr>
      <w:r w:rsidRPr="005C30A1">
        <w:rPr>
          <w:rFonts w:ascii="Cambria" w:hAnsi="Cambria"/>
          <w:b w:val="0"/>
          <w:bCs/>
          <w:i/>
          <w:iCs/>
          <w:sz w:val="22"/>
        </w:rPr>
        <w:t>Consommer et compter : enquêtes sur la consommation au XX</w:t>
      </w:r>
      <w:r w:rsidRPr="005C30A1">
        <w:rPr>
          <w:rFonts w:ascii="Cambria" w:hAnsi="Cambria"/>
          <w:b w:val="0"/>
          <w:bCs/>
          <w:i/>
          <w:iCs/>
          <w:sz w:val="22"/>
          <w:vertAlign w:val="superscript"/>
        </w:rPr>
        <w:t>e</w:t>
      </w:r>
      <w:r w:rsidRPr="005C30A1">
        <w:rPr>
          <w:rFonts w:ascii="Cambria" w:hAnsi="Cambria"/>
          <w:b w:val="0"/>
          <w:bCs/>
          <w:i/>
          <w:iCs/>
          <w:sz w:val="22"/>
        </w:rPr>
        <w:t xml:space="preserve"> siècle</w:t>
      </w:r>
      <w:r w:rsidRPr="005C30A1">
        <w:rPr>
          <w:rFonts w:ascii="Cambria" w:hAnsi="Cambria"/>
          <w:b w:val="0"/>
          <w:bCs/>
          <w:sz w:val="22"/>
        </w:rPr>
        <w:t xml:space="preserve">, M-E. </w:t>
      </w:r>
      <w:r w:rsidRPr="005C30A1">
        <w:rPr>
          <w:rFonts w:ascii="Cambria" w:hAnsi="Cambria" w:cs="Times New Roman (Corps CS)"/>
          <w:b w:val="0"/>
          <w:bCs/>
          <w:smallCaps/>
          <w:sz w:val="22"/>
        </w:rPr>
        <w:t>Chessel</w:t>
      </w:r>
      <w:r w:rsidRPr="005C30A1">
        <w:rPr>
          <w:rFonts w:ascii="Cambria" w:hAnsi="Cambria"/>
          <w:b w:val="0"/>
          <w:bCs/>
          <w:sz w:val="22"/>
        </w:rPr>
        <w:t xml:space="preserve">, S. </w:t>
      </w:r>
      <w:r w:rsidRPr="005C30A1">
        <w:rPr>
          <w:rFonts w:ascii="Cambria" w:hAnsi="Cambria" w:cs="Times New Roman (Corps CS)"/>
          <w:b w:val="0"/>
          <w:bCs/>
          <w:smallCaps/>
          <w:sz w:val="22"/>
        </w:rPr>
        <w:t>Dubuisson-Quellier</w:t>
      </w:r>
      <w:r w:rsidRPr="005C30A1">
        <w:rPr>
          <w:rFonts w:ascii="Cambria" w:hAnsi="Cambria"/>
          <w:b w:val="0"/>
          <w:bCs/>
          <w:sz w:val="22"/>
        </w:rPr>
        <w:t xml:space="preserve"> (coord.), </w:t>
      </w:r>
      <w:r w:rsidRPr="005C30A1">
        <w:rPr>
          <w:rFonts w:ascii="Cambria" w:hAnsi="Cambria"/>
          <w:b w:val="0"/>
          <w:bCs/>
          <w:i/>
          <w:iCs/>
          <w:sz w:val="22"/>
        </w:rPr>
        <w:t>Les Études sociales</w:t>
      </w:r>
      <w:r w:rsidRPr="005C30A1">
        <w:rPr>
          <w:rFonts w:ascii="Cambria" w:hAnsi="Cambria"/>
          <w:b w:val="0"/>
          <w:bCs/>
          <w:sz w:val="22"/>
        </w:rPr>
        <w:t>, 169, 2019.</w:t>
      </w:r>
    </w:p>
    <w:p w14:paraId="45EC2D60" w14:textId="77777777" w:rsidR="00307199" w:rsidRPr="005C30A1" w:rsidRDefault="00307199" w:rsidP="00307199">
      <w:pPr>
        <w:jc w:val="both"/>
        <w:rPr>
          <w:rFonts w:ascii="Cambria" w:hAnsi="Cambria"/>
          <w:b w:val="0"/>
          <w:bCs/>
          <w:sz w:val="22"/>
        </w:rPr>
      </w:pPr>
      <w:r w:rsidRPr="005C30A1">
        <w:rPr>
          <w:rFonts w:ascii="Cambria" w:hAnsi="Cambria"/>
          <w:b w:val="0"/>
          <w:bCs/>
          <w:i/>
          <w:iCs/>
          <w:sz w:val="22"/>
        </w:rPr>
        <w:t>Enquête sur l’enquête</w:t>
      </w:r>
      <w:r w:rsidRPr="005C30A1">
        <w:rPr>
          <w:rFonts w:ascii="Cambria" w:hAnsi="Cambria"/>
          <w:b w:val="0"/>
          <w:bCs/>
          <w:sz w:val="22"/>
        </w:rPr>
        <w:t xml:space="preserve">, C. </w:t>
      </w:r>
      <w:r w:rsidRPr="005C30A1">
        <w:rPr>
          <w:rFonts w:ascii="Cambria" w:hAnsi="Cambria" w:cs="Times New Roman (Corps CS)"/>
          <w:b w:val="0"/>
          <w:bCs/>
          <w:smallCaps/>
          <w:sz w:val="22"/>
        </w:rPr>
        <w:t xml:space="preserve">Prochasson </w:t>
      </w:r>
      <w:r w:rsidRPr="005C30A1">
        <w:rPr>
          <w:rFonts w:ascii="Cambria" w:hAnsi="Cambria"/>
          <w:b w:val="0"/>
          <w:bCs/>
          <w:sz w:val="22"/>
        </w:rPr>
        <w:t xml:space="preserve">(coord.), </w:t>
      </w:r>
      <w:r w:rsidRPr="005C30A1">
        <w:rPr>
          <w:rFonts w:ascii="Cambria" w:hAnsi="Cambria"/>
          <w:b w:val="0"/>
          <w:bCs/>
          <w:i/>
          <w:iCs/>
          <w:sz w:val="22"/>
        </w:rPr>
        <w:t>Mil Neuf Cent. Revue d’histoire intellectuelle</w:t>
      </w:r>
      <w:r w:rsidRPr="005C30A1">
        <w:rPr>
          <w:rFonts w:ascii="Cambria" w:hAnsi="Cambria"/>
          <w:b w:val="0"/>
          <w:bCs/>
          <w:sz w:val="22"/>
        </w:rPr>
        <w:t>, 22, 2004.</w:t>
      </w:r>
    </w:p>
    <w:p w14:paraId="10959EC9"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J. </w:t>
      </w:r>
      <w:r w:rsidRPr="005C30A1">
        <w:rPr>
          <w:rFonts w:ascii="Cambria" w:eastAsia="Times New Roman" w:hAnsi="Cambria" w:cs="Times New Roman"/>
          <w:b w:val="0"/>
          <w:bCs/>
          <w:smallCaps/>
          <w:sz w:val="22"/>
          <w:lang w:eastAsia="fr-FR"/>
        </w:rPr>
        <w:t>Carré</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Les visiteurs du pauvre : anthologie d’enquêtes britanniques sur la pauvreté urbaine</w:t>
      </w:r>
      <w:r w:rsidRPr="005C30A1">
        <w:rPr>
          <w:rFonts w:ascii="Cambria" w:eastAsia="Times New Roman" w:hAnsi="Cambria" w:cs="Times New Roman"/>
          <w:b w:val="0"/>
          <w:bCs/>
          <w:sz w:val="22"/>
          <w:lang w:eastAsia="fr-FR"/>
        </w:rPr>
        <w:t>, Paris, Karthala, 2000.</w:t>
      </w:r>
    </w:p>
    <w:p w14:paraId="56F92F81"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J. </w:t>
      </w:r>
      <w:r w:rsidRPr="005C30A1">
        <w:rPr>
          <w:rFonts w:ascii="Cambria" w:eastAsia="Times New Roman" w:hAnsi="Cambria" w:cs="Times New Roman"/>
          <w:b w:val="0"/>
          <w:bCs/>
          <w:smallCaps/>
          <w:sz w:val="22"/>
          <w:lang w:eastAsia="fr-FR"/>
        </w:rPr>
        <w:t>Carré</w:t>
      </w:r>
      <w:r w:rsidRPr="005C30A1">
        <w:rPr>
          <w:rFonts w:ascii="Cambria" w:eastAsia="Times New Roman" w:hAnsi="Cambria" w:cs="Times New Roman"/>
          <w:b w:val="0"/>
          <w:bCs/>
          <w:sz w:val="22"/>
          <w:lang w:eastAsia="fr-FR"/>
        </w:rPr>
        <w:t xml:space="preserve"> et J.-P. </w:t>
      </w:r>
      <w:r w:rsidRPr="005C30A1">
        <w:rPr>
          <w:rFonts w:ascii="Cambria" w:eastAsia="Times New Roman" w:hAnsi="Cambria" w:cs="Times New Roman"/>
          <w:b w:val="0"/>
          <w:bCs/>
          <w:smallCaps/>
          <w:sz w:val="22"/>
          <w:lang w:eastAsia="fr-FR"/>
        </w:rPr>
        <w:t>Revauger</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Écrire la pauvreté : les enquêtes sociales britanniques aux XIX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et XX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siècles</w:t>
      </w:r>
      <w:r w:rsidRPr="005C30A1">
        <w:rPr>
          <w:rFonts w:ascii="Cambria" w:eastAsia="Times New Roman" w:hAnsi="Cambria" w:cs="Times New Roman"/>
          <w:b w:val="0"/>
          <w:bCs/>
          <w:sz w:val="22"/>
          <w:lang w:eastAsia="fr-FR"/>
        </w:rPr>
        <w:t>, Paris, L’Harmattan, 1995.</w:t>
      </w:r>
    </w:p>
    <w:p w14:paraId="30A04154"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É. </w:t>
      </w:r>
      <w:r w:rsidRPr="005C30A1">
        <w:rPr>
          <w:rFonts w:ascii="Cambria" w:eastAsia="Times New Roman" w:hAnsi="Cambria" w:cs="Times New Roman"/>
          <w:b w:val="0"/>
          <w:bCs/>
          <w:smallCaps/>
          <w:sz w:val="22"/>
          <w:lang w:eastAsia="fr-FR"/>
        </w:rPr>
        <w:t>Geerkens</w:t>
      </w:r>
      <w:r w:rsidRPr="005C30A1">
        <w:rPr>
          <w:rFonts w:ascii="Cambria" w:eastAsia="Times New Roman" w:hAnsi="Cambria" w:cs="Times New Roman"/>
          <w:b w:val="0"/>
          <w:bCs/>
          <w:sz w:val="22"/>
          <w:lang w:eastAsia="fr-FR"/>
        </w:rPr>
        <w:t xml:space="preserve">, N. </w:t>
      </w:r>
      <w:r w:rsidRPr="005C30A1">
        <w:rPr>
          <w:rFonts w:ascii="Cambria" w:eastAsia="Times New Roman" w:hAnsi="Cambria" w:cs="Times New Roman"/>
          <w:b w:val="0"/>
          <w:bCs/>
          <w:smallCaps/>
          <w:sz w:val="22"/>
          <w:lang w:eastAsia="fr-FR"/>
        </w:rPr>
        <w:t>Hatzfeld</w:t>
      </w:r>
      <w:r w:rsidRPr="005C30A1">
        <w:rPr>
          <w:rFonts w:ascii="Cambria" w:eastAsia="Times New Roman" w:hAnsi="Cambria" w:cs="Times New Roman"/>
          <w:b w:val="0"/>
          <w:bCs/>
          <w:sz w:val="22"/>
          <w:lang w:eastAsia="fr-FR"/>
        </w:rPr>
        <w:t xml:space="preserve">, I. </w:t>
      </w:r>
      <w:r w:rsidRPr="005C30A1">
        <w:rPr>
          <w:rFonts w:ascii="Cambria" w:eastAsia="Times New Roman" w:hAnsi="Cambria" w:cs="Times New Roman"/>
          <w:b w:val="0"/>
          <w:bCs/>
          <w:smallCaps/>
          <w:sz w:val="22"/>
          <w:lang w:eastAsia="fr-FR"/>
        </w:rPr>
        <w:t>Lespinet-Moret</w:t>
      </w:r>
      <w:r w:rsidRPr="005C30A1">
        <w:rPr>
          <w:rFonts w:ascii="Cambria" w:eastAsia="Times New Roman" w:hAnsi="Cambria" w:cs="Times New Roman"/>
          <w:b w:val="0"/>
          <w:bCs/>
          <w:sz w:val="22"/>
          <w:lang w:eastAsia="fr-FR"/>
        </w:rPr>
        <w:t xml:space="preserve">, et X. </w:t>
      </w:r>
      <w:r w:rsidRPr="005C30A1">
        <w:rPr>
          <w:rFonts w:ascii="Cambria" w:eastAsia="Times New Roman" w:hAnsi="Cambria" w:cs="Times New Roman"/>
          <w:b w:val="0"/>
          <w:bCs/>
          <w:smallCaps/>
          <w:sz w:val="22"/>
          <w:lang w:eastAsia="fr-FR"/>
        </w:rPr>
        <w:t>Vigna</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Les enquêtes ouvrières dans l’Europe contemporaine: entre pratiques scientifiques et passions politiques</w:t>
      </w:r>
      <w:r w:rsidRPr="005C30A1">
        <w:rPr>
          <w:rFonts w:ascii="Cambria" w:eastAsia="Times New Roman" w:hAnsi="Cambria" w:cs="Times New Roman"/>
          <w:b w:val="0"/>
          <w:bCs/>
          <w:sz w:val="22"/>
          <w:lang w:eastAsia="fr-FR"/>
        </w:rPr>
        <w:t>, Paris, la Découverte, 2019.</w:t>
      </w:r>
    </w:p>
    <w:p w14:paraId="0EF708B6" w14:textId="77777777" w:rsidR="00307199" w:rsidRPr="005C30A1" w:rsidRDefault="00307199" w:rsidP="00307199">
      <w:pPr>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H. </w:t>
      </w:r>
      <w:r w:rsidRPr="005C30A1">
        <w:rPr>
          <w:rFonts w:ascii="Cambria" w:eastAsia="Times New Roman" w:hAnsi="Cambria" w:cs="Times New Roman"/>
          <w:b w:val="0"/>
          <w:bCs/>
          <w:smallCaps/>
          <w:sz w:val="22"/>
          <w:lang w:eastAsia="fr-FR"/>
        </w:rPr>
        <w:t>Pascal</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 du travail social en France : de la fin du XIX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siècle à nos jours</w:t>
      </w:r>
      <w:r w:rsidRPr="005C30A1">
        <w:rPr>
          <w:rFonts w:ascii="Cambria" w:eastAsia="Times New Roman" w:hAnsi="Cambria" w:cs="Times New Roman"/>
          <w:b w:val="0"/>
          <w:bCs/>
          <w:sz w:val="22"/>
          <w:lang w:eastAsia="fr-FR"/>
        </w:rPr>
        <w:t xml:space="preserve">, Rennes, Presses de l’École des hautes études en santé publique, 2014 </w:t>
      </w:r>
      <w:r w:rsidRPr="005C30A1">
        <w:rPr>
          <w:rFonts w:ascii="Cambria" w:hAnsi="Cambria"/>
          <w:b w:val="0"/>
          <w:bCs/>
          <w:sz w:val="22"/>
        </w:rPr>
        <w:t>– en ligne sur Cairn, accessible via Domino</w:t>
      </w:r>
    </w:p>
    <w:p w14:paraId="3615F5C0"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mallCaps/>
          <w:sz w:val="22"/>
          <w:lang w:eastAsia="fr-FR"/>
        </w:rPr>
        <w:t xml:space="preserve">C. Topalov </w:t>
      </w:r>
      <w:r w:rsidRPr="005C30A1">
        <w:rPr>
          <w:rFonts w:ascii="Cambria" w:eastAsia="Times New Roman" w:hAnsi="Cambria" w:cs="Times New Roman"/>
          <w:b w:val="0"/>
          <w:bCs/>
          <w:sz w:val="22"/>
          <w:lang w:eastAsia="fr-FR"/>
        </w:rPr>
        <w:t xml:space="preserve">(coord.), </w:t>
      </w:r>
      <w:r w:rsidRPr="005C30A1">
        <w:rPr>
          <w:rFonts w:ascii="Cambria" w:hAnsi="Cambria"/>
          <w:b w:val="0"/>
          <w:bCs/>
          <w:sz w:val="22"/>
        </w:rPr>
        <w:t xml:space="preserve">_., </w:t>
      </w:r>
      <w:r w:rsidRPr="005C30A1">
        <w:rPr>
          <w:rFonts w:ascii="Cambria" w:eastAsia="Times New Roman" w:hAnsi="Cambria" w:cs="Times New Roman"/>
          <w:b w:val="0"/>
          <w:bCs/>
          <w:i/>
          <w:iCs/>
          <w:sz w:val="22"/>
          <w:lang w:eastAsia="fr-FR"/>
        </w:rPr>
        <w:t>Laboratoires du nouveau siècle : la nébuleuse réformatrice et ses réseaux en France, 1880-1914</w:t>
      </w:r>
      <w:r w:rsidRPr="005C30A1">
        <w:rPr>
          <w:rFonts w:ascii="Cambria" w:eastAsia="Times New Roman" w:hAnsi="Cambria" w:cs="Times New Roman"/>
          <w:b w:val="0"/>
          <w:bCs/>
          <w:sz w:val="22"/>
          <w:lang w:eastAsia="fr-FR"/>
        </w:rPr>
        <w:t>, Paris, Éd. de l’École des hautes études en sciences sociales, 1999.</w:t>
      </w:r>
    </w:p>
    <w:p w14:paraId="0381931B"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mallCaps/>
          <w:sz w:val="22"/>
          <w:lang w:eastAsia="fr-FR"/>
        </w:rPr>
        <w:t>C. Topalov (</w:t>
      </w:r>
      <w:r w:rsidRPr="005C30A1">
        <w:rPr>
          <w:rFonts w:ascii="Cambria" w:eastAsia="Times New Roman" w:hAnsi="Cambria" w:cs="Times New Roman"/>
          <w:b w:val="0"/>
          <w:bCs/>
          <w:sz w:val="22"/>
          <w:lang w:eastAsia="fr-FR"/>
        </w:rPr>
        <w:t xml:space="preserve">coord.), </w:t>
      </w:r>
      <w:r w:rsidRPr="005C30A1">
        <w:rPr>
          <w:rFonts w:ascii="Cambria" w:eastAsia="Times New Roman" w:hAnsi="Cambria" w:cs="Times New Roman"/>
          <w:b w:val="0"/>
          <w:bCs/>
          <w:i/>
          <w:iCs/>
          <w:sz w:val="22"/>
          <w:lang w:eastAsia="fr-FR"/>
        </w:rPr>
        <w:t>Philanthropes en 1900: Londres, New York, Paris, Genève</w:t>
      </w:r>
      <w:r w:rsidRPr="005C30A1">
        <w:rPr>
          <w:rFonts w:ascii="Cambria" w:eastAsia="Times New Roman" w:hAnsi="Cambria" w:cs="Times New Roman"/>
          <w:b w:val="0"/>
          <w:bCs/>
          <w:sz w:val="22"/>
          <w:lang w:eastAsia="fr-FR"/>
        </w:rPr>
        <w:t>, Ivry-sur-Seine, Créaphis, 2019.</w:t>
      </w:r>
    </w:p>
    <w:p w14:paraId="1CF529CF"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C. </w:t>
      </w:r>
      <w:r w:rsidRPr="005C30A1">
        <w:rPr>
          <w:rFonts w:ascii="Cambria" w:eastAsia="Times New Roman" w:hAnsi="Cambria" w:cs="Times New Roman"/>
          <w:b w:val="0"/>
          <w:bCs/>
          <w:smallCaps/>
          <w:sz w:val="22"/>
          <w:lang w:eastAsia="fr-FR"/>
        </w:rPr>
        <w:t>Topalov</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Histoires d’enquêtes : Londres, Paris, Chicago, 1880-1930</w:t>
      </w:r>
      <w:r w:rsidRPr="005C30A1">
        <w:rPr>
          <w:rFonts w:ascii="Cambria" w:eastAsia="Times New Roman" w:hAnsi="Cambria" w:cs="Times New Roman"/>
          <w:b w:val="0"/>
          <w:bCs/>
          <w:sz w:val="22"/>
          <w:lang w:eastAsia="fr-FR"/>
        </w:rPr>
        <w:t>, Paris, Classiques Garnier, 2015.</w:t>
      </w:r>
    </w:p>
    <w:p w14:paraId="0451AA1E" w14:textId="77777777" w:rsidR="00307199" w:rsidRPr="005C30A1" w:rsidRDefault="00307199" w:rsidP="00307199">
      <w:pPr>
        <w:pStyle w:val="Paragraphedeliste"/>
        <w:numPr>
          <w:ilvl w:val="0"/>
          <w:numId w:val="11"/>
        </w:numPr>
        <w:suppressAutoHyphens w:val="0"/>
        <w:spacing w:after="0" w:line="240" w:lineRule="auto"/>
        <w:rPr>
          <w:rFonts w:ascii="Cambria" w:hAnsi="Cambria"/>
          <w:b w:val="0"/>
          <w:bCs/>
          <w:sz w:val="22"/>
          <w:u w:val="single"/>
        </w:rPr>
      </w:pPr>
      <w:r w:rsidRPr="005C30A1">
        <w:rPr>
          <w:rFonts w:ascii="Cambria" w:hAnsi="Cambria"/>
          <w:b w:val="0"/>
          <w:bCs/>
          <w:sz w:val="22"/>
          <w:u w:val="single"/>
        </w:rPr>
        <w:t>Sur l’histoire des pays que nous évoquerons :</w:t>
      </w:r>
    </w:p>
    <w:p w14:paraId="4BF7F20D" w14:textId="77777777" w:rsidR="00307199" w:rsidRPr="005C30A1" w:rsidRDefault="00307199" w:rsidP="00307199">
      <w:pPr>
        <w:rPr>
          <w:rFonts w:ascii="Cambria" w:hAnsi="Cambria"/>
          <w:b w:val="0"/>
          <w:bCs/>
          <w:sz w:val="22"/>
        </w:rPr>
      </w:pPr>
    </w:p>
    <w:p w14:paraId="020DBC8F"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M. </w:t>
      </w:r>
      <w:r w:rsidRPr="005C30A1">
        <w:rPr>
          <w:rFonts w:ascii="Cambria" w:hAnsi="Cambria" w:cs="Times New Roman (Corps CS)"/>
          <w:b w:val="0"/>
          <w:bCs/>
          <w:smallCaps/>
          <w:sz w:val="22"/>
        </w:rPr>
        <w:t>Agulhon</w:t>
      </w:r>
      <w:r w:rsidRPr="005C30A1">
        <w:rPr>
          <w:rFonts w:ascii="Cambria" w:hAnsi="Cambria"/>
          <w:b w:val="0"/>
          <w:bCs/>
          <w:sz w:val="22"/>
        </w:rPr>
        <w:t xml:space="preserve">, A. </w:t>
      </w:r>
      <w:r w:rsidRPr="005C30A1">
        <w:rPr>
          <w:rFonts w:ascii="Cambria" w:hAnsi="Cambria" w:cs="Times New Roman (Corps CS)"/>
          <w:b w:val="0"/>
          <w:bCs/>
          <w:smallCaps/>
          <w:sz w:val="22"/>
        </w:rPr>
        <w:t>Nouschi</w:t>
      </w:r>
      <w:r w:rsidRPr="005C30A1">
        <w:rPr>
          <w:rFonts w:ascii="Cambria" w:hAnsi="Cambria"/>
          <w:b w:val="0"/>
          <w:bCs/>
          <w:sz w:val="22"/>
        </w:rPr>
        <w:t xml:space="preserve">, A. </w:t>
      </w:r>
      <w:r w:rsidRPr="005C30A1">
        <w:rPr>
          <w:rFonts w:ascii="Cambria" w:hAnsi="Cambria" w:cs="Times New Roman (Corps CS)"/>
          <w:b w:val="0"/>
          <w:bCs/>
          <w:smallCaps/>
          <w:sz w:val="22"/>
        </w:rPr>
        <w:t>Olivesi</w:t>
      </w:r>
      <w:r w:rsidRPr="005C30A1">
        <w:rPr>
          <w:rFonts w:ascii="Cambria" w:hAnsi="Cambria"/>
          <w:b w:val="0"/>
          <w:bCs/>
          <w:sz w:val="22"/>
        </w:rPr>
        <w:t xml:space="preserve"> et R. </w:t>
      </w:r>
      <w:r w:rsidRPr="005C30A1">
        <w:rPr>
          <w:rFonts w:ascii="Cambria" w:hAnsi="Cambria" w:cs="Times New Roman (Corps CS)"/>
          <w:b w:val="0"/>
          <w:bCs/>
          <w:smallCaps/>
          <w:sz w:val="22"/>
        </w:rPr>
        <w:t>Schor</w:t>
      </w:r>
      <w:r w:rsidRPr="005C30A1">
        <w:rPr>
          <w:rFonts w:ascii="Cambria" w:hAnsi="Cambria"/>
          <w:b w:val="0"/>
          <w:bCs/>
          <w:sz w:val="22"/>
        </w:rPr>
        <w:t xml:space="preserve">, </w:t>
      </w:r>
      <w:r w:rsidRPr="005C30A1">
        <w:rPr>
          <w:rFonts w:ascii="Cambria" w:hAnsi="Cambria"/>
          <w:b w:val="0"/>
          <w:bCs/>
          <w:i/>
          <w:iCs/>
          <w:sz w:val="22"/>
        </w:rPr>
        <w:t>La France de 1848 à nos jours</w:t>
      </w:r>
      <w:r w:rsidRPr="005C30A1">
        <w:rPr>
          <w:rFonts w:ascii="Cambria" w:hAnsi="Cambria"/>
          <w:b w:val="0"/>
          <w:bCs/>
          <w:sz w:val="22"/>
        </w:rPr>
        <w:t>, Paris, A. Colin, 2008 (nouvelle édition).</w:t>
      </w:r>
    </w:p>
    <w:p w14:paraId="640779A3"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F. </w:t>
      </w:r>
      <w:r w:rsidRPr="005C30A1">
        <w:rPr>
          <w:rFonts w:ascii="Cambria" w:hAnsi="Cambria" w:cs="Times New Roman (Corps CS)"/>
          <w:b w:val="0"/>
          <w:bCs/>
          <w:smallCaps/>
          <w:sz w:val="22"/>
        </w:rPr>
        <w:t>Bedarida</w:t>
      </w:r>
      <w:r w:rsidRPr="005C30A1">
        <w:rPr>
          <w:rFonts w:ascii="Cambria" w:hAnsi="Cambria"/>
          <w:b w:val="0"/>
          <w:bCs/>
          <w:i/>
          <w:iCs/>
          <w:sz w:val="22"/>
        </w:rPr>
        <w:t>, La société anglaise du milieu du XIX</w:t>
      </w:r>
      <w:r w:rsidRPr="005C30A1">
        <w:rPr>
          <w:rFonts w:ascii="Cambria" w:hAnsi="Cambria"/>
          <w:b w:val="0"/>
          <w:bCs/>
          <w:i/>
          <w:iCs/>
          <w:sz w:val="22"/>
          <w:vertAlign w:val="superscript"/>
        </w:rPr>
        <w:t>e</w:t>
      </w:r>
      <w:r w:rsidRPr="005C30A1">
        <w:rPr>
          <w:rFonts w:ascii="Cambria" w:hAnsi="Cambria"/>
          <w:b w:val="0"/>
          <w:bCs/>
          <w:i/>
          <w:iCs/>
          <w:sz w:val="22"/>
        </w:rPr>
        <w:t xml:space="preserve"> siècle à nos jours</w:t>
      </w:r>
      <w:r w:rsidRPr="005C30A1">
        <w:rPr>
          <w:rFonts w:ascii="Cambria" w:hAnsi="Cambria"/>
          <w:b w:val="0"/>
          <w:bCs/>
          <w:sz w:val="22"/>
        </w:rPr>
        <w:t>, Paris, Seuil, 1999 (3</w:t>
      </w:r>
      <w:r w:rsidRPr="005C30A1">
        <w:rPr>
          <w:rFonts w:ascii="Cambria" w:hAnsi="Cambria"/>
          <w:b w:val="0"/>
          <w:bCs/>
          <w:sz w:val="22"/>
          <w:vertAlign w:val="superscript"/>
        </w:rPr>
        <w:t>e</w:t>
      </w:r>
      <w:r w:rsidRPr="005C30A1">
        <w:rPr>
          <w:rFonts w:ascii="Cambria" w:hAnsi="Cambria"/>
          <w:b w:val="0"/>
          <w:bCs/>
          <w:sz w:val="22"/>
        </w:rPr>
        <w:t xml:space="preserve"> éd.).</w:t>
      </w:r>
    </w:p>
    <w:p w14:paraId="0DD24B32"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J. </w:t>
      </w:r>
      <w:r w:rsidRPr="005C30A1">
        <w:rPr>
          <w:rFonts w:ascii="Cambria" w:hAnsi="Cambria" w:cs="Times New Roman (Corps CS)"/>
          <w:b w:val="0"/>
          <w:bCs/>
          <w:smallCaps/>
          <w:sz w:val="22"/>
        </w:rPr>
        <w:t>Canal</w:t>
      </w:r>
      <w:r w:rsidRPr="005C30A1">
        <w:rPr>
          <w:rFonts w:ascii="Cambria" w:hAnsi="Cambria"/>
          <w:b w:val="0"/>
          <w:bCs/>
          <w:sz w:val="22"/>
        </w:rPr>
        <w:t xml:space="preserve"> (éd.), </w:t>
      </w:r>
      <w:r w:rsidRPr="005C30A1">
        <w:rPr>
          <w:rFonts w:ascii="Cambria" w:hAnsi="Cambria"/>
          <w:b w:val="0"/>
          <w:bCs/>
          <w:i/>
          <w:iCs/>
          <w:sz w:val="22"/>
        </w:rPr>
        <w:t xml:space="preserve">Histoire de l’Espagne contemporaine de 1808 à nos jours : politique et société, </w:t>
      </w:r>
      <w:r w:rsidRPr="005C30A1">
        <w:rPr>
          <w:rFonts w:ascii="Cambria" w:hAnsi="Cambria"/>
          <w:b w:val="0"/>
          <w:bCs/>
          <w:sz w:val="22"/>
        </w:rPr>
        <w:t>Paris, Colin U, 2009</w:t>
      </w:r>
    </w:p>
    <w:p w14:paraId="579B73A3"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C. </w:t>
      </w:r>
      <w:r w:rsidRPr="005C30A1">
        <w:rPr>
          <w:rFonts w:ascii="Cambria" w:hAnsi="Cambria" w:cs="Times New Roman (Corps CS)"/>
          <w:b w:val="0"/>
          <w:bCs/>
          <w:smallCaps/>
          <w:sz w:val="22"/>
        </w:rPr>
        <w:t>Charle</w:t>
      </w:r>
      <w:r w:rsidRPr="005C30A1">
        <w:rPr>
          <w:rFonts w:ascii="Cambria" w:hAnsi="Cambria"/>
          <w:b w:val="0"/>
          <w:bCs/>
          <w:sz w:val="22"/>
        </w:rPr>
        <w:t xml:space="preserve">, </w:t>
      </w:r>
      <w:r w:rsidRPr="005C30A1">
        <w:rPr>
          <w:rFonts w:ascii="Cambria" w:hAnsi="Cambria"/>
          <w:b w:val="0"/>
          <w:bCs/>
          <w:i/>
          <w:iCs/>
          <w:sz w:val="22"/>
        </w:rPr>
        <w:t>Histoire sociale de la France au XIX</w:t>
      </w:r>
      <w:r w:rsidRPr="005C30A1">
        <w:rPr>
          <w:rFonts w:ascii="Cambria" w:hAnsi="Cambria"/>
          <w:b w:val="0"/>
          <w:bCs/>
          <w:i/>
          <w:iCs/>
          <w:sz w:val="22"/>
          <w:vertAlign w:val="superscript"/>
        </w:rPr>
        <w:t>e</w:t>
      </w:r>
      <w:r w:rsidRPr="005C30A1">
        <w:rPr>
          <w:rFonts w:ascii="Cambria" w:hAnsi="Cambria"/>
          <w:b w:val="0"/>
          <w:bCs/>
          <w:i/>
          <w:iCs/>
          <w:sz w:val="22"/>
        </w:rPr>
        <w:t xml:space="preserve"> s</w:t>
      </w:r>
      <w:r w:rsidRPr="005C30A1">
        <w:rPr>
          <w:rFonts w:ascii="Cambria" w:hAnsi="Cambria"/>
          <w:b w:val="0"/>
          <w:bCs/>
          <w:sz w:val="22"/>
        </w:rPr>
        <w:t>., Paris Seuil, 2015 (nouvelle éd.)</w:t>
      </w:r>
    </w:p>
    <w:p w14:paraId="01B01015"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P. </w:t>
      </w:r>
      <w:r w:rsidRPr="005C30A1">
        <w:rPr>
          <w:rFonts w:ascii="Cambria" w:hAnsi="Cambria" w:cs="Times New Roman (Corps CS)"/>
          <w:b w:val="0"/>
          <w:bCs/>
          <w:smallCaps/>
          <w:sz w:val="22"/>
        </w:rPr>
        <w:t>Gervais</w:t>
      </w:r>
      <w:r w:rsidRPr="005C30A1">
        <w:rPr>
          <w:rFonts w:ascii="Cambria" w:hAnsi="Cambria"/>
          <w:b w:val="0"/>
          <w:bCs/>
          <w:sz w:val="22"/>
        </w:rPr>
        <w:t xml:space="preserve">, </w:t>
      </w:r>
      <w:r w:rsidRPr="005C30A1">
        <w:rPr>
          <w:rFonts w:ascii="Cambria" w:hAnsi="Cambria"/>
          <w:b w:val="0"/>
          <w:bCs/>
          <w:i/>
          <w:iCs/>
          <w:sz w:val="22"/>
        </w:rPr>
        <w:t xml:space="preserve">Les États-Unis de 1860 à nos jours, </w:t>
      </w:r>
      <w:r w:rsidRPr="005C30A1">
        <w:rPr>
          <w:rFonts w:ascii="Cambria" w:hAnsi="Cambria"/>
          <w:b w:val="0"/>
          <w:bCs/>
          <w:sz w:val="22"/>
        </w:rPr>
        <w:t>Paris, Hachette, 1998 (révisé 2001).</w:t>
      </w:r>
    </w:p>
    <w:p w14:paraId="5A659D44"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P. </w:t>
      </w:r>
      <w:r w:rsidRPr="005C30A1">
        <w:rPr>
          <w:rFonts w:ascii="Cambria" w:eastAsia="Times New Roman" w:hAnsi="Cambria" w:cs="Times New Roman"/>
          <w:b w:val="0"/>
          <w:bCs/>
          <w:smallCaps/>
          <w:sz w:val="22"/>
          <w:lang w:eastAsia="fr-FR"/>
        </w:rPr>
        <w:t>Mélandri</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 des États-Unis (1865-1996)</w:t>
      </w:r>
      <w:r w:rsidRPr="005C30A1">
        <w:rPr>
          <w:rFonts w:ascii="Cambria" w:eastAsia="Times New Roman" w:hAnsi="Cambria" w:cs="Times New Roman"/>
          <w:b w:val="0"/>
          <w:bCs/>
          <w:sz w:val="22"/>
          <w:lang w:eastAsia="fr-FR"/>
        </w:rPr>
        <w:t>, Paris, Nathan, 1996.</w:t>
      </w:r>
    </w:p>
    <w:p w14:paraId="074F16EC"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A. </w:t>
      </w:r>
      <w:r w:rsidRPr="005C30A1">
        <w:rPr>
          <w:rFonts w:ascii="Cambria" w:hAnsi="Cambria" w:cs="Times New Roman (Corps CS)"/>
          <w:b w:val="0"/>
          <w:bCs/>
          <w:smallCaps/>
          <w:sz w:val="22"/>
        </w:rPr>
        <w:t>Prost</w:t>
      </w:r>
      <w:r w:rsidRPr="005C30A1">
        <w:rPr>
          <w:rFonts w:ascii="Cambria" w:hAnsi="Cambria"/>
          <w:b w:val="0"/>
          <w:bCs/>
          <w:i/>
          <w:iCs/>
          <w:sz w:val="22"/>
        </w:rPr>
        <w:t>, Petite histoire de la France au XX</w:t>
      </w:r>
      <w:r w:rsidRPr="005C30A1">
        <w:rPr>
          <w:rFonts w:ascii="Cambria" w:hAnsi="Cambria"/>
          <w:b w:val="0"/>
          <w:bCs/>
          <w:i/>
          <w:iCs/>
          <w:sz w:val="22"/>
          <w:vertAlign w:val="superscript"/>
        </w:rPr>
        <w:t>e</w:t>
      </w:r>
      <w:r w:rsidRPr="005C30A1">
        <w:rPr>
          <w:rFonts w:ascii="Cambria" w:hAnsi="Cambria"/>
          <w:b w:val="0"/>
          <w:bCs/>
          <w:i/>
          <w:iCs/>
          <w:sz w:val="22"/>
        </w:rPr>
        <w:t xml:space="preserve"> s. De la Belle Époque à nos jours, </w:t>
      </w:r>
      <w:r w:rsidRPr="005C30A1">
        <w:rPr>
          <w:rFonts w:ascii="Cambria" w:hAnsi="Cambria"/>
          <w:b w:val="0"/>
          <w:bCs/>
          <w:sz w:val="22"/>
        </w:rPr>
        <w:t>Paris, A. Colin, 2013 (1</w:t>
      </w:r>
      <w:r w:rsidRPr="005C30A1">
        <w:rPr>
          <w:rFonts w:ascii="Cambria" w:hAnsi="Cambria"/>
          <w:b w:val="0"/>
          <w:bCs/>
          <w:sz w:val="22"/>
          <w:vertAlign w:val="superscript"/>
        </w:rPr>
        <w:t>ère</w:t>
      </w:r>
      <w:r w:rsidRPr="005C30A1">
        <w:rPr>
          <w:rFonts w:ascii="Cambria" w:hAnsi="Cambria"/>
          <w:b w:val="0"/>
          <w:bCs/>
          <w:sz w:val="22"/>
        </w:rPr>
        <w:t xml:space="preserve"> éd. 2000) – en ligne sur Cairn, accessible via Domino</w:t>
      </w:r>
    </w:p>
    <w:p w14:paraId="002EFE5B" w14:textId="77777777" w:rsidR="00307199" w:rsidRPr="005C30A1" w:rsidRDefault="00307199" w:rsidP="00307199">
      <w:pPr>
        <w:jc w:val="both"/>
        <w:rPr>
          <w:rFonts w:ascii="Cambria" w:hAnsi="Cambria"/>
          <w:b w:val="0"/>
          <w:bCs/>
          <w:sz w:val="22"/>
        </w:rPr>
      </w:pPr>
      <w:r w:rsidRPr="005C30A1">
        <w:rPr>
          <w:rFonts w:ascii="Cambria" w:eastAsia="Times New Roman" w:hAnsi="Cambria" w:cs="Times New Roman"/>
          <w:b w:val="0"/>
          <w:bCs/>
          <w:sz w:val="22"/>
          <w:lang w:eastAsia="fr-FR" w:bidi="yi-Hebr"/>
        </w:rPr>
        <w:t xml:space="preserve">R. </w:t>
      </w:r>
      <w:r w:rsidRPr="005C30A1">
        <w:rPr>
          <w:rFonts w:ascii="Cambria" w:hAnsi="Cambria" w:cs="Times New Roman (Corps CS)"/>
          <w:b w:val="0"/>
          <w:bCs/>
          <w:smallCaps/>
          <w:sz w:val="22"/>
        </w:rPr>
        <w:t>Paxton</w:t>
      </w:r>
      <w:r w:rsidRPr="005C30A1">
        <w:rPr>
          <w:rFonts w:ascii="Cambria" w:eastAsia="Times New Roman" w:hAnsi="Cambria" w:cs="Times New Roman"/>
          <w:b w:val="0"/>
          <w:bCs/>
          <w:sz w:val="22"/>
          <w:lang w:eastAsia="fr-FR" w:bidi="yi-Hebr"/>
        </w:rPr>
        <w:t xml:space="preserve"> et J. </w:t>
      </w:r>
      <w:r w:rsidRPr="005C30A1">
        <w:rPr>
          <w:rFonts w:ascii="Cambria" w:hAnsi="Cambria" w:cs="Times New Roman (Corps CS)"/>
          <w:b w:val="0"/>
          <w:bCs/>
          <w:smallCaps/>
          <w:sz w:val="22"/>
        </w:rPr>
        <w:t>Hessler</w:t>
      </w:r>
      <w:r w:rsidRPr="005C30A1">
        <w:rPr>
          <w:rFonts w:ascii="Cambria" w:eastAsia="Times New Roman" w:hAnsi="Cambria" w:cs="Times New Roman"/>
          <w:b w:val="0"/>
          <w:bCs/>
          <w:sz w:val="22"/>
          <w:lang w:eastAsia="fr-FR" w:bidi="yi-Hebr"/>
        </w:rPr>
        <w:t xml:space="preserve">, </w:t>
      </w:r>
      <w:r w:rsidRPr="005C30A1">
        <w:rPr>
          <w:rFonts w:ascii="Cambria" w:eastAsia="Times New Roman" w:hAnsi="Cambria" w:cs="Times New Roman"/>
          <w:b w:val="0"/>
          <w:bCs/>
          <w:i/>
          <w:iCs/>
          <w:sz w:val="22"/>
          <w:lang w:eastAsia="fr-FR" w:bidi="yi-Hebr"/>
        </w:rPr>
        <w:t xml:space="preserve">L’Europe au </w:t>
      </w:r>
      <w:r w:rsidRPr="005C30A1">
        <w:rPr>
          <w:rFonts w:ascii="Cambria" w:hAnsi="Cambria"/>
          <w:b w:val="0"/>
          <w:bCs/>
          <w:i/>
          <w:iCs/>
          <w:sz w:val="22"/>
        </w:rPr>
        <w:t>XX</w:t>
      </w:r>
      <w:r w:rsidRPr="005C30A1">
        <w:rPr>
          <w:rFonts w:ascii="Cambria" w:hAnsi="Cambria"/>
          <w:b w:val="0"/>
          <w:bCs/>
          <w:i/>
          <w:iCs/>
          <w:sz w:val="22"/>
          <w:vertAlign w:val="superscript"/>
        </w:rPr>
        <w:t>e</w:t>
      </w:r>
      <w:r w:rsidRPr="005C30A1">
        <w:rPr>
          <w:rFonts w:ascii="Cambria" w:hAnsi="Cambria"/>
          <w:b w:val="0"/>
          <w:bCs/>
          <w:i/>
          <w:iCs/>
          <w:sz w:val="22"/>
        </w:rPr>
        <w:t xml:space="preserve"> siècle</w:t>
      </w:r>
      <w:r w:rsidRPr="005C30A1">
        <w:rPr>
          <w:rFonts w:ascii="Cambria" w:eastAsia="Times New Roman" w:hAnsi="Cambria" w:cs="Times New Roman"/>
          <w:b w:val="0"/>
          <w:bCs/>
          <w:sz w:val="22"/>
          <w:lang w:eastAsia="fr-FR" w:bidi="yi-Hebr"/>
        </w:rPr>
        <w:t xml:space="preserve">, Paris, Tallandier, 2013 </w:t>
      </w:r>
      <w:r w:rsidRPr="005C30A1">
        <w:rPr>
          <w:rFonts w:ascii="Cambria" w:hAnsi="Cambria"/>
          <w:b w:val="0"/>
          <w:bCs/>
          <w:sz w:val="22"/>
        </w:rPr>
        <w:t>– en ligne sur Cairn, accessible via Domino</w:t>
      </w:r>
    </w:p>
    <w:p w14:paraId="25E09964"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E. </w:t>
      </w:r>
      <w:r w:rsidRPr="005C30A1">
        <w:rPr>
          <w:rFonts w:ascii="Cambria" w:hAnsi="Cambria" w:cs="Times New Roman (Corps CS)"/>
          <w:b w:val="0"/>
          <w:bCs/>
          <w:smallCaps/>
          <w:sz w:val="22"/>
        </w:rPr>
        <w:t>Temime</w:t>
      </w:r>
      <w:r w:rsidRPr="005C30A1">
        <w:rPr>
          <w:rFonts w:ascii="Cambria" w:hAnsi="Cambria"/>
          <w:b w:val="0"/>
          <w:bCs/>
          <w:sz w:val="22"/>
        </w:rPr>
        <w:t xml:space="preserve">, A. </w:t>
      </w:r>
      <w:r w:rsidRPr="005C30A1">
        <w:rPr>
          <w:rFonts w:ascii="Cambria" w:hAnsi="Cambria" w:cs="Times New Roman (Corps CS)"/>
          <w:b w:val="0"/>
          <w:bCs/>
          <w:smallCaps/>
          <w:sz w:val="22"/>
        </w:rPr>
        <w:t>Broder</w:t>
      </w:r>
      <w:r w:rsidRPr="005C30A1">
        <w:rPr>
          <w:rFonts w:ascii="Cambria" w:hAnsi="Cambria"/>
          <w:b w:val="0"/>
          <w:bCs/>
          <w:sz w:val="22"/>
        </w:rPr>
        <w:t xml:space="preserve">, G. </w:t>
      </w:r>
      <w:r w:rsidRPr="005C30A1">
        <w:rPr>
          <w:rFonts w:ascii="Cambria" w:hAnsi="Cambria" w:cs="Times New Roman (Corps CS)"/>
          <w:b w:val="0"/>
          <w:bCs/>
          <w:smallCaps/>
          <w:sz w:val="22"/>
        </w:rPr>
        <w:t>Chastagnaret</w:t>
      </w:r>
      <w:r w:rsidRPr="005C30A1">
        <w:rPr>
          <w:rFonts w:ascii="Cambria" w:hAnsi="Cambria"/>
          <w:b w:val="0"/>
          <w:bCs/>
          <w:sz w:val="22"/>
        </w:rPr>
        <w:t xml:space="preserve">, </w:t>
      </w:r>
      <w:r w:rsidRPr="005C30A1">
        <w:rPr>
          <w:rFonts w:ascii="Cambria" w:hAnsi="Cambria"/>
          <w:b w:val="0"/>
          <w:bCs/>
          <w:i/>
          <w:iCs/>
          <w:sz w:val="22"/>
        </w:rPr>
        <w:t>Histoire de l’Espagne contemporaine, de 1808 à nos jours</w:t>
      </w:r>
      <w:r w:rsidRPr="005C30A1">
        <w:rPr>
          <w:rFonts w:ascii="Cambria" w:hAnsi="Cambria"/>
          <w:b w:val="0"/>
          <w:bCs/>
          <w:sz w:val="22"/>
        </w:rPr>
        <w:t>, Paris, Aubier, 1979.</w:t>
      </w:r>
    </w:p>
    <w:p w14:paraId="34694AE0" w14:textId="77777777" w:rsidR="00307199" w:rsidRPr="005C30A1" w:rsidRDefault="00307199" w:rsidP="00307199">
      <w:pPr>
        <w:rPr>
          <w:rFonts w:ascii="Cambria" w:hAnsi="Cambria"/>
          <w:b w:val="0"/>
          <w:bCs/>
          <w:sz w:val="22"/>
        </w:rPr>
      </w:pPr>
    </w:p>
    <w:p w14:paraId="0FA933B3"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C2F55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88F0723"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BECD70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17774EA"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A359E39"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8CC220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9DE41B7"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73D1B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F81FF80"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099BF3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00E06A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BA417F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F594179"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D839585"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563F3C"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A6377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AF93E7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4F71DA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70C56B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758206"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4BC2B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F0CD28C"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763888C"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3CB0C5A"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2AAE458"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3B98EDC"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31057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CB25F2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A8423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2B842E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A095261"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D1BD31A"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4CCAF4B"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37ACCD"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54B6743"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8555D2C"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A9A00FB"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C4511E4"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3470E0D"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BBD403"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CF6AD6E"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B90BA66"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43C944F"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CB91710"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BABD4A0"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6BB46B6"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D6B22FC"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6032FD"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444A61"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DFBF54A" w14:textId="77777777" w:rsidR="00371180" w:rsidRPr="00525A1C" w:rsidRDefault="00371180"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77EB6C"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D35EC7B" w14:textId="79E67733"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9257A0">
        <w:rPr>
          <w:rFonts w:ascii="Cambria" w:hAnsi="Cambria"/>
          <w:iCs/>
          <w:color w:val="C00000"/>
          <w:sz w:val="28"/>
          <w:szCs w:val="28"/>
        </w:rPr>
        <w:t>J3022919/J3023019 : Histoire de l’enseignement</w:t>
      </w:r>
    </w:p>
    <w:p w14:paraId="38BDD9F7" w14:textId="77777777"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color w:val="C00000"/>
          <w:sz w:val="28"/>
          <w:szCs w:val="28"/>
        </w:rPr>
      </w:pPr>
    </w:p>
    <w:p w14:paraId="665FA3CE" w14:textId="77777777"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u w:val="single"/>
        </w:rPr>
      </w:pPr>
      <w:r w:rsidRPr="009257A0">
        <w:rPr>
          <w:rFonts w:ascii="Cambria" w:hAnsi="Cambria"/>
          <w:iCs/>
          <w:color w:val="C00000"/>
          <w:sz w:val="28"/>
          <w:szCs w:val="28"/>
          <w:u w:val="single"/>
        </w:rPr>
        <w:t>Cet enseignement est suspendu cette année</w:t>
      </w:r>
    </w:p>
    <w:p w14:paraId="7E1C162F"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8"/>
          <w:szCs w:val="28"/>
        </w:rPr>
      </w:pPr>
      <w:r w:rsidRPr="00525A1C">
        <w:rPr>
          <w:rFonts w:ascii="Cambria" w:hAnsi="Cambria"/>
          <w:iCs/>
          <w:color w:val="FF0000"/>
          <w:sz w:val="28"/>
          <w:szCs w:val="28"/>
        </w:rPr>
        <w:t xml:space="preserve"> </w:t>
      </w:r>
    </w:p>
    <w:p w14:paraId="6EFFE527" w14:textId="77777777" w:rsidR="00307199" w:rsidRPr="00525A1C" w:rsidRDefault="00307199" w:rsidP="00307199">
      <w:pPr>
        <w:spacing w:after="0" w:line="240" w:lineRule="auto"/>
        <w:jc w:val="both"/>
        <w:rPr>
          <w:rFonts w:eastAsia="Times New Roman" w:cs="Times New Roman"/>
          <w:b w:val="0"/>
          <w:bCs/>
          <w:iCs/>
          <w:kern w:val="0"/>
          <w:sz w:val="22"/>
          <w:lang w:eastAsia="fr-FR"/>
        </w:rPr>
      </w:pPr>
    </w:p>
    <w:p w14:paraId="6A070B2B" w14:textId="77777777" w:rsidR="00307199" w:rsidRPr="00525A1C" w:rsidRDefault="00307199" w:rsidP="00307199">
      <w:pPr>
        <w:spacing w:after="0" w:line="240" w:lineRule="auto"/>
        <w:jc w:val="both"/>
        <w:rPr>
          <w:rFonts w:eastAsia="Times New Roman" w:cs="Times New Roman"/>
          <w:b w:val="0"/>
          <w:bCs/>
          <w:iCs/>
          <w:kern w:val="0"/>
          <w:sz w:val="22"/>
          <w:lang w:eastAsia="fr-FR"/>
        </w:rPr>
      </w:pPr>
    </w:p>
    <w:p w14:paraId="2B44502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6C3D8B5"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525D9136"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A98AF63"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E8D62F2"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1119D30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26C189CA"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9CFC07B"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2180E11"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4FE084C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352C7FE"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49CF4539"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2F9F6F8E"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128757E1"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D431C8A"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3A7DFD1"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EF7D2B0"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25E19DB"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03A7A79"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AB96A2D"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CD5296A"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0EC7BD7"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48F56C4" w14:textId="77777777" w:rsidR="007B6BC3" w:rsidRPr="00525A1C" w:rsidRDefault="007B6BC3" w:rsidP="00221F22">
      <w:pPr>
        <w:spacing w:after="0" w:line="240" w:lineRule="auto"/>
        <w:jc w:val="both"/>
        <w:rPr>
          <w:rFonts w:ascii="Cambria" w:eastAsia="Times New Roman" w:hAnsi="Cambria" w:cs="Times New Roman"/>
          <w:b w:val="0"/>
          <w:iCs/>
          <w:kern w:val="0"/>
          <w:sz w:val="22"/>
          <w:lang w:eastAsia="fr-FR"/>
        </w:rPr>
      </w:pPr>
    </w:p>
    <w:p w14:paraId="1471EDCF" w14:textId="77777777" w:rsidR="00EC2AB4" w:rsidRPr="00525A1C" w:rsidRDefault="00EC2AB4" w:rsidP="00774B39">
      <w:pPr>
        <w:spacing w:after="0" w:line="240" w:lineRule="auto"/>
        <w:jc w:val="both"/>
        <w:rPr>
          <w:rFonts w:ascii="Cambria" w:eastAsia="Times New Roman" w:hAnsi="Cambria" w:cs="Times New Roman"/>
          <w:b w:val="0"/>
          <w:iCs/>
          <w:kern w:val="0"/>
          <w:sz w:val="22"/>
          <w:lang w:eastAsia="fr-FR"/>
        </w:rPr>
      </w:pPr>
    </w:p>
    <w:p w14:paraId="723E8DA2" w14:textId="77777777" w:rsidR="00B940E7" w:rsidRPr="00525A1C" w:rsidRDefault="00B940E7" w:rsidP="00221F22">
      <w:pPr>
        <w:spacing w:after="0" w:line="240" w:lineRule="auto"/>
        <w:jc w:val="both"/>
        <w:rPr>
          <w:rFonts w:ascii="Cambria" w:eastAsia="Times New Roman" w:hAnsi="Cambria" w:cs="Times New Roman"/>
          <w:b w:val="0"/>
          <w:iCs/>
          <w:kern w:val="0"/>
          <w:sz w:val="22"/>
          <w:lang w:eastAsia="fr-FR"/>
        </w:rPr>
      </w:pPr>
    </w:p>
    <w:p w14:paraId="3EAFA562"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0A2E12BA"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6E08A78C"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5F66EC19"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2DC3828D"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42785744"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4D2434A7"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1B90AC8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065C12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7822C8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7E2F66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35A98F9"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5E4C8F5"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0D01CCB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0FB9EF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7A6454F"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594F7E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298A6A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E6AE96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B8B421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D2402B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55A7AD3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42C2451"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F3D8EAD"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EF4E0DC"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E98A198"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C761CA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D6441DE"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E556AB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03A55E7D"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32421BA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226376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18B1E9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B16C0D9"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5A0C9D6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309B325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A1AE3D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0B95BA8"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5EFB16C1" w14:textId="10D523B6" w:rsidR="00F26DDA" w:rsidRPr="009257A0" w:rsidRDefault="00D11798" w:rsidP="008B10E3">
      <w:pPr>
        <w:spacing w:after="0" w:line="240" w:lineRule="auto"/>
        <w:jc w:val="center"/>
        <w:rPr>
          <w:rFonts w:ascii="Cambria" w:eastAsia="Times New Roman" w:hAnsi="Cambria" w:cs="Times New Roman"/>
          <w:bCs/>
          <w:iCs/>
          <w:color w:val="C00000"/>
          <w:kern w:val="0"/>
          <w:sz w:val="28"/>
          <w:szCs w:val="28"/>
          <w:lang w:eastAsia="fr-FR"/>
        </w:rPr>
      </w:pPr>
      <w:r w:rsidRPr="009257A0">
        <w:rPr>
          <w:rFonts w:ascii="Cambria" w:eastAsia="Times New Roman" w:hAnsi="Cambria" w:cs="Times New Roman"/>
          <w:bCs/>
          <w:iCs/>
          <w:color w:val="C00000"/>
          <w:kern w:val="0"/>
          <w:sz w:val="28"/>
          <w:szCs w:val="28"/>
          <w:lang w:eastAsia="fr-FR"/>
        </w:rPr>
        <w:t xml:space="preserve">J3013935-J3011825 : </w:t>
      </w:r>
      <w:r w:rsidR="009277DD" w:rsidRPr="009257A0">
        <w:rPr>
          <w:rFonts w:ascii="Cambria" w:eastAsia="Times New Roman" w:hAnsi="Cambria" w:cs="Times New Roman"/>
          <w:bCs/>
          <w:iCs/>
          <w:color w:val="C00000"/>
          <w:kern w:val="0"/>
          <w:sz w:val="28"/>
          <w:szCs w:val="28"/>
          <w:lang w:eastAsia="fr-FR"/>
        </w:rPr>
        <w:t>Métiers du livre</w:t>
      </w:r>
    </w:p>
    <w:p w14:paraId="05BF58D5" w14:textId="77777777" w:rsidR="009277DD" w:rsidRPr="00525A1C" w:rsidRDefault="009277DD" w:rsidP="008B10E3">
      <w:pPr>
        <w:spacing w:after="0" w:line="240" w:lineRule="auto"/>
        <w:jc w:val="center"/>
        <w:rPr>
          <w:rFonts w:ascii="Cambria" w:eastAsia="Times New Roman" w:hAnsi="Cambria" w:cs="Times New Roman"/>
          <w:b w:val="0"/>
          <w:iCs/>
          <w:kern w:val="0"/>
          <w:sz w:val="22"/>
          <w:lang w:eastAsia="fr-FR"/>
        </w:rPr>
      </w:pPr>
    </w:p>
    <w:p w14:paraId="76E220B9" w14:textId="49C8FBFC" w:rsidR="009277DD" w:rsidRPr="00525A1C" w:rsidRDefault="009277DD" w:rsidP="008B10E3">
      <w:pPr>
        <w:spacing w:after="0" w:line="240" w:lineRule="auto"/>
        <w:jc w:val="center"/>
        <w:rPr>
          <w:rFonts w:ascii="Cambria" w:eastAsia="Times New Roman" w:hAnsi="Cambria" w:cs="Times New Roman"/>
          <w:bCs/>
          <w:iCs/>
          <w:kern w:val="0"/>
          <w:sz w:val="22"/>
          <w:lang w:eastAsia="fr-FR"/>
        </w:rPr>
      </w:pPr>
      <w:r w:rsidRPr="00525A1C">
        <w:rPr>
          <w:rFonts w:ascii="Cambria" w:eastAsia="Times New Roman" w:hAnsi="Cambria" w:cs="Times New Roman"/>
          <w:bCs/>
          <w:iCs/>
          <w:kern w:val="0"/>
          <w:sz w:val="22"/>
          <w:lang w:eastAsia="fr-FR"/>
        </w:rPr>
        <w:t>Emilie Cottereau</w:t>
      </w:r>
      <w:r w:rsidR="00626C7D" w:rsidRPr="00525A1C">
        <w:rPr>
          <w:rFonts w:ascii="Cambria" w:eastAsia="Times New Roman" w:hAnsi="Cambria" w:cs="Times New Roman"/>
          <w:bCs/>
          <w:iCs/>
          <w:kern w:val="0"/>
          <w:sz w:val="22"/>
          <w:lang w:eastAsia="fr-FR"/>
        </w:rPr>
        <w:t xml:space="preserve">, Oury Goldman </w:t>
      </w:r>
    </w:p>
    <w:p w14:paraId="0CC12DFE"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62F6C49B"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441684D2" w14:textId="77777777" w:rsidR="00626C7D" w:rsidRPr="00525A1C" w:rsidRDefault="00626C7D" w:rsidP="00626C7D">
      <w:pPr>
        <w:shd w:val="clear" w:color="auto" w:fill="FFFFFF"/>
        <w:spacing w:after="0" w:line="240" w:lineRule="auto"/>
        <w:jc w:val="both"/>
        <w:rPr>
          <w:rFonts w:ascii="Cambria" w:eastAsia="Times New Roman" w:hAnsi="Cambria" w:cs="Times New Roman"/>
          <w:b w:val="0"/>
          <w:color w:val="000000"/>
          <w:kern w:val="0"/>
          <w:sz w:val="22"/>
          <w:lang w:eastAsia="fr-FR"/>
        </w:rPr>
      </w:pPr>
      <w:r w:rsidRPr="00525A1C">
        <w:rPr>
          <w:rFonts w:ascii="Cambria" w:eastAsia="Times New Roman" w:hAnsi="Cambria" w:cs="Times New Roman"/>
          <w:b w:val="0"/>
          <w:color w:val="000000"/>
          <w:kern w:val="0"/>
          <w:sz w:val="22"/>
          <w:lang w:eastAsia="fr-FR"/>
        </w:rPr>
        <w:t xml:space="preserve">Dans le cadre de cet enseignement, on étudiera le livre médiéval et moderne (manuscrit et imprimé) en abordant ce dernier dans toutes ses dimensions (matérialité, acteurs et cadres de fabrication, usages, conservation, circulation, etc.).  Au-delà des synthèses qui seront proposées sur ces différents aspects, des sources de natures diverses seront mobilisées afin de proposer aux étudiants des outils et des méthodes pour appréhender cet objet au statut complexe et sa place dans les sociétés médiévales et modernes. </w:t>
      </w:r>
    </w:p>
    <w:p w14:paraId="2EF24528" w14:textId="77777777" w:rsidR="00626C7D" w:rsidRPr="00525A1C" w:rsidRDefault="00626C7D" w:rsidP="00626C7D">
      <w:pPr>
        <w:shd w:val="clear" w:color="auto" w:fill="FFFFFF"/>
        <w:spacing w:after="0" w:line="240" w:lineRule="auto"/>
        <w:jc w:val="both"/>
        <w:rPr>
          <w:rFonts w:ascii="Cambria" w:eastAsia="Times New Roman" w:hAnsi="Cambria" w:cs="Times New Roman"/>
          <w:b w:val="0"/>
          <w:color w:val="000000"/>
          <w:kern w:val="0"/>
          <w:sz w:val="22"/>
          <w:lang w:eastAsia="fr-FR"/>
        </w:rPr>
      </w:pPr>
      <w:r w:rsidRPr="00525A1C">
        <w:rPr>
          <w:rFonts w:ascii="Cambria" w:eastAsia="Times New Roman" w:hAnsi="Cambria" w:cs="Times New Roman"/>
          <w:b w:val="0"/>
          <w:color w:val="000000"/>
          <w:kern w:val="0"/>
          <w:sz w:val="22"/>
          <w:lang w:eastAsia="fr-FR"/>
        </w:rPr>
        <w:t>Cette nouvelle UE a été conçue à la fois dans la perspective de l'utilisation de ce type de source et/ou d’une spécialisation ultérieure en master recherche et dans celle d’une approche professionnalisante (métiers de la conservation, de la numérisation et de la promotion du patrimoine, de l’expertise, etc.). Pour éviter tout malentendu, nous souhaitons préciser en revanche que cet enseignement n'a pas pour but de vous initier aux métiers de l'édition.</w:t>
      </w:r>
    </w:p>
    <w:p w14:paraId="1F53D358"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6DDF9934" w14:textId="77777777" w:rsidR="00626C7D" w:rsidRPr="00525A1C" w:rsidRDefault="00626C7D" w:rsidP="00626C7D">
      <w:pPr>
        <w:spacing w:after="0" w:line="240" w:lineRule="auto"/>
        <w:jc w:val="both"/>
        <w:rPr>
          <w:rFonts w:ascii="Cambria" w:eastAsia="Times New Roman" w:hAnsi="Cambria" w:cs="Times New Roman"/>
          <w:kern w:val="0"/>
          <w:sz w:val="22"/>
          <w:lang w:eastAsia="fr-FR"/>
        </w:rPr>
      </w:pPr>
      <w:r w:rsidRPr="00525A1C">
        <w:rPr>
          <w:rFonts w:ascii="Cambria" w:eastAsia="Times New Roman" w:hAnsi="Cambria" w:cs="Times New Roman"/>
          <w:kern w:val="0"/>
          <w:sz w:val="22"/>
          <w:lang w:eastAsia="fr-FR"/>
        </w:rPr>
        <w:t>Bibliographie indicative</w:t>
      </w:r>
    </w:p>
    <w:p w14:paraId="36054F9C" w14:textId="7B250395" w:rsidR="00626C7D" w:rsidRPr="00525A1C" w:rsidRDefault="00626C7D" w:rsidP="00626C7D">
      <w:pPr>
        <w:spacing w:before="120" w:after="60"/>
        <w:ind w:left="709" w:hanging="709"/>
        <w:jc w:val="both"/>
        <w:rPr>
          <w:rFonts w:ascii="Cambria" w:eastAsia="Calibri" w:hAnsi="Cambria" w:cs="Times New Roman"/>
          <w:b w:val="0"/>
          <w:smallCaps/>
          <w:kern w:val="0"/>
          <w:sz w:val="22"/>
          <w:lang w:eastAsia="en-US"/>
        </w:rPr>
      </w:pPr>
      <w:r w:rsidRPr="00525A1C">
        <w:rPr>
          <w:rFonts w:ascii="Cambria" w:eastAsia="Calibri" w:hAnsi="Cambria" w:cs="Times New Roman"/>
          <w:b w:val="0"/>
          <w:smallCaps/>
          <w:kern w:val="0"/>
          <w:sz w:val="22"/>
          <w:lang w:eastAsia="en-US"/>
        </w:rPr>
        <w:t xml:space="preserve">Barbier, F., </w:t>
      </w:r>
      <w:r w:rsidRPr="00525A1C">
        <w:rPr>
          <w:rFonts w:ascii="Cambria" w:eastAsia="Calibri" w:hAnsi="Cambria" w:cs="Times New Roman"/>
          <w:b w:val="0"/>
          <w:i/>
          <w:kern w:val="0"/>
          <w:sz w:val="22"/>
          <w:lang w:eastAsia="en-US"/>
        </w:rPr>
        <w:t>Histoire du livre en Occident</w:t>
      </w:r>
      <w:r w:rsidRPr="00525A1C">
        <w:rPr>
          <w:rFonts w:ascii="Cambria" w:eastAsia="Calibri" w:hAnsi="Cambria" w:cs="Times New Roman"/>
          <w:b w:val="0"/>
          <w:kern w:val="0"/>
          <w:sz w:val="22"/>
          <w:lang w:eastAsia="en-US"/>
        </w:rPr>
        <w:t>, Paris, 2020. [</w:t>
      </w:r>
      <w:r w:rsidR="00923348" w:rsidRPr="00525A1C">
        <w:rPr>
          <w:rFonts w:ascii="Cambria" w:eastAsia="Calibri" w:hAnsi="Cambria" w:cs="Times New Roman"/>
          <w:b w:val="0"/>
          <w:i/>
          <w:kern w:val="0"/>
          <w:sz w:val="22"/>
          <w:lang w:eastAsia="en-US"/>
        </w:rPr>
        <w:t>Accessible</w:t>
      </w:r>
      <w:r w:rsidRPr="00525A1C">
        <w:rPr>
          <w:rFonts w:ascii="Cambria" w:eastAsia="Calibri" w:hAnsi="Cambria" w:cs="Times New Roman"/>
          <w:b w:val="0"/>
          <w:i/>
          <w:kern w:val="0"/>
          <w:sz w:val="22"/>
          <w:lang w:eastAsia="en-US"/>
        </w:rPr>
        <w:t xml:space="preserve"> sur Cairn</w:t>
      </w:r>
      <w:r w:rsidRPr="00525A1C">
        <w:rPr>
          <w:rFonts w:ascii="Cambria" w:eastAsia="Calibri" w:hAnsi="Cambria" w:cs="Times New Roman"/>
          <w:b w:val="0"/>
          <w:kern w:val="0"/>
          <w:sz w:val="22"/>
          <w:lang w:eastAsia="en-US"/>
        </w:rPr>
        <w:t>]</w:t>
      </w:r>
    </w:p>
    <w:p w14:paraId="04CBE6EC" w14:textId="77777777"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Barbier,</w:t>
      </w:r>
      <w:r w:rsidRPr="00525A1C">
        <w:rPr>
          <w:rFonts w:ascii="Cambria" w:eastAsia="Calibri" w:hAnsi="Cambria" w:cs="Times New Roman"/>
          <w:b w:val="0"/>
          <w:kern w:val="0"/>
          <w:sz w:val="22"/>
          <w:lang w:eastAsia="en-US"/>
        </w:rPr>
        <w:t xml:space="preserve"> F., </w:t>
      </w:r>
      <w:r w:rsidRPr="00525A1C">
        <w:rPr>
          <w:rFonts w:ascii="Cambria" w:eastAsia="Calibri" w:hAnsi="Cambria" w:cs="Times New Roman"/>
          <w:b w:val="0"/>
          <w:i/>
          <w:iCs/>
          <w:kern w:val="0"/>
          <w:sz w:val="22"/>
          <w:lang w:eastAsia="en-US"/>
        </w:rPr>
        <w:t>L'Europe de Gutenberg. Le livre et l'invention de la modernité occidentale</w:t>
      </w:r>
      <w:r w:rsidRPr="00525A1C">
        <w:rPr>
          <w:rFonts w:ascii="Cambria" w:eastAsia="Calibri" w:hAnsi="Cambria" w:cs="Times New Roman"/>
          <w:b w:val="0"/>
          <w:kern w:val="0"/>
          <w:sz w:val="22"/>
          <w:lang w:eastAsia="en-US"/>
        </w:rPr>
        <w:t xml:space="preserve">, Paris, 2006. </w:t>
      </w:r>
    </w:p>
    <w:p w14:paraId="1D6697A5" w14:textId="77777777" w:rsidR="00626C7D" w:rsidRPr="00525A1C" w:rsidRDefault="00626C7D" w:rsidP="00626C7D">
      <w:pPr>
        <w:spacing w:before="120" w:after="60"/>
        <w:ind w:left="709" w:hanging="709"/>
        <w:jc w:val="both"/>
        <w:rPr>
          <w:rFonts w:ascii="Cambria" w:eastAsia="Calibri" w:hAnsi="Cambria" w:cs="Times New Roman"/>
          <w:b w:val="0"/>
          <w:i/>
          <w:kern w:val="0"/>
          <w:sz w:val="22"/>
          <w:lang w:eastAsia="en-US"/>
        </w:rPr>
      </w:pPr>
      <w:r w:rsidRPr="00525A1C">
        <w:rPr>
          <w:rFonts w:ascii="Cambria" w:eastAsia="Calibri" w:hAnsi="Cambria" w:cs="Times New Roman"/>
          <w:b w:val="0"/>
          <w:smallCaps/>
          <w:kern w:val="0"/>
          <w:sz w:val="22"/>
          <w:lang w:eastAsia="en-US"/>
        </w:rPr>
        <w:t xml:space="preserve">Cavallo, G. </w:t>
      </w:r>
      <w:r w:rsidRPr="00525A1C">
        <w:rPr>
          <w:rFonts w:ascii="Cambria" w:eastAsia="Calibri" w:hAnsi="Cambria" w:cs="Times New Roman"/>
          <w:b w:val="0"/>
          <w:kern w:val="0"/>
          <w:sz w:val="22"/>
          <w:lang w:eastAsia="en-US"/>
        </w:rPr>
        <w:t>et</w:t>
      </w:r>
      <w:r w:rsidRPr="00525A1C">
        <w:rPr>
          <w:rFonts w:ascii="Cambria" w:eastAsia="Calibri" w:hAnsi="Cambria" w:cs="Times New Roman"/>
          <w:b w:val="0"/>
          <w:smallCaps/>
          <w:kern w:val="0"/>
          <w:sz w:val="22"/>
          <w:lang w:eastAsia="en-US"/>
        </w:rPr>
        <w:t xml:space="preserve"> Chartier, R. </w:t>
      </w:r>
      <w:r w:rsidRPr="00525A1C">
        <w:rPr>
          <w:rFonts w:ascii="Cambria" w:eastAsia="Calibri" w:hAnsi="Cambria" w:cs="Times New Roman"/>
          <w:b w:val="0"/>
          <w:kern w:val="0"/>
          <w:sz w:val="22"/>
          <w:lang w:eastAsia="en-US"/>
        </w:rPr>
        <w:t>(dir.)</w:t>
      </w:r>
      <w:r w:rsidRPr="00525A1C">
        <w:rPr>
          <w:rFonts w:ascii="Cambria" w:eastAsia="Calibri" w:hAnsi="Cambria" w:cs="Times New Roman"/>
          <w:b w:val="0"/>
          <w:smallCaps/>
          <w:kern w:val="0"/>
          <w:sz w:val="22"/>
          <w:lang w:eastAsia="en-US"/>
        </w:rPr>
        <w:t xml:space="preserve">, </w:t>
      </w:r>
      <w:r w:rsidRPr="00525A1C">
        <w:rPr>
          <w:rFonts w:ascii="Cambria" w:eastAsia="Calibri" w:hAnsi="Cambria" w:cs="Times New Roman"/>
          <w:b w:val="0"/>
          <w:i/>
          <w:kern w:val="0"/>
          <w:sz w:val="22"/>
          <w:lang w:eastAsia="en-US"/>
        </w:rPr>
        <w:t>Histoire de la lecture dans le monde occidental</w:t>
      </w:r>
      <w:r w:rsidRPr="00525A1C">
        <w:rPr>
          <w:rFonts w:ascii="Cambria" w:eastAsia="Calibri" w:hAnsi="Cambria" w:cs="Times New Roman"/>
          <w:b w:val="0"/>
          <w:kern w:val="0"/>
          <w:sz w:val="22"/>
          <w:lang w:eastAsia="en-US"/>
        </w:rPr>
        <w:t>, Paris, 1997</w:t>
      </w:r>
      <w:r w:rsidRPr="00525A1C">
        <w:rPr>
          <w:rFonts w:ascii="Cambria" w:eastAsia="Calibri" w:hAnsi="Cambria" w:cs="Times New Roman"/>
          <w:b w:val="0"/>
          <w:i/>
          <w:kern w:val="0"/>
          <w:sz w:val="22"/>
          <w:lang w:eastAsia="en-US"/>
        </w:rPr>
        <w:t>.</w:t>
      </w:r>
    </w:p>
    <w:p w14:paraId="03D4595B" w14:textId="77777777"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Chartier</w:t>
      </w:r>
      <w:r w:rsidRPr="00525A1C">
        <w:rPr>
          <w:rFonts w:ascii="Cambria" w:eastAsia="Calibri" w:hAnsi="Cambria" w:cs="Times New Roman"/>
          <w:b w:val="0"/>
          <w:kern w:val="0"/>
          <w:sz w:val="22"/>
          <w:lang w:eastAsia="en-US"/>
        </w:rPr>
        <w:t xml:space="preserve">, R. et </w:t>
      </w:r>
      <w:r w:rsidRPr="00525A1C">
        <w:rPr>
          <w:rFonts w:ascii="Cambria" w:eastAsia="Calibri" w:hAnsi="Cambria" w:cs="Times New Roman"/>
          <w:b w:val="0"/>
          <w:smallCaps/>
          <w:kern w:val="0"/>
          <w:sz w:val="22"/>
          <w:lang w:eastAsia="en-US"/>
        </w:rPr>
        <w:t xml:space="preserve">Martin </w:t>
      </w:r>
      <w:r w:rsidRPr="00525A1C">
        <w:rPr>
          <w:rFonts w:ascii="Cambria" w:eastAsia="Calibri" w:hAnsi="Cambria" w:cs="Times New Roman"/>
          <w:b w:val="0"/>
          <w:kern w:val="0"/>
          <w:sz w:val="22"/>
          <w:lang w:eastAsia="en-US"/>
        </w:rPr>
        <w:t xml:space="preserve">H.-J., (dir.), </w:t>
      </w:r>
      <w:r w:rsidRPr="00525A1C">
        <w:rPr>
          <w:rFonts w:ascii="Cambria" w:eastAsia="Calibri" w:hAnsi="Cambria" w:cs="Times New Roman"/>
          <w:b w:val="0"/>
          <w:i/>
          <w:iCs/>
          <w:kern w:val="0"/>
          <w:sz w:val="22"/>
          <w:lang w:eastAsia="en-US"/>
        </w:rPr>
        <w:t>Histoire de l’édition française</w:t>
      </w:r>
      <w:r w:rsidRPr="00525A1C">
        <w:rPr>
          <w:rFonts w:ascii="Cambria" w:eastAsia="Calibri" w:hAnsi="Cambria" w:cs="Times New Roman"/>
          <w:b w:val="0"/>
          <w:kern w:val="0"/>
          <w:sz w:val="22"/>
          <w:lang w:eastAsia="en-US"/>
        </w:rPr>
        <w:t xml:space="preserve">, vol. 1 : </w:t>
      </w:r>
      <w:r w:rsidRPr="00525A1C">
        <w:rPr>
          <w:rFonts w:ascii="Cambria" w:eastAsia="Calibri" w:hAnsi="Cambria" w:cs="Times New Roman"/>
          <w:b w:val="0"/>
          <w:i/>
          <w:iCs/>
          <w:kern w:val="0"/>
          <w:sz w:val="22"/>
          <w:lang w:eastAsia="en-US"/>
        </w:rPr>
        <w:t>Le livre conquérant</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kern w:val="0"/>
          <w:sz w:val="22"/>
          <w:lang w:eastAsia="en-US"/>
        </w:rPr>
        <w:t>Du Moyen Âge au milieu du XVII</w:t>
      </w:r>
      <w:r w:rsidRPr="00525A1C">
        <w:rPr>
          <w:rFonts w:ascii="Cambria" w:eastAsia="Calibri" w:hAnsi="Cambria" w:cs="Times New Roman"/>
          <w:b w:val="0"/>
          <w:i/>
          <w:kern w:val="0"/>
          <w:sz w:val="22"/>
          <w:vertAlign w:val="superscript"/>
          <w:lang w:eastAsia="en-US"/>
        </w:rPr>
        <w:t>e</w:t>
      </w:r>
      <w:r w:rsidRPr="00525A1C">
        <w:rPr>
          <w:rFonts w:ascii="Cambria" w:eastAsia="Calibri" w:hAnsi="Cambria" w:cs="Times New Roman"/>
          <w:b w:val="0"/>
          <w:i/>
          <w:kern w:val="0"/>
          <w:sz w:val="22"/>
          <w:lang w:eastAsia="en-US"/>
        </w:rPr>
        <w:t xml:space="preserve"> siècle</w:t>
      </w:r>
      <w:r w:rsidRPr="00525A1C">
        <w:rPr>
          <w:rFonts w:ascii="Cambria" w:eastAsia="Calibri" w:hAnsi="Cambria" w:cs="Times New Roman"/>
          <w:b w:val="0"/>
          <w:kern w:val="0"/>
          <w:sz w:val="22"/>
          <w:lang w:eastAsia="en-US"/>
        </w:rPr>
        <w:t>, Paris, 1982, rééd.1989.</w:t>
      </w:r>
    </w:p>
    <w:p w14:paraId="0474A552" w14:textId="77777777" w:rsidR="00626C7D" w:rsidRPr="00525A1C" w:rsidRDefault="00626C7D" w:rsidP="00626C7D">
      <w:pPr>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 xml:space="preserve">Géhin, P. </w:t>
      </w:r>
      <w:r w:rsidRPr="00525A1C">
        <w:rPr>
          <w:rFonts w:ascii="Cambria" w:eastAsia="Calibri" w:hAnsi="Cambria" w:cs="Times New Roman"/>
          <w:b w:val="0"/>
          <w:kern w:val="0"/>
          <w:sz w:val="22"/>
          <w:lang w:eastAsia="en-US"/>
        </w:rPr>
        <w:t xml:space="preserve">(dir.), </w:t>
      </w:r>
      <w:r w:rsidRPr="00525A1C">
        <w:rPr>
          <w:rFonts w:ascii="Cambria" w:eastAsia="Calibri" w:hAnsi="Cambria" w:cs="Times New Roman"/>
          <w:b w:val="0"/>
          <w:i/>
          <w:kern w:val="0"/>
          <w:sz w:val="22"/>
          <w:lang w:eastAsia="en-US"/>
        </w:rPr>
        <w:t>Lire le manuscrit médiéval. Observer et décrire</w:t>
      </w:r>
      <w:r w:rsidRPr="00525A1C">
        <w:rPr>
          <w:rFonts w:ascii="Cambria" w:eastAsia="Calibri" w:hAnsi="Cambria" w:cs="Times New Roman"/>
          <w:b w:val="0"/>
          <w:kern w:val="0"/>
          <w:sz w:val="22"/>
          <w:lang w:eastAsia="en-US"/>
        </w:rPr>
        <w:t>, Paris, 2017.</w:t>
      </w:r>
    </w:p>
    <w:p w14:paraId="09F6E32E" w14:textId="77777777" w:rsidR="00626C7D" w:rsidRPr="00525A1C" w:rsidRDefault="00626C7D" w:rsidP="00626C7D">
      <w:pPr>
        <w:spacing w:before="120" w:after="60" w:line="240" w:lineRule="auto"/>
        <w:ind w:left="709" w:hanging="709"/>
        <w:jc w:val="both"/>
        <w:rPr>
          <w:rFonts w:ascii="Cambria" w:eastAsia="MS Mincho" w:hAnsi="Cambria" w:cs="Times New Roman"/>
          <w:b w:val="0"/>
          <w:iCs/>
          <w:color w:val="000000"/>
          <w:kern w:val="0"/>
          <w:sz w:val="22"/>
          <w:lang w:eastAsia="fr-FR"/>
        </w:rPr>
      </w:pPr>
      <w:r w:rsidRPr="00525A1C">
        <w:rPr>
          <w:rFonts w:ascii="Cambria" w:eastAsia="MS Mincho" w:hAnsi="Cambria" w:cs="Times New Roman"/>
          <w:b w:val="0"/>
          <w:iCs/>
          <w:smallCaps/>
          <w:color w:val="000000"/>
          <w:kern w:val="0"/>
          <w:sz w:val="22"/>
          <w:lang w:eastAsia="fr-FR"/>
        </w:rPr>
        <w:t>Glenisson</w:t>
      </w:r>
      <w:r w:rsidRPr="00525A1C">
        <w:rPr>
          <w:rFonts w:ascii="Cambria" w:eastAsia="MS Mincho" w:hAnsi="Cambria" w:cs="Times New Roman"/>
          <w:b w:val="0"/>
          <w:iCs/>
          <w:color w:val="000000"/>
          <w:kern w:val="0"/>
          <w:sz w:val="22"/>
          <w:lang w:eastAsia="fr-FR"/>
        </w:rPr>
        <w:t xml:space="preserve">, J. (dir.), </w:t>
      </w:r>
      <w:r w:rsidRPr="00525A1C">
        <w:rPr>
          <w:rFonts w:ascii="Cambria" w:eastAsia="MS Mincho" w:hAnsi="Cambria" w:cs="Times New Roman"/>
          <w:b w:val="0"/>
          <w:i/>
          <w:iCs/>
          <w:color w:val="000000"/>
          <w:kern w:val="0"/>
          <w:sz w:val="22"/>
          <w:lang w:eastAsia="fr-FR"/>
        </w:rPr>
        <w:t>Le livre au Moyen Age</w:t>
      </w:r>
      <w:r w:rsidRPr="00525A1C">
        <w:rPr>
          <w:rFonts w:ascii="Cambria" w:eastAsia="MS Mincho" w:hAnsi="Cambria" w:cs="Times New Roman"/>
          <w:b w:val="0"/>
          <w:iCs/>
          <w:color w:val="000000"/>
          <w:kern w:val="0"/>
          <w:sz w:val="22"/>
          <w:lang w:eastAsia="fr-FR"/>
        </w:rPr>
        <w:t>, Paris, 1988.</w:t>
      </w:r>
    </w:p>
    <w:p w14:paraId="78F2036A" w14:textId="77777777" w:rsidR="00777C8F" w:rsidRPr="00525A1C" w:rsidRDefault="00777C8F" w:rsidP="00626C7D">
      <w:pPr>
        <w:spacing w:before="120" w:after="60"/>
        <w:ind w:left="709" w:hanging="709"/>
        <w:jc w:val="both"/>
        <w:rPr>
          <w:rFonts w:ascii="Cambria" w:eastAsia="Calibri" w:hAnsi="Cambria" w:cs="Times New Roman"/>
          <w:b w:val="0"/>
          <w:smallCaps/>
          <w:kern w:val="0"/>
          <w:sz w:val="22"/>
          <w:lang w:eastAsia="en-US"/>
        </w:rPr>
      </w:pPr>
    </w:p>
    <w:p w14:paraId="1A5150C4" w14:textId="77777777" w:rsidR="00777C8F" w:rsidRPr="00525A1C" w:rsidRDefault="00777C8F" w:rsidP="00626C7D">
      <w:pPr>
        <w:spacing w:before="120" w:after="60"/>
        <w:ind w:left="709" w:hanging="709"/>
        <w:jc w:val="both"/>
        <w:rPr>
          <w:rFonts w:ascii="Cambria" w:eastAsia="Calibri" w:hAnsi="Cambria" w:cs="Times New Roman"/>
          <w:b w:val="0"/>
          <w:smallCaps/>
          <w:kern w:val="0"/>
          <w:sz w:val="22"/>
          <w:lang w:eastAsia="en-US"/>
        </w:rPr>
      </w:pPr>
    </w:p>
    <w:p w14:paraId="5F760B83" w14:textId="21D5B4CC"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Jolly</w:t>
      </w:r>
      <w:r w:rsidRPr="00525A1C">
        <w:rPr>
          <w:rFonts w:ascii="Cambria" w:eastAsia="Calibri" w:hAnsi="Cambria" w:cs="Times New Roman"/>
          <w:b w:val="0"/>
          <w:kern w:val="0"/>
          <w:sz w:val="22"/>
          <w:lang w:eastAsia="en-US"/>
        </w:rPr>
        <w:t xml:space="preserve">, C. (dir.), </w:t>
      </w:r>
      <w:r w:rsidRPr="00525A1C">
        <w:rPr>
          <w:rFonts w:ascii="Cambria" w:eastAsia="Calibri" w:hAnsi="Cambria" w:cs="Times New Roman"/>
          <w:b w:val="0"/>
          <w:i/>
          <w:kern w:val="0"/>
          <w:sz w:val="22"/>
          <w:lang w:eastAsia="en-US"/>
        </w:rPr>
        <w:t>Histoire des bibliothèques françaises</w:t>
      </w:r>
      <w:r w:rsidRPr="00525A1C">
        <w:rPr>
          <w:rFonts w:ascii="Cambria" w:eastAsia="Calibri" w:hAnsi="Cambria" w:cs="Times New Roman"/>
          <w:b w:val="0"/>
          <w:kern w:val="0"/>
          <w:sz w:val="22"/>
          <w:lang w:eastAsia="en-US"/>
        </w:rPr>
        <w:t xml:space="preserve">, vol. 1 : </w:t>
      </w:r>
      <w:r w:rsidRPr="00525A1C">
        <w:rPr>
          <w:rFonts w:ascii="Cambria" w:eastAsia="Calibri" w:hAnsi="Cambria" w:cs="Times New Roman"/>
          <w:b w:val="0"/>
          <w:i/>
          <w:kern w:val="0"/>
          <w:sz w:val="22"/>
          <w:lang w:eastAsia="en-US"/>
        </w:rPr>
        <w:t>Les bibliothèques médiévales : du VI</w:t>
      </w:r>
      <w:r w:rsidRPr="00525A1C">
        <w:rPr>
          <w:rFonts w:ascii="Cambria" w:eastAsia="Calibri" w:hAnsi="Cambria" w:cs="Times New Roman"/>
          <w:b w:val="0"/>
          <w:i/>
          <w:kern w:val="0"/>
          <w:sz w:val="22"/>
          <w:vertAlign w:val="superscript"/>
          <w:lang w:eastAsia="en-US"/>
        </w:rPr>
        <w:t>e</w:t>
      </w:r>
      <w:r w:rsidRPr="00525A1C">
        <w:rPr>
          <w:rFonts w:ascii="Cambria" w:eastAsia="Calibri" w:hAnsi="Cambria" w:cs="Times New Roman"/>
          <w:b w:val="0"/>
          <w:i/>
          <w:kern w:val="0"/>
          <w:sz w:val="22"/>
          <w:lang w:eastAsia="en-US"/>
        </w:rPr>
        <w:t xml:space="preserve"> s. à 1530</w:t>
      </w:r>
      <w:r w:rsidRPr="00525A1C">
        <w:rPr>
          <w:rFonts w:ascii="Cambria" w:eastAsia="Calibri" w:hAnsi="Cambria" w:cs="Times New Roman"/>
          <w:b w:val="0"/>
          <w:kern w:val="0"/>
          <w:sz w:val="22"/>
          <w:lang w:eastAsia="en-US"/>
        </w:rPr>
        <w:t xml:space="preserve"> (sous la dir. de </w:t>
      </w:r>
      <w:r w:rsidRPr="00525A1C">
        <w:rPr>
          <w:rFonts w:ascii="Cambria" w:eastAsia="Calibri" w:hAnsi="Cambria" w:cs="Times New Roman"/>
          <w:b w:val="0"/>
          <w:smallCaps/>
          <w:kern w:val="0"/>
          <w:sz w:val="22"/>
          <w:lang w:eastAsia="en-US"/>
        </w:rPr>
        <w:t>Vernet, A.</w:t>
      </w:r>
      <w:r w:rsidRPr="00525A1C">
        <w:rPr>
          <w:rFonts w:ascii="Cambria" w:eastAsia="Calibri" w:hAnsi="Cambria" w:cs="Times New Roman"/>
          <w:b w:val="0"/>
          <w:kern w:val="0"/>
          <w:sz w:val="22"/>
          <w:lang w:eastAsia="en-US"/>
        </w:rPr>
        <w:t xml:space="preserve">) ; vol. 2 : </w:t>
      </w:r>
      <w:r w:rsidRPr="00525A1C">
        <w:rPr>
          <w:rFonts w:ascii="Cambria" w:eastAsia="Calibri" w:hAnsi="Cambria" w:cs="Times New Roman"/>
          <w:b w:val="0"/>
          <w:i/>
          <w:kern w:val="0"/>
          <w:sz w:val="22"/>
          <w:lang w:eastAsia="en-US"/>
        </w:rPr>
        <w:t>Les bibliothèques sous l’Ancien Régime</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kern w:val="0"/>
          <w:sz w:val="22"/>
          <w:lang w:eastAsia="en-US"/>
        </w:rPr>
        <w:t>1530-1789</w:t>
      </w:r>
      <w:r w:rsidRPr="00525A1C">
        <w:rPr>
          <w:rFonts w:ascii="Cambria" w:eastAsia="Calibri" w:hAnsi="Cambria" w:cs="Times New Roman"/>
          <w:b w:val="0"/>
          <w:kern w:val="0"/>
          <w:sz w:val="22"/>
          <w:lang w:eastAsia="en-US"/>
        </w:rPr>
        <w:t xml:space="preserve"> (sous la dir. de Claude Jolly), Paris, 1989. [</w:t>
      </w:r>
      <w:r w:rsidR="0069285F" w:rsidRPr="00525A1C">
        <w:rPr>
          <w:rFonts w:ascii="Cambria" w:eastAsia="Calibri" w:hAnsi="Cambria" w:cs="Times New Roman"/>
          <w:b w:val="0"/>
          <w:i/>
          <w:kern w:val="0"/>
          <w:sz w:val="22"/>
          <w:lang w:eastAsia="en-US"/>
        </w:rPr>
        <w:t>Accessible</w:t>
      </w:r>
      <w:r w:rsidRPr="00525A1C">
        <w:rPr>
          <w:rFonts w:ascii="Cambria" w:eastAsia="Calibri" w:hAnsi="Cambria" w:cs="Times New Roman"/>
          <w:b w:val="0"/>
          <w:i/>
          <w:kern w:val="0"/>
          <w:sz w:val="22"/>
          <w:lang w:eastAsia="en-US"/>
        </w:rPr>
        <w:t xml:space="preserve"> sur Cairn</w:t>
      </w:r>
      <w:r w:rsidRPr="00525A1C">
        <w:rPr>
          <w:rFonts w:ascii="Cambria" w:eastAsia="Calibri" w:hAnsi="Cambria" w:cs="Times New Roman"/>
          <w:b w:val="0"/>
          <w:kern w:val="0"/>
          <w:sz w:val="22"/>
          <w:lang w:eastAsia="en-US"/>
        </w:rPr>
        <w:t>]</w:t>
      </w:r>
    </w:p>
    <w:p w14:paraId="4EA49C72" w14:textId="77777777" w:rsidR="00626C7D" w:rsidRPr="00525A1C" w:rsidRDefault="00626C7D" w:rsidP="00626C7D">
      <w:pPr>
        <w:spacing w:before="120" w:after="60"/>
        <w:ind w:left="709" w:hanging="709"/>
        <w:jc w:val="both"/>
        <w:rPr>
          <w:rFonts w:ascii="Cambria" w:eastAsia="Times New Roman" w:hAnsi="Cambria" w:cs="Times New Roman"/>
          <w:b w:val="0"/>
          <w:kern w:val="0"/>
          <w:sz w:val="22"/>
          <w:lang w:eastAsia="fr-FR"/>
        </w:rPr>
      </w:pPr>
      <w:r w:rsidRPr="00525A1C">
        <w:rPr>
          <w:rFonts w:ascii="Cambria" w:eastAsia="Calibri" w:hAnsi="Cambria" w:cs="Times New Roman"/>
          <w:b w:val="0"/>
          <w:smallCaps/>
          <w:kern w:val="0"/>
          <w:sz w:val="22"/>
          <w:lang w:eastAsia="en-US"/>
        </w:rPr>
        <w:t>Roudaud</w:t>
      </w:r>
      <w:r w:rsidRPr="00525A1C">
        <w:rPr>
          <w:rFonts w:ascii="Cambria" w:eastAsia="Calibri" w:hAnsi="Cambria" w:cs="Times New Roman"/>
          <w:b w:val="0"/>
          <w:kern w:val="0"/>
          <w:sz w:val="22"/>
          <w:lang w:eastAsia="en-US"/>
        </w:rPr>
        <w:t xml:space="preserve">, F., </w:t>
      </w:r>
      <w:r w:rsidRPr="00525A1C">
        <w:rPr>
          <w:rFonts w:ascii="Cambria" w:eastAsia="Calibri" w:hAnsi="Cambria" w:cs="Times New Roman"/>
          <w:b w:val="0"/>
          <w:color w:val="242424"/>
          <w:kern w:val="0"/>
          <w:sz w:val="22"/>
          <w:shd w:val="clear" w:color="auto" w:fill="FFFFFF"/>
          <w:lang w:eastAsia="en-US"/>
        </w:rPr>
        <w:t>L</w:t>
      </w:r>
      <w:r w:rsidRPr="00525A1C">
        <w:rPr>
          <w:rFonts w:ascii="Cambria" w:eastAsia="Calibri" w:hAnsi="Cambria" w:cs="Times New Roman"/>
          <w:b w:val="0"/>
          <w:i/>
          <w:iCs/>
          <w:color w:val="242424"/>
          <w:kern w:val="0"/>
          <w:sz w:val="22"/>
          <w:shd w:val="clear" w:color="auto" w:fill="FFFFFF"/>
          <w:lang w:eastAsia="en-US"/>
        </w:rPr>
        <w:t>e Livre au XVI</w:t>
      </w:r>
      <w:r w:rsidRPr="00525A1C">
        <w:rPr>
          <w:rFonts w:ascii="Cambria" w:eastAsia="Calibri" w:hAnsi="Cambria" w:cs="Times New Roman"/>
          <w:b w:val="0"/>
          <w:i/>
          <w:iCs/>
          <w:color w:val="242424"/>
          <w:kern w:val="0"/>
          <w:sz w:val="22"/>
          <w:shd w:val="clear" w:color="auto" w:fill="FFFFFF"/>
          <w:vertAlign w:val="superscript"/>
          <w:lang w:eastAsia="en-US"/>
        </w:rPr>
        <w:t>e</w:t>
      </w:r>
      <w:r w:rsidRPr="00525A1C">
        <w:rPr>
          <w:rFonts w:ascii="Cambria" w:eastAsia="Calibri" w:hAnsi="Cambria" w:cs="Times New Roman"/>
          <w:b w:val="0"/>
          <w:i/>
          <w:iCs/>
          <w:color w:val="242424"/>
          <w:kern w:val="0"/>
          <w:sz w:val="22"/>
          <w:shd w:val="clear" w:color="auto" w:fill="FFFFFF"/>
          <w:lang w:eastAsia="en-US"/>
        </w:rPr>
        <w:t> siècle</w:t>
      </w:r>
      <w:r w:rsidRPr="00525A1C">
        <w:rPr>
          <w:rFonts w:ascii="Cambria" w:eastAsia="Calibri" w:hAnsi="Cambria" w:cs="Times New Roman"/>
          <w:b w:val="0"/>
          <w:i/>
          <w:iCs/>
          <w:color w:val="242424"/>
          <w:kern w:val="0"/>
          <w:sz w:val="22"/>
          <w:bdr w:val="none" w:sz="0" w:space="0" w:color="auto" w:frame="1"/>
          <w:shd w:val="clear" w:color="auto" w:fill="FFFFFF"/>
          <w:lang w:eastAsia="en-US"/>
        </w:rPr>
        <w:t>. Éléments de bibliologie matérielle et d’histoire</w:t>
      </w:r>
      <w:r w:rsidRPr="00525A1C">
        <w:rPr>
          <w:rFonts w:ascii="Cambria" w:eastAsia="Calibri" w:hAnsi="Cambria" w:cs="Times New Roman"/>
          <w:b w:val="0"/>
          <w:color w:val="242424"/>
          <w:kern w:val="0"/>
          <w:sz w:val="22"/>
          <w:bdr w:val="none" w:sz="0" w:space="0" w:color="auto" w:frame="1"/>
          <w:shd w:val="clear" w:color="auto" w:fill="FFFFFF"/>
          <w:lang w:eastAsia="en-US"/>
        </w:rPr>
        <w:t>, Paris, 2019.</w:t>
      </w:r>
    </w:p>
    <w:p w14:paraId="1C12A4EC"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124DAD9B"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74796A52"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F30B3A4"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47F5D420"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722DC33"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244E0961"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5044DF6"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DB5B0DB"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2A3917E2"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B533093"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12BA8B45"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7E633E90"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A74A34B"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086188DD"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57B0C9E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6DCC0645"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518480F"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0CAB958"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E6A42E5"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CFCBE1E"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AF08761"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60B3DD96"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4F8F1A2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24A131F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A816EF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5E8553B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A5DBF4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EEC6EA6"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5D9E889"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3EB2957"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9DB6D85" w14:textId="7CCF37E9" w:rsidR="00F328D0" w:rsidRPr="009257A0" w:rsidRDefault="0004200B" w:rsidP="009257A0">
      <w:pPr>
        <w:spacing w:after="0" w:line="240" w:lineRule="auto"/>
        <w:jc w:val="both"/>
        <w:rPr>
          <w:rFonts w:ascii="Cambria" w:hAnsi="Cambria"/>
          <w:bCs/>
          <w:iCs/>
          <w:sz w:val="26"/>
          <w:szCs w:val="26"/>
        </w:rPr>
      </w:pPr>
      <w:r w:rsidRPr="009257A0">
        <w:rPr>
          <w:rFonts w:ascii="Cambria" w:hAnsi="Cambria"/>
          <w:iCs/>
          <w:color w:val="C00000"/>
          <w:sz w:val="26"/>
          <w:szCs w:val="26"/>
        </w:rPr>
        <w:t>UP1-C-ELP-H3012119-03</w:t>
      </w:r>
      <w:r w:rsidR="00845CC8" w:rsidRPr="009257A0">
        <w:rPr>
          <w:rFonts w:ascii="Cambria" w:hAnsi="Cambria"/>
          <w:iCs/>
          <w:color w:val="C00000"/>
          <w:sz w:val="26"/>
          <w:szCs w:val="26"/>
        </w:rPr>
        <w:t> :</w:t>
      </w:r>
      <w:r w:rsidR="009257A0" w:rsidRPr="009257A0">
        <w:rPr>
          <w:rFonts w:ascii="Cambria" w:hAnsi="Cambria"/>
          <w:bCs/>
          <w:iCs/>
          <w:color w:val="C00000"/>
          <w:sz w:val="26"/>
          <w:szCs w:val="26"/>
        </w:rPr>
        <w:t xml:space="preserve"> </w:t>
      </w:r>
      <w:r w:rsidR="00F328D0" w:rsidRPr="009257A0">
        <w:rPr>
          <w:rFonts w:ascii="Cambria" w:hAnsi="Cambria"/>
          <w:bCs/>
          <w:iCs/>
          <w:color w:val="C00000"/>
          <w:sz w:val="26"/>
          <w:szCs w:val="26"/>
        </w:rPr>
        <w:t>Approches sociales et culturelles des savoirs géographiques</w:t>
      </w:r>
    </w:p>
    <w:p w14:paraId="0F1DB7AA" w14:textId="77777777" w:rsidR="009257A0" w:rsidRDefault="004360D6" w:rsidP="00931FD4">
      <w:pPr>
        <w:spacing w:after="0" w:line="240" w:lineRule="auto"/>
        <w:ind w:left="567" w:hanging="567"/>
        <w:rPr>
          <w:rFonts w:ascii="Cambria" w:hAnsi="Cambria"/>
          <w:iCs/>
          <w:color w:val="FF0000"/>
          <w:szCs w:val="24"/>
        </w:rPr>
      </w:pPr>
      <w:r w:rsidRPr="00525A1C">
        <w:rPr>
          <w:rFonts w:ascii="Cambria" w:hAnsi="Cambria"/>
          <w:iCs/>
          <w:color w:val="FF0000"/>
          <w:szCs w:val="24"/>
        </w:rPr>
        <w:t xml:space="preserve">           </w:t>
      </w:r>
    </w:p>
    <w:p w14:paraId="32055578" w14:textId="2C09CD82" w:rsidR="004360D6" w:rsidRPr="00525A1C" w:rsidRDefault="004360D6" w:rsidP="00931FD4">
      <w:pPr>
        <w:spacing w:after="0" w:line="240" w:lineRule="auto"/>
        <w:ind w:left="567" w:hanging="567"/>
        <w:rPr>
          <w:rFonts w:ascii="Cambria" w:hAnsi="Cambria"/>
          <w:bCs/>
          <w:iCs/>
          <w:color w:val="FF0000"/>
          <w:szCs w:val="24"/>
          <w:u w:val="single"/>
        </w:rPr>
      </w:pPr>
      <w:r w:rsidRPr="00525A1C">
        <w:rPr>
          <w:rFonts w:ascii="Cambria" w:hAnsi="Cambria"/>
          <w:iCs/>
          <w:color w:val="FF0000"/>
          <w:szCs w:val="24"/>
        </w:rPr>
        <w:t xml:space="preserve">  </w:t>
      </w:r>
      <w:bookmarkStart w:id="44" w:name="_Hlk171430579"/>
      <w:r w:rsidR="00B5657E" w:rsidRPr="00525A1C">
        <w:rPr>
          <w:rFonts w:ascii="Cambria" w:hAnsi="Cambria"/>
          <w:iCs/>
          <w:color w:val="FF0000"/>
          <w:szCs w:val="24"/>
          <w:u w:val="single"/>
        </w:rPr>
        <w:t>Cet enseignement</w:t>
      </w:r>
      <w:r w:rsidRPr="00525A1C">
        <w:rPr>
          <w:rFonts w:ascii="Cambria" w:hAnsi="Cambria"/>
          <w:iCs/>
          <w:color w:val="FF0000"/>
          <w:szCs w:val="24"/>
          <w:u w:val="single"/>
        </w:rPr>
        <w:t xml:space="preserve"> se </w:t>
      </w:r>
      <w:r w:rsidR="00EC2AB4" w:rsidRPr="00525A1C">
        <w:rPr>
          <w:rFonts w:ascii="Cambria" w:hAnsi="Cambria"/>
          <w:iCs/>
          <w:color w:val="FF0000"/>
          <w:szCs w:val="24"/>
          <w:u w:val="single"/>
        </w:rPr>
        <w:t>déroulera au</w:t>
      </w:r>
      <w:r w:rsidRPr="00525A1C">
        <w:rPr>
          <w:rFonts w:ascii="Cambria" w:hAnsi="Cambria"/>
          <w:iCs/>
          <w:color w:val="FF0000"/>
          <w:szCs w:val="24"/>
          <w:u w:val="single"/>
        </w:rPr>
        <w:t xml:space="preserve"> semestre 1</w:t>
      </w:r>
    </w:p>
    <w:bookmarkEnd w:id="44"/>
    <w:p w14:paraId="11ACA162" w14:textId="77777777" w:rsidR="00AD117E" w:rsidRPr="00525A1C" w:rsidRDefault="00AD117E" w:rsidP="008D413B">
      <w:pPr>
        <w:spacing w:after="0" w:line="240" w:lineRule="auto"/>
        <w:ind w:left="567" w:hanging="567"/>
        <w:jc w:val="both"/>
        <w:rPr>
          <w:rFonts w:ascii="Cambria" w:hAnsi="Cambria"/>
          <w:iCs/>
          <w:szCs w:val="24"/>
        </w:rPr>
      </w:pPr>
    </w:p>
    <w:p w14:paraId="26B7D657" w14:textId="1C751C73" w:rsidR="00F328D0" w:rsidRPr="00525A1C" w:rsidRDefault="00AD117E" w:rsidP="00AD117E">
      <w:pPr>
        <w:spacing w:after="0" w:line="240" w:lineRule="auto"/>
        <w:ind w:left="567" w:hanging="567"/>
        <w:jc w:val="center"/>
        <w:rPr>
          <w:rFonts w:ascii="Cambria" w:hAnsi="Cambria"/>
          <w:iCs/>
          <w:sz w:val="22"/>
        </w:rPr>
      </w:pPr>
      <w:r w:rsidRPr="00525A1C">
        <w:rPr>
          <w:rFonts w:ascii="Cambria" w:hAnsi="Cambria"/>
          <w:iCs/>
          <w:sz w:val="22"/>
        </w:rPr>
        <w:t>Florence Deprest</w:t>
      </w:r>
    </w:p>
    <w:p w14:paraId="75A681BF" w14:textId="77777777" w:rsidR="00233A7A" w:rsidRPr="00525A1C" w:rsidRDefault="00233A7A" w:rsidP="00AD117E">
      <w:pPr>
        <w:spacing w:after="0" w:line="240" w:lineRule="auto"/>
        <w:ind w:left="567" w:hanging="567"/>
        <w:jc w:val="center"/>
        <w:rPr>
          <w:rFonts w:ascii="Cambria" w:hAnsi="Cambria"/>
          <w:b w:val="0"/>
          <w:iCs/>
          <w:sz w:val="22"/>
        </w:rPr>
      </w:pPr>
      <w:r w:rsidRPr="00525A1C">
        <w:rPr>
          <w:rFonts w:ascii="Cambria" w:hAnsi="Cambria"/>
          <w:b w:val="0"/>
          <w:iCs/>
          <w:sz w:val="22"/>
        </w:rPr>
        <w:t>(Mercredi 15h-18h à l’institut de Géographie)</w:t>
      </w:r>
    </w:p>
    <w:p w14:paraId="0FCC7ACB" w14:textId="77777777" w:rsidR="00F328D0" w:rsidRPr="00525A1C" w:rsidRDefault="00F328D0" w:rsidP="008D413B">
      <w:pPr>
        <w:spacing w:after="0" w:line="240" w:lineRule="auto"/>
        <w:ind w:left="567" w:hanging="567"/>
        <w:jc w:val="both"/>
        <w:rPr>
          <w:rFonts w:ascii="Cambria" w:hAnsi="Cambria"/>
          <w:b w:val="0"/>
          <w:iCs/>
          <w:sz w:val="22"/>
        </w:rPr>
      </w:pPr>
    </w:p>
    <w:p w14:paraId="328F81B5" w14:textId="77777777" w:rsidR="00D77B54" w:rsidRPr="00525A1C" w:rsidRDefault="00F328D0" w:rsidP="008D413B">
      <w:pPr>
        <w:spacing w:after="0" w:line="240" w:lineRule="auto"/>
        <w:ind w:left="567" w:hanging="567"/>
        <w:jc w:val="both"/>
        <w:rPr>
          <w:rFonts w:ascii="Cambria" w:eastAsia="Calibri" w:hAnsi="Cambria"/>
          <w:b w:val="0"/>
          <w:iCs/>
          <w:kern w:val="0"/>
          <w:sz w:val="22"/>
          <w:lang w:eastAsia="fr-FR"/>
        </w:rPr>
      </w:pPr>
      <w:r w:rsidRPr="00525A1C">
        <w:rPr>
          <w:rFonts w:ascii="Cambria" w:hAnsi="Cambria"/>
          <w:b w:val="0"/>
          <w:iCs/>
          <w:sz w:val="22"/>
        </w:rPr>
        <w:t xml:space="preserve">           La géographie, au sens académique, ne constitue qu'une partie des savoirs géographiques. Les approches sociales et culturelles de ces savoirs mettent ainsi l'accent sur la pluralité des registres de la connaissance sur l'espace et prennent en compte la diversité de leurs producteurs et usagers (explorateurs, militaires, ingénieurs, cartographes, agronomes, paysagistes, urbanistes, enseignants, experts, chercheurs, habitants...). Elles s'attachent à interroger les conditions concrètes (matérielles, politiques...) dans lesquelles ces acteurs construisent et utilisent les connaissances sur l'espace, et à examiner les circulations entre différents registres et acteurs (habitants et savants, universitaires et scolaires, militaires et scientifiques, savants et artistes, etc.). La construction du savoir géographique est donc analysée en partant d'un questionnement sur les acteurs, sur leurs réseaux et sur leurs pratiques, sur leur multiplicité et leurs contradictions. Cette perspective conduit, en retour, à renouveler la manière dont on peut écrire l'histoire et l'épistémologie de la géographie comme science et discipline universitaire, en posant notamment la question des relations entre connaissances, pratiques et contextes. Cet enseignement est conseillé aux étudiants qui s'intéressent aux approches réflexives, à l'épistémologie et l'histoire de la géographie, ainsi qu'à ceux qui envisagent de préparer les concours (CAPES, Agrégation)."</w:t>
      </w:r>
    </w:p>
    <w:p w14:paraId="466FCCED"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4A15879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36FEE65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6BD6C269"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28ED2231"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2C4588F2"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02A368E9"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51FC609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5A11CE81"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782C194E"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4ED3BB7F" w14:textId="77777777" w:rsidR="00D77B54" w:rsidRPr="00525A1C" w:rsidRDefault="00D77B54" w:rsidP="00047092">
      <w:pPr>
        <w:spacing w:after="0" w:line="240" w:lineRule="auto"/>
        <w:jc w:val="both"/>
        <w:rPr>
          <w:rFonts w:ascii="Cambria" w:eastAsia="Calibri" w:hAnsi="Cambria"/>
          <w:b w:val="0"/>
          <w:iCs/>
          <w:kern w:val="0"/>
          <w:sz w:val="22"/>
          <w:lang w:eastAsia="fr-FR"/>
        </w:rPr>
      </w:pPr>
    </w:p>
    <w:p w14:paraId="2BCCE236" w14:textId="77777777" w:rsidR="000D4381" w:rsidRPr="00525A1C" w:rsidRDefault="000D4381" w:rsidP="00047092">
      <w:pPr>
        <w:spacing w:after="0" w:line="240" w:lineRule="auto"/>
        <w:jc w:val="both"/>
        <w:rPr>
          <w:rFonts w:ascii="Cambria" w:eastAsia="Calibri" w:hAnsi="Cambria"/>
          <w:b w:val="0"/>
          <w:iCs/>
          <w:kern w:val="0"/>
          <w:sz w:val="22"/>
          <w:lang w:eastAsia="fr-FR"/>
        </w:rPr>
      </w:pPr>
    </w:p>
    <w:p w14:paraId="6E0EFABF" w14:textId="77777777" w:rsidR="007414C5" w:rsidRPr="00525A1C" w:rsidRDefault="007414C5" w:rsidP="002F74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FB65604"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10EAF32"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B63DF8A"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838AD2"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E718463"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3F0AB9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2F3DA0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001443F"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BA3F3B7"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BC96A4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FE10F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DE776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2986F4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CF2F3F4"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F85B1C7"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7020CD6"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B35D2A"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009CBA2"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2D5C23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D89ADC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DD4CD0"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D8C25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7A58530"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3F351C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95739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87F82ED"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ECEA49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AE7F56" w14:textId="77777777" w:rsidR="00EC2AB4" w:rsidRPr="00525A1C" w:rsidRDefault="00EC2AB4"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90CA48" w14:textId="77777777" w:rsidR="00EC2AB4" w:rsidRPr="00525A1C" w:rsidRDefault="00EC2AB4"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88D6E0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C1EFD6"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1AA58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C4E16F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C3146E5"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316FCF5"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0643F1D"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AD5096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9D5B8D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9257A0">
        <w:rPr>
          <w:rFonts w:ascii="Cambria" w:hAnsi="Cambria"/>
          <w:iCs/>
          <w:color w:val="C00000"/>
          <w:sz w:val="28"/>
          <w:szCs w:val="28"/>
        </w:rPr>
        <w:t>J3022715/J3022815 (083J110 et 083J212) Enseigner la géographie</w:t>
      </w:r>
      <w:r w:rsidRPr="009257A0">
        <w:rPr>
          <w:rFonts w:ascii="Cambria" w:hAnsi="Cambria"/>
          <w:iCs/>
          <w:color w:val="C00000"/>
          <w:sz w:val="22"/>
        </w:rPr>
        <w:t xml:space="preserve"> </w:t>
      </w:r>
      <w:r w:rsidRPr="00525A1C">
        <w:rPr>
          <w:rFonts w:ascii="Cambria" w:hAnsi="Cambria"/>
          <w:b w:val="0"/>
          <w:iCs/>
          <w:sz w:val="22"/>
        </w:rPr>
        <w:t>(recommandé pour les concours)</w:t>
      </w:r>
      <w:r w:rsidRPr="00525A1C">
        <w:rPr>
          <w:rFonts w:ascii="Cambria" w:hAnsi="Cambria"/>
          <w:iCs/>
          <w:sz w:val="22"/>
        </w:rPr>
        <w:t xml:space="preserve"> </w:t>
      </w:r>
    </w:p>
    <w:p w14:paraId="5721BBF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434F016" w14:textId="42A2574E"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r w:rsidRPr="00525A1C">
        <w:rPr>
          <w:rFonts w:ascii="Cambria" w:hAnsi="Cambria"/>
          <w:b w:val="0"/>
          <w:iCs/>
          <w:sz w:val="22"/>
        </w:rPr>
        <w:t>(</w:t>
      </w:r>
      <w:r w:rsidR="003D36FB" w:rsidRPr="00525A1C">
        <w:rPr>
          <w:rFonts w:ascii="Cambria" w:hAnsi="Cambria"/>
          <w:b w:val="0"/>
          <w:iCs/>
          <w:sz w:val="22"/>
        </w:rPr>
        <w:t>S’adresser</w:t>
      </w:r>
      <w:r w:rsidRPr="00525A1C">
        <w:rPr>
          <w:rFonts w:ascii="Cambria" w:hAnsi="Cambria"/>
          <w:b w:val="0"/>
          <w:iCs/>
          <w:sz w:val="22"/>
        </w:rPr>
        <w:t xml:space="preserve"> à l’UFR de Géographie – Institut de Géographie – 191 rue St Jacques 75005)</w:t>
      </w:r>
    </w:p>
    <w:p w14:paraId="3DEB5169"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9F05A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A9CA8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ECCD4CC"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30C71E5"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7A4B96"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B29AD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BEA689E"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BC58A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6A2D88A"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059EAFE"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98E95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93C8AF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2AD0AB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37FE8AB"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D0D9CB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E422C5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BAAE15C"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9480A1"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178439"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A38291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78E3665"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C99A01"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22605F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C0646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D94ED6"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DB2632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922CE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D259A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C59E6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559B2C0" w14:textId="77777777" w:rsidR="00DE41D3" w:rsidRPr="00525A1C" w:rsidRDefault="00DE41D3"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2B3C79" w14:textId="77777777" w:rsidR="00DE41D3" w:rsidRPr="00525A1C" w:rsidRDefault="00DE41D3"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BBEE28"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AC6CA5"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D0B004"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7FD3429"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C6F743"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708B48A" w14:textId="77777777" w:rsidR="002F7427" w:rsidRPr="00525A1C" w:rsidRDefault="002F7427"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402B486" w14:textId="77777777" w:rsidR="002F7427" w:rsidRPr="00525A1C" w:rsidRDefault="002F7427"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6D460D5"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939170"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43F4929"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E66AB6"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498802A"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979A001"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9FC0A8C"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52D81F1"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DDEAF4E"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2F7F204"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0C6382"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526D30"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E4CC61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3C5AE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06BE45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F78D561"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B7BBD71"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3CDBC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195417"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059CA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2FEAFE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7809E2"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45582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068155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ED2E9E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27179E"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53585E"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50A168"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17F3B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664646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59DA8DF" w14:textId="77777777" w:rsidR="007506F5" w:rsidRPr="00525A1C" w:rsidRDefault="007506F5" w:rsidP="009109FD">
      <w:pPr>
        <w:tabs>
          <w:tab w:val="left" w:pos="6521"/>
        </w:tabs>
        <w:suppressAutoHyphens/>
        <w:spacing w:after="0" w:line="240" w:lineRule="auto"/>
        <w:jc w:val="both"/>
        <w:textAlignment w:val="baseline"/>
        <w:rPr>
          <w:rFonts w:ascii="Cambria" w:eastAsia="Times New Roman" w:hAnsi="Cambria" w:cs="Times New Roman"/>
          <w:iCs/>
          <w:kern w:val="0"/>
          <w:sz w:val="22"/>
          <w:lang w:eastAsia="fr-FR"/>
        </w:rPr>
      </w:pPr>
    </w:p>
    <w:p w14:paraId="76C72946" w14:textId="1B54E942" w:rsidR="00EC2AB4" w:rsidRPr="007E4C39" w:rsidRDefault="0018632A" w:rsidP="0018632A">
      <w:pPr>
        <w:tabs>
          <w:tab w:val="left" w:pos="6521"/>
        </w:tabs>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E4C39">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International </w:t>
      </w:r>
    </w:p>
    <w:p w14:paraId="20557B27" w14:textId="77777777" w:rsidR="00C00433" w:rsidRPr="00525A1C" w:rsidRDefault="00C00433" w:rsidP="004920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6251F3" w14:textId="77777777" w:rsidR="004E41D7" w:rsidRPr="007E4C39"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7E4C39">
        <w:rPr>
          <w:rFonts w:ascii="Cambria" w:hAnsi="Cambria"/>
          <w:iCs/>
          <w:color w:val="C00000"/>
          <w:sz w:val="28"/>
          <w:szCs w:val="28"/>
        </w:rPr>
        <w:t>J302411</w:t>
      </w:r>
      <w:r w:rsidR="00B71EF9" w:rsidRPr="007E4C39">
        <w:rPr>
          <w:rFonts w:ascii="Cambria" w:hAnsi="Cambria"/>
          <w:iCs/>
          <w:color w:val="C00000"/>
          <w:sz w:val="28"/>
          <w:szCs w:val="28"/>
        </w:rPr>
        <w:t>9</w:t>
      </w:r>
      <w:r w:rsidRPr="007E4C39">
        <w:rPr>
          <w:rFonts w:ascii="Cambria" w:hAnsi="Cambria"/>
          <w:iCs/>
          <w:color w:val="C00000"/>
          <w:sz w:val="28"/>
          <w:szCs w:val="28"/>
        </w:rPr>
        <w:t>/J302421</w:t>
      </w:r>
      <w:r w:rsidR="00B71EF9" w:rsidRPr="007E4C39">
        <w:rPr>
          <w:rFonts w:ascii="Cambria" w:hAnsi="Cambria"/>
          <w:iCs/>
          <w:color w:val="C00000"/>
          <w:sz w:val="28"/>
          <w:szCs w:val="28"/>
        </w:rPr>
        <w:t>9</w:t>
      </w:r>
      <w:r w:rsidRPr="007E4C39">
        <w:rPr>
          <w:rFonts w:ascii="Cambria" w:hAnsi="Cambria"/>
          <w:iCs/>
          <w:color w:val="C00000"/>
          <w:sz w:val="28"/>
          <w:szCs w:val="28"/>
        </w:rPr>
        <w:t xml:space="preserve"> : Mondialisations </w:t>
      </w:r>
    </w:p>
    <w:p w14:paraId="5B9DB7E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745AC49" w14:textId="77777777" w:rsidR="00F534EB" w:rsidRPr="00525A1C" w:rsidRDefault="00F534EB" w:rsidP="00F534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p>
    <w:p w14:paraId="5525E0B0" w14:textId="5CD97763" w:rsidR="00F534EB" w:rsidRPr="00525A1C" w:rsidRDefault="00993FC3" w:rsidP="00993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Cs/>
          <w:iCs/>
          <w:sz w:val="22"/>
        </w:rPr>
      </w:pPr>
      <w:r w:rsidRPr="00525A1C">
        <w:rPr>
          <w:rFonts w:ascii="Cambria" w:hAnsi="Cambria"/>
          <w:bCs/>
          <w:iCs/>
          <w:sz w:val="22"/>
        </w:rPr>
        <w:t>Nicolas Vaicbourdt</w:t>
      </w:r>
    </w:p>
    <w:p w14:paraId="0064A831" w14:textId="77777777" w:rsidR="00993FC3" w:rsidRPr="00525A1C" w:rsidRDefault="00993FC3" w:rsidP="00993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Cs/>
          <w:iCs/>
          <w:sz w:val="22"/>
        </w:rPr>
      </w:pPr>
    </w:p>
    <w:p w14:paraId="29299A1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Cet enseignement original dans son approche se propose d’examiner l’interaction constante entre les processus de construction nationale et d’internationalisation à l’époque contemporaine.</w:t>
      </w:r>
    </w:p>
    <w:p w14:paraId="3C08B87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Le premier semestre, intitulé « Mondialisations, conflits et identités, XIX</w:t>
      </w:r>
      <w:r w:rsidRPr="00525A1C">
        <w:rPr>
          <w:rFonts w:ascii="Cambria" w:hAnsi="Cambria"/>
          <w:b w:val="0"/>
          <w:iCs/>
          <w:sz w:val="22"/>
          <w:vertAlign w:val="superscript"/>
        </w:rPr>
        <w:t>e</w:t>
      </w:r>
      <w:r w:rsidRPr="00525A1C">
        <w:rPr>
          <w:rFonts w:ascii="Cambria" w:hAnsi="Cambria"/>
          <w:b w:val="0"/>
          <w:iCs/>
          <w:sz w:val="22"/>
        </w:rPr>
        <w:t>-XX</w:t>
      </w:r>
      <w:r w:rsidRPr="00525A1C">
        <w:rPr>
          <w:rFonts w:ascii="Cambria" w:hAnsi="Cambria"/>
          <w:b w:val="0"/>
          <w:iCs/>
          <w:sz w:val="22"/>
          <w:vertAlign w:val="superscript"/>
        </w:rPr>
        <w:t>e</w:t>
      </w:r>
      <w:r w:rsidRPr="00525A1C">
        <w:rPr>
          <w:rFonts w:ascii="Cambria" w:hAnsi="Cambria"/>
          <w:b w:val="0"/>
          <w:iCs/>
          <w:sz w:val="22"/>
        </w:rPr>
        <w:t xml:space="preserve"> siècles », sera consacré à l’étude des logiques de puissance et au poids des conflits en tant que vecteurs des multiples processus de mondialisation à la fois en terme politique, économique, social et culturel </w:t>
      </w:r>
    </w:p>
    <w:p w14:paraId="3598DCAF"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bCs/>
          <w:iCs/>
          <w:sz w:val="22"/>
        </w:rPr>
      </w:pPr>
      <w:r w:rsidRPr="00525A1C">
        <w:rPr>
          <w:rFonts w:ascii="Cambria" w:hAnsi="Cambria"/>
          <w:b w:val="0"/>
          <w:bCs/>
          <w:iCs/>
          <w:sz w:val="22"/>
        </w:rPr>
        <w:t>Le second semestre intitulé « Mondialisation, internationalisation et développement des échanges depuis le XIX</w:t>
      </w:r>
      <w:r w:rsidRPr="00525A1C">
        <w:rPr>
          <w:rFonts w:ascii="Cambria" w:hAnsi="Cambria"/>
          <w:b w:val="0"/>
          <w:bCs/>
          <w:iCs/>
          <w:sz w:val="22"/>
          <w:vertAlign w:val="superscript"/>
        </w:rPr>
        <w:t>e</w:t>
      </w:r>
      <w:r w:rsidRPr="00525A1C">
        <w:rPr>
          <w:rFonts w:ascii="Cambria" w:hAnsi="Cambria"/>
          <w:b w:val="0"/>
          <w:bCs/>
          <w:iCs/>
          <w:sz w:val="22"/>
        </w:rPr>
        <w:t xml:space="preserve"> siècle : hommes, produits, capitaux » s’inscrira dans</w:t>
      </w:r>
      <w:r w:rsidRPr="00525A1C">
        <w:rPr>
          <w:rFonts w:ascii="Cambria" w:hAnsi="Cambria"/>
          <w:b w:val="0"/>
          <w:iCs/>
          <w:sz w:val="22"/>
        </w:rPr>
        <w:t xml:space="preserve"> la suite et en complément du cours du premier semestre. Ce cours adopte une perspective mondiale pour étudier l’évolution des échanges qui contribuent à créer un marché international puis mondialisé du début du XIX</w:t>
      </w:r>
      <w:r w:rsidRPr="00525A1C">
        <w:rPr>
          <w:rFonts w:ascii="Cambria" w:hAnsi="Cambria"/>
          <w:b w:val="0"/>
          <w:iCs/>
          <w:sz w:val="22"/>
          <w:vertAlign w:val="superscript"/>
        </w:rPr>
        <w:t>e</w:t>
      </w:r>
      <w:r w:rsidRPr="00525A1C">
        <w:rPr>
          <w:rFonts w:ascii="Cambria" w:hAnsi="Cambria"/>
          <w:b w:val="0"/>
          <w:iCs/>
          <w:sz w:val="22"/>
        </w:rPr>
        <w:t xml:space="preserve"> siècle à la fin du XX</w:t>
      </w:r>
      <w:r w:rsidRPr="00525A1C">
        <w:rPr>
          <w:rFonts w:ascii="Cambria" w:hAnsi="Cambria"/>
          <w:b w:val="0"/>
          <w:iCs/>
          <w:sz w:val="22"/>
          <w:vertAlign w:val="superscript"/>
        </w:rPr>
        <w:t>e</w:t>
      </w:r>
      <w:r w:rsidRPr="00525A1C">
        <w:rPr>
          <w:rFonts w:ascii="Cambria" w:hAnsi="Cambria"/>
          <w:b w:val="0"/>
          <w:iCs/>
          <w:sz w:val="22"/>
        </w:rPr>
        <w:t xml:space="preserve"> siècle. Les cours généralistes et chronologiques sont illustrés par des études concrètes des échanges de biens, de capitaux, et des mobilités humaines qui ont lieu entre les différentes régions du monde.</w:t>
      </w:r>
    </w:p>
    <w:p w14:paraId="4456F54C"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Quatre spécialistes animeront cet enseignement qui se veut résolument transversal et qui vise à donner aux étudiants une culture générale sur les différents thèmes dans une perspective globale.</w:t>
      </w:r>
    </w:p>
    <w:p w14:paraId="570D48A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3A881DD"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28ABD4C"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iCs/>
          <w:sz w:val="22"/>
        </w:rPr>
        <w:t>Bibliographie conseillée :</w:t>
      </w:r>
    </w:p>
    <w:p w14:paraId="7F8CE76B"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B96F9C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Alya Aglan, Robert Frank (dir.), 1937-1947. La guerre monde, tomes 1 et 2, Paris, Folio, 2015.</w:t>
      </w:r>
    </w:p>
    <w:p w14:paraId="49F8C4D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Chris A. Bayly, Naissance du monde moderne 1780-1914, Paris, Editions de l’Atelier/ Le Monde diplomatique, 2007.</w:t>
      </w:r>
    </w:p>
    <w:p w14:paraId="67A3865A"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Nayan Chanda, Au commencement était la mondialisation : La grande saga des aventuriers, missionnaires, soldats et marchands, CNRS éditions, Paris, 2010.</w:t>
      </w:r>
    </w:p>
    <w:p w14:paraId="07661147"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Eric Hobsbawn, L’ère des empires 1875-1914, Paris, Fayard, 1989 ; L’âge des extrêmes. Le court XXe siècle, Bruxelles, Complexe / Le Monde diplomatique, 2003.</w:t>
      </w:r>
    </w:p>
    <w:p w14:paraId="71B1777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lang w:bidi="x-none"/>
        </w:rPr>
      </w:pPr>
      <w:r w:rsidRPr="00525A1C">
        <w:rPr>
          <w:rFonts w:ascii="Cambria" w:hAnsi="Cambria"/>
          <w:b w:val="0"/>
          <w:iCs/>
          <w:sz w:val="22"/>
          <w:lang w:bidi="x-none"/>
        </w:rPr>
        <w:t>Élisabeth du Réau, L’idée d’Europe au XX</w:t>
      </w:r>
      <w:r w:rsidRPr="00525A1C">
        <w:rPr>
          <w:rFonts w:ascii="Cambria" w:hAnsi="Cambria"/>
          <w:b w:val="0"/>
          <w:iCs/>
          <w:sz w:val="22"/>
          <w:vertAlign w:val="superscript"/>
          <w:lang w:bidi="x-none"/>
        </w:rPr>
        <w:t>e</w:t>
      </w:r>
      <w:r w:rsidRPr="00525A1C">
        <w:rPr>
          <w:rFonts w:ascii="Cambria" w:hAnsi="Cambria"/>
          <w:b w:val="0"/>
          <w:iCs/>
          <w:sz w:val="22"/>
          <w:lang w:bidi="x-none"/>
        </w:rPr>
        <w:t xml:space="preserve"> siècle : des mythes aux réalités, Bruxelles, Complexe, 2001.</w:t>
      </w:r>
    </w:p>
    <w:p w14:paraId="750290AD" w14:textId="77777777" w:rsidR="009A41B5" w:rsidRPr="00525A1C" w:rsidRDefault="009A41B5"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3662573" w14:textId="77777777" w:rsidR="009A41B5" w:rsidRPr="00525A1C" w:rsidRDefault="009A41B5"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4092DA" w14:textId="7E7541B1"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Régis Bénichi, Histoire de la mondialisation, Paris, Vuiber, 2008.</w:t>
      </w:r>
    </w:p>
    <w:p w14:paraId="084E9CD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lang w:val="en-US"/>
        </w:rPr>
      </w:pPr>
      <w:r w:rsidRPr="00525A1C">
        <w:rPr>
          <w:rFonts w:ascii="Cambria" w:hAnsi="Cambria"/>
          <w:b w:val="0"/>
          <w:iCs/>
          <w:sz w:val="22"/>
          <w:lang w:val="en-US"/>
        </w:rPr>
        <w:t>Catherine Schenk, International economic relations since 1945, Londres et New York, Routlege, 2011.</w:t>
      </w:r>
    </w:p>
    <w:p w14:paraId="4AE30625"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Paul Bairoch, Mythes et paradoxes de l'histoire économique, Paris, La Découverte, 1999.</w:t>
      </w:r>
    </w:p>
    <w:p w14:paraId="026F9BD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Charles Kindleberger, Histoire mondiale de la spéculation financière, Hendaye, Valor éditions, 2004. </w:t>
      </w:r>
    </w:p>
    <w:p w14:paraId="0EB9B417"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Paul Krugman, Pourquoi les crises reviennent toujours, Paris, Point économie, 2012.</w:t>
      </w:r>
    </w:p>
    <w:p w14:paraId="053E7FF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Kenneth Pomeranz, Une grande divergence, La Chine, l’Europe et la construction de l’économie mondiale, Albin Michel, Paris, 2010.</w:t>
      </w:r>
    </w:p>
    <w:p w14:paraId="49BF2A20"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Patrick Verley, L’échelle du monde, Essai sur l’industrialisation de l’Occident, Gallimard, Paris, 2013. </w:t>
      </w:r>
    </w:p>
    <w:p w14:paraId="45BFE4D7"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DBAF66D"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88CAA2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767C1FB"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28975AE"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E74503A"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2F36ADDE"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FB8ED98"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47FD927"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7BA8D7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AD15E46"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2D1A9A0B"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094601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736AF11"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7E6E3E2"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FC14498"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8612AF2" w14:textId="77777777" w:rsidR="000645C7" w:rsidRPr="00525A1C" w:rsidRDefault="000645C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5ECEE14"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D765A6B" w14:textId="77777777" w:rsidR="00797FF0" w:rsidRPr="007E4C39" w:rsidRDefault="00797FF0" w:rsidP="00797FF0">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7E4C39">
        <w:rPr>
          <w:rFonts w:ascii="Cambria" w:eastAsia="Times New Roman" w:hAnsi="Cambria" w:cs="Times New Roman"/>
          <w:iCs/>
          <w:color w:val="C00000"/>
          <w:kern w:val="0"/>
          <w:sz w:val="28"/>
          <w:szCs w:val="28"/>
          <w:lang w:eastAsia="fr-FR"/>
        </w:rPr>
        <w:t>J302431</w:t>
      </w:r>
      <w:r w:rsidR="00B71EF9" w:rsidRPr="007E4C39">
        <w:rPr>
          <w:rFonts w:ascii="Cambria" w:eastAsia="Times New Roman" w:hAnsi="Cambria" w:cs="Times New Roman"/>
          <w:iCs/>
          <w:color w:val="C00000"/>
          <w:kern w:val="0"/>
          <w:sz w:val="28"/>
          <w:szCs w:val="28"/>
          <w:lang w:eastAsia="fr-FR"/>
        </w:rPr>
        <w:t>9</w:t>
      </w:r>
      <w:r w:rsidRPr="007E4C39">
        <w:rPr>
          <w:rFonts w:ascii="Cambria" w:eastAsia="Times New Roman" w:hAnsi="Cambria" w:cs="Times New Roman"/>
          <w:iCs/>
          <w:color w:val="C00000"/>
          <w:kern w:val="0"/>
          <w:sz w:val="28"/>
          <w:szCs w:val="28"/>
          <w:lang w:eastAsia="fr-FR"/>
        </w:rPr>
        <w:t>/J302441</w:t>
      </w:r>
      <w:r w:rsidR="00B71EF9" w:rsidRPr="007E4C39">
        <w:rPr>
          <w:rFonts w:ascii="Cambria" w:eastAsia="Times New Roman" w:hAnsi="Cambria" w:cs="Times New Roman"/>
          <w:iCs/>
          <w:color w:val="C00000"/>
          <w:kern w:val="0"/>
          <w:sz w:val="28"/>
          <w:szCs w:val="28"/>
          <w:lang w:eastAsia="fr-FR"/>
        </w:rPr>
        <w:t>9</w:t>
      </w:r>
      <w:r w:rsidRPr="007E4C39">
        <w:rPr>
          <w:rFonts w:ascii="Cambria" w:eastAsia="Times New Roman" w:hAnsi="Cambria" w:cs="Times New Roman"/>
          <w:iCs/>
          <w:color w:val="C00000"/>
          <w:kern w:val="0"/>
          <w:sz w:val="28"/>
          <w:szCs w:val="28"/>
          <w:lang w:eastAsia="fr-FR"/>
        </w:rPr>
        <w:t> : Histoire contemporaine en langue anglaise</w:t>
      </w:r>
    </w:p>
    <w:p w14:paraId="50779CF4" w14:textId="77777777" w:rsidR="0016742D" w:rsidRPr="00525A1C" w:rsidRDefault="0016742D" w:rsidP="00433E2A">
      <w:pPr>
        <w:keepNext/>
        <w:spacing w:after="0" w:line="240" w:lineRule="auto"/>
        <w:jc w:val="both"/>
        <w:outlineLvl w:val="0"/>
        <w:rPr>
          <w:rFonts w:ascii="Cambria" w:hAnsi="Cambria"/>
          <w:b w:val="0"/>
          <w:iCs/>
          <w:sz w:val="22"/>
        </w:rPr>
      </w:pPr>
    </w:p>
    <w:p w14:paraId="17CD0D91" w14:textId="0312A445" w:rsidR="00123DA6" w:rsidRPr="00525A1C" w:rsidRDefault="00C920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 xml:space="preserve">Christina Wu/ </w:t>
      </w:r>
      <w:r w:rsidR="00A3729D" w:rsidRPr="00525A1C">
        <w:rPr>
          <w:rFonts w:ascii="Cambria" w:hAnsi="Cambria"/>
          <w:iCs/>
          <w:sz w:val="22"/>
        </w:rPr>
        <w:t>Nicolas Vaicbourdt</w:t>
      </w:r>
    </w:p>
    <w:p w14:paraId="597DC975" w14:textId="77777777" w:rsidR="00123DA6" w:rsidRPr="00525A1C" w:rsidRDefault="00123DA6" w:rsidP="007135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B71E42" w:themeColor="accent1"/>
          <w:sz w:val="22"/>
        </w:rPr>
      </w:pPr>
    </w:p>
    <w:p w14:paraId="75C044C0" w14:textId="4229BD02" w:rsidR="00C92074" w:rsidRPr="007E4C39" w:rsidRDefault="00C92074" w:rsidP="00C92074">
      <w:pPr>
        <w:rPr>
          <w:rFonts w:ascii="Cambria" w:hAnsi="Cambria"/>
          <w:color w:val="C00000"/>
          <w:sz w:val="22"/>
        </w:rPr>
      </w:pPr>
      <w:r w:rsidRPr="007E4C39">
        <w:rPr>
          <w:rFonts w:ascii="Cambria" w:hAnsi="Cambria"/>
          <w:color w:val="C00000"/>
          <w:sz w:val="22"/>
          <w:u w:val="single"/>
        </w:rPr>
        <w:t>Sujet du cours</w:t>
      </w:r>
      <w:r w:rsidR="007E4C39" w:rsidRPr="007E4C39">
        <w:rPr>
          <w:rFonts w:ascii="Cambria" w:hAnsi="Cambria"/>
          <w:color w:val="C00000"/>
          <w:sz w:val="22"/>
          <w:u w:val="single"/>
        </w:rPr>
        <w:t xml:space="preserve"> S</w:t>
      </w:r>
      <w:r w:rsidRPr="007E4C39">
        <w:rPr>
          <w:rFonts w:ascii="Cambria" w:hAnsi="Cambria"/>
          <w:color w:val="C00000"/>
          <w:sz w:val="22"/>
          <w:u w:val="single"/>
        </w:rPr>
        <w:t>1</w:t>
      </w:r>
      <w:r w:rsidRPr="007E4C39">
        <w:rPr>
          <w:rFonts w:ascii="Cambria" w:hAnsi="Cambria"/>
          <w:color w:val="C00000"/>
          <w:sz w:val="22"/>
        </w:rPr>
        <w:t xml:space="preserve"> : </w:t>
      </w:r>
      <w:r w:rsidRPr="007E4C39">
        <w:rPr>
          <w:rFonts w:ascii="Cambria" w:hAnsi="Cambria"/>
          <w:color w:val="C00000"/>
          <w:sz w:val="22"/>
          <w:lang w:val="en-US"/>
        </w:rPr>
        <w:t xml:space="preserve">From Empire to (People’s) </w:t>
      </w:r>
      <w:r w:rsidR="007E4C39" w:rsidRPr="007E4C39">
        <w:rPr>
          <w:rFonts w:ascii="Cambria" w:hAnsi="Cambria"/>
          <w:color w:val="C00000"/>
          <w:sz w:val="22"/>
          <w:lang w:val="en-US"/>
        </w:rPr>
        <w:t>Republic :</w:t>
      </w:r>
      <w:r w:rsidRPr="007E4C39">
        <w:rPr>
          <w:rFonts w:ascii="Cambria" w:hAnsi="Cambria"/>
          <w:color w:val="C00000"/>
          <w:sz w:val="22"/>
          <w:lang w:val="en-US"/>
        </w:rPr>
        <w:t xml:space="preserve"> An Introduction to Modern China</w:t>
      </w:r>
    </w:p>
    <w:p w14:paraId="6C1A7082" w14:textId="77777777" w:rsidR="00C92074" w:rsidRPr="007E4C39" w:rsidRDefault="00C92074" w:rsidP="00C92074">
      <w:pPr>
        <w:jc w:val="both"/>
        <w:rPr>
          <w:rFonts w:ascii="Cambria" w:hAnsi="Cambria" w:cs="Calibri"/>
          <w:b w:val="0"/>
          <w:bCs/>
          <w:color w:val="000000" w:themeColor="text1"/>
          <w:sz w:val="22"/>
          <w:lang w:val="en-GB"/>
        </w:rPr>
      </w:pPr>
      <w:r w:rsidRPr="007E4C39">
        <w:rPr>
          <w:rFonts w:ascii="Cambria" w:hAnsi="Cambria" w:cs="Calibri"/>
          <w:b w:val="0"/>
          <w:bCs/>
          <w:color w:val="000000" w:themeColor="text1"/>
          <w:sz w:val="22"/>
          <w:lang w:val="en-GB"/>
        </w:rPr>
        <w:t>This course offers students an introduction to the history of modern China. Between the middle of the 19</w:t>
      </w:r>
      <w:r w:rsidRPr="007E4C39">
        <w:rPr>
          <w:rFonts w:ascii="Cambria" w:hAnsi="Cambria" w:cs="Calibri"/>
          <w:b w:val="0"/>
          <w:bCs/>
          <w:color w:val="000000" w:themeColor="text1"/>
          <w:sz w:val="22"/>
          <w:vertAlign w:val="superscript"/>
          <w:lang w:val="en-GB"/>
        </w:rPr>
        <w:t>th</w:t>
      </w:r>
      <w:r w:rsidRPr="007E4C39">
        <w:rPr>
          <w:rFonts w:ascii="Cambria" w:hAnsi="Cambria" w:cs="Calibri"/>
          <w:b w:val="0"/>
          <w:bCs/>
          <w:color w:val="000000" w:themeColor="text1"/>
          <w:sz w:val="22"/>
          <w:lang w:val="en-GB"/>
        </w:rPr>
        <w:t xml:space="preserve"> century and the end of the 20</w:t>
      </w:r>
      <w:r w:rsidRPr="007E4C39">
        <w:rPr>
          <w:rFonts w:ascii="Cambria" w:hAnsi="Cambria" w:cs="Calibri"/>
          <w:b w:val="0"/>
          <w:bCs/>
          <w:color w:val="000000" w:themeColor="text1"/>
          <w:sz w:val="22"/>
          <w:vertAlign w:val="superscript"/>
          <w:lang w:val="en-GB"/>
        </w:rPr>
        <w:t>th</w:t>
      </w:r>
      <w:r w:rsidRPr="007E4C39">
        <w:rPr>
          <w:rFonts w:ascii="Cambria" w:hAnsi="Cambria" w:cs="Calibri"/>
          <w:b w:val="0"/>
          <w:bCs/>
          <w:color w:val="000000" w:themeColor="text1"/>
          <w:sz w:val="22"/>
          <w:lang w:val="en-GB"/>
        </w:rPr>
        <w:t>, China was transformed by a series of dramatic political, economic, social, and cultural changes which swept across the region. It was an era of tumultuous political change which witnessed the fall of China’s last dynasty – the Qing. It was also a time when bold new ideologies seized the imagination of intellectuals and revolutionaries, leading to the birth of “Asia’s first Republic” after the 1911 Revolution, as well as the establishment of the People’s Republic of China in 1949 after a long and bloody civil war. In this course, we seek to study and to reflect on the different processes of historical transformation in China during this period. To do so, this course focuses on the major themes and key historical developments in China, whilst paying close attention to recent historiographical approaches and insights from transnational, imperial, and connected histories. In this process, this course seeks to equip students with both the necessary conceptual tools and contextual knowledge to understand China’s modern history today.</w:t>
      </w:r>
    </w:p>
    <w:p w14:paraId="4D5B27AF" w14:textId="77777777" w:rsidR="00C92074" w:rsidRPr="007E4C39" w:rsidRDefault="00C92074" w:rsidP="00C92074">
      <w:pPr>
        <w:rPr>
          <w:rFonts w:ascii="Cambria" w:hAnsi="Cambria" w:cs="Calibri"/>
          <w:b w:val="0"/>
          <w:bCs/>
          <w:color w:val="000000" w:themeColor="text1"/>
          <w:sz w:val="22"/>
          <w:lang w:val="en-US"/>
        </w:rPr>
      </w:pPr>
    </w:p>
    <w:p w14:paraId="64CE0D94" w14:textId="5644BE2E" w:rsidR="00C92074" w:rsidRPr="007E4C39" w:rsidRDefault="00C92074" w:rsidP="00C92074">
      <w:pPr>
        <w:rPr>
          <w:rFonts w:ascii="Cambria" w:hAnsi="Cambria" w:cs="Calibri"/>
          <w:color w:val="000000" w:themeColor="text1"/>
          <w:sz w:val="22"/>
        </w:rPr>
      </w:pPr>
      <w:r w:rsidRPr="007E4C39">
        <w:rPr>
          <w:rFonts w:ascii="Cambria" w:hAnsi="Cambria" w:cs="Calibri"/>
          <w:color w:val="000000" w:themeColor="text1"/>
          <w:sz w:val="22"/>
        </w:rPr>
        <w:t>Selected Bibliography:</w:t>
      </w:r>
    </w:p>
    <w:p w14:paraId="4FEBC480"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DIKOTTER, F., </w:t>
      </w:r>
      <w:r w:rsidRPr="007E4C39">
        <w:rPr>
          <w:rFonts w:ascii="Cambria" w:hAnsi="Cambria" w:cs="Calibri"/>
          <w:b w:val="0"/>
          <w:bCs/>
          <w:i/>
          <w:color w:val="000000" w:themeColor="text1"/>
          <w:sz w:val="22"/>
          <w:lang w:val="en-US"/>
        </w:rPr>
        <w:t>The Age of Openness: China Before Mao</w:t>
      </w:r>
      <w:r w:rsidRPr="007E4C39">
        <w:rPr>
          <w:rFonts w:ascii="Cambria" w:hAnsi="Cambria" w:cs="Calibri"/>
          <w:b w:val="0"/>
          <w:bCs/>
          <w:color w:val="000000" w:themeColor="text1"/>
          <w:sz w:val="22"/>
          <w:lang w:val="en-US"/>
        </w:rPr>
        <w:t xml:space="preserve"> (University of California Press, 2008)</w:t>
      </w:r>
    </w:p>
    <w:p w14:paraId="22DE4542"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FAIRBANK, J. and LIU, Kwang-Ching, </w:t>
      </w:r>
      <w:r w:rsidRPr="007E4C39">
        <w:rPr>
          <w:rFonts w:ascii="Cambria" w:hAnsi="Cambria" w:cs="Calibri"/>
          <w:b w:val="0"/>
          <w:bCs/>
          <w:i/>
          <w:color w:val="000000" w:themeColor="text1"/>
          <w:sz w:val="22"/>
          <w:lang w:val="en-US"/>
        </w:rPr>
        <w:t xml:space="preserve">The Cambridge History of China </w:t>
      </w:r>
      <w:r w:rsidRPr="007E4C39">
        <w:rPr>
          <w:rFonts w:ascii="Cambria" w:hAnsi="Cambria" w:cs="Calibri"/>
          <w:b w:val="0"/>
          <w:bCs/>
          <w:color w:val="000000" w:themeColor="text1"/>
          <w:sz w:val="22"/>
          <w:lang w:val="en-US"/>
        </w:rPr>
        <w:t>(Selected Volumes)</w:t>
      </w:r>
    </w:p>
    <w:p w14:paraId="4413B7E3"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FAIRBANK, J. and GOLDMAN, M, </w:t>
      </w:r>
      <w:r w:rsidRPr="007E4C39">
        <w:rPr>
          <w:rFonts w:ascii="Cambria" w:hAnsi="Cambria" w:cs="Calibri"/>
          <w:b w:val="0"/>
          <w:bCs/>
          <w:i/>
          <w:color w:val="000000" w:themeColor="text1"/>
          <w:sz w:val="22"/>
          <w:lang w:val="en-US"/>
        </w:rPr>
        <w:t xml:space="preserve">China: A New History </w:t>
      </w:r>
      <w:r w:rsidRPr="007E4C39">
        <w:rPr>
          <w:rFonts w:ascii="Cambria" w:hAnsi="Cambria" w:cs="Calibri"/>
          <w:b w:val="0"/>
          <w:bCs/>
          <w:color w:val="000000" w:themeColor="text1"/>
          <w:sz w:val="22"/>
          <w:lang w:val="en-US"/>
        </w:rPr>
        <w:t>(Cambridge, Mass.: Harvard University Press, 2006)</w:t>
      </w:r>
    </w:p>
    <w:p w14:paraId="4382612C"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MITTER, R., </w:t>
      </w:r>
      <w:r w:rsidRPr="007E4C39">
        <w:rPr>
          <w:rFonts w:ascii="Cambria" w:hAnsi="Cambria" w:cs="Calibri"/>
          <w:b w:val="0"/>
          <w:bCs/>
          <w:i/>
          <w:color w:val="000000" w:themeColor="text1"/>
          <w:sz w:val="22"/>
          <w:lang w:val="en-US"/>
        </w:rPr>
        <w:t>Modern China. A Very Short Introduction</w:t>
      </w:r>
      <w:r w:rsidRPr="007E4C39">
        <w:rPr>
          <w:rFonts w:ascii="Cambria" w:hAnsi="Cambria" w:cs="Calibri"/>
          <w:b w:val="0"/>
          <w:bCs/>
          <w:color w:val="000000" w:themeColor="text1"/>
          <w:sz w:val="22"/>
          <w:lang w:val="en-US"/>
        </w:rPr>
        <w:t xml:space="preserve"> (Oxford: Oxford University Press, 2008)</w:t>
      </w:r>
    </w:p>
    <w:p w14:paraId="7BD6A96D"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SCHOPPA, R.K., </w:t>
      </w:r>
      <w:r w:rsidRPr="007E4C39">
        <w:rPr>
          <w:rFonts w:ascii="Cambria" w:hAnsi="Cambria" w:cs="Calibri"/>
          <w:b w:val="0"/>
          <w:bCs/>
          <w:i/>
          <w:color w:val="000000" w:themeColor="text1"/>
          <w:sz w:val="22"/>
          <w:lang w:val="en-US"/>
        </w:rPr>
        <w:t xml:space="preserve">Twentieth Century China: A History in Documents </w:t>
      </w:r>
      <w:r w:rsidRPr="007E4C39">
        <w:rPr>
          <w:rFonts w:ascii="Cambria" w:hAnsi="Cambria" w:cs="Calibri"/>
          <w:b w:val="0"/>
          <w:bCs/>
          <w:color w:val="000000" w:themeColor="text1"/>
          <w:sz w:val="22"/>
          <w:lang w:val="en-US"/>
        </w:rPr>
        <w:t>(Oxford: Oxford University Press, 2004)</w:t>
      </w:r>
    </w:p>
    <w:p w14:paraId="1CE6E830" w14:textId="77777777" w:rsidR="00C92074" w:rsidRPr="007E4C39" w:rsidRDefault="00C92074" w:rsidP="00C92074">
      <w:pPr>
        <w:jc w:val="both"/>
        <w:rPr>
          <w:rFonts w:ascii="Cambria" w:hAnsi="Cambria"/>
          <w:color w:val="000000" w:themeColor="text1"/>
          <w:sz w:val="22"/>
          <w:lang w:val="en-US"/>
        </w:rPr>
      </w:pPr>
    </w:p>
    <w:p w14:paraId="2B2018CA" w14:textId="64D3787B"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C00000"/>
          <w:sz w:val="22"/>
          <w:lang w:val="en-US"/>
        </w:rPr>
      </w:pPr>
      <w:r w:rsidRPr="007E4C39">
        <w:rPr>
          <w:rFonts w:ascii="Cambria" w:hAnsi="Cambria"/>
          <w:color w:val="C00000"/>
          <w:sz w:val="22"/>
          <w:u w:val="single"/>
          <w:lang w:val="en-US"/>
        </w:rPr>
        <w:t xml:space="preserve">Sujet du cours </w:t>
      </w:r>
      <w:r w:rsidR="007E4C39" w:rsidRPr="007E4C39">
        <w:rPr>
          <w:rFonts w:ascii="Cambria" w:hAnsi="Cambria"/>
          <w:color w:val="C00000"/>
          <w:sz w:val="22"/>
          <w:u w:val="single"/>
          <w:lang w:val="en-US"/>
        </w:rPr>
        <w:t>S</w:t>
      </w:r>
      <w:r w:rsidRPr="007E4C39">
        <w:rPr>
          <w:rFonts w:ascii="Cambria" w:hAnsi="Cambria"/>
          <w:color w:val="C00000"/>
          <w:sz w:val="22"/>
          <w:u w:val="single"/>
          <w:lang w:val="en-US"/>
        </w:rPr>
        <w:t>2</w:t>
      </w:r>
      <w:r w:rsidRPr="007E4C39">
        <w:rPr>
          <w:rFonts w:ascii="Cambria" w:hAnsi="Cambria"/>
          <w:color w:val="C00000"/>
          <w:sz w:val="22"/>
          <w:lang w:val="en-US"/>
        </w:rPr>
        <w:t xml:space="preserve">: </w:t>
      </w:r>
      <w:bookmarkStart w:id="45" w:name="_Hlk170733137"/>
      <w:r w:rsidRPr="007E4C39">
        <w:rPr>
          <w:rFonts w:ascii="Cambria" w:hAnsi="Cambria"/>
          <w:color w:val="C00000"/>
          <w:sz w:val="22"/>
          <w:lang w:val="en-US"/>
        </w:rPr>
        <w:t>Empires and Imperialism (19</w:t>
      </w:r>
      <w:r w:rsidRPr="007E4C39">
        <w:rPr>
          <w:rFonts w:ascii="Cambria" w:hAnsi="Cambria"/>
          <w:color w:val="C00000"/>
          <w:sz w:val="22"/>
          <w:vertAlign w:val="superscript"/>
          <w:lang w:val="en-US"/>
        </w:rPr>
        <w:t xml:space="preserve">th </w:t>
      </w:r>
      <w:r w:rsidRPr="007E4C39">
        <w:rPr>
          <w:rFonts w:ascii="Cambria" w:hAnsi="Cambria"/>
          <w:color w:val="C00000"/>
          <w:sz w:val="22"/>
          <w:lang w:val="en-US"/>
        </w:rPr>
        <w:t>and 20</w:t>
      </w:r>
      <w:r w:rsidRPr="007E4C39">
        <w:rPr>
          <w:rFonts w:ascii="Cambria" w:hAnsi="Cambria"/>
          <w:color w:val="C00000"/>
          <w:sz w:val="22"/>
          <w:vertAlign w:val="superscript"/>
          <w:lang w:val="en-US"/>
        </w:rPr>
        <w:t>th</w:t>
      </w:r>
      <w:r w:rsidRPr="007E4C39">
        <w:rPr>
          <w:rFonts w:ascii="Cambria" w:hAnsi="Cambria"/>
          <w:color w:val="C00000"/>
          <w:sz w:val="22"/>
          <w:lang w:val="en-US"/>
        </w:rPr>
        <w:t xml:space="preserve"> centuries)</w:t>
      </w:r>
    </w:p>
    <w:bookmarkEnd w:id="45"/>
    <w:p w14:paraId="0F615386" w14:textId="23178226" w:rsidR="00BA5419"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b w:val="0"/>
          <w:color w:val="000000" w:themeColor="text1"/>
          <w:sz w:val="22"/>
          <w:lang w:val="en-US"/>
        </w:rPr>
      </w:pPr>
      <w:r w:rsidRPr="007E4C39">
        <w:rPr>
          <w:rFonts w:ascii="Cambria" w:hAnsi="Cambria"/>
          <w:b w:val="0"/>
          <w:color w:val="000000" w:themeColor="text1"/>
          <w:sz w:val="22"/>
          <w:lang w:val="en-US"/>
        </w:rPr>
        <w:t>This course seeks to study the concept of Empires and Imperialism in the contemporary era. While the 19</w:t>
      </w:r>
      <w:r w:rsidRPr="007E4C39">
        <w:rPr>
          <w:rFonts w:ascii="Cambria" w:hAnsi="Cambria"/>
          <w:b w:val="0"/>
          <w:color w:val="000000" w:themeColor="text1"/>
          <w:sz w:val="22"/>
          <w:vertAlign w:val="superscript"/>
          <w:lang w:val="en-US"/>
        </w:rPr>
        <w:t>th</w:t>
      </w:r>
      <w:r w:rsidRPr="007E4C39">
        <w:rPr>
          <w:rFonts w:ascii="Cambria" w:hAnsi="Cambria"/>
          <w:b w:val="0"/>
          <w:color w:val="000000" w:themeColor="text1"/>
          <w:sz w:val="22"/>
          <w:lang w:val="en-US"/>
        </w:rPr>
        <w:t xml:space="preserve"> century came to be known as Europe’s colonial century, different models of empires and imperialism appeared during the 20</w:t>
      </w:r>
      <w:r w:rsidRPr="007E4C39">
        <w:rPr>
          <w:rFonts w:ascii="Cambria" w:hAnsi="Cambria"/>
          <w:b w:val="0"/>
          <w:color w:val="000000" w:themeColor="text1"/>
          <w:sz w:val="22"/>
          <w:vertAlign w:val="superscript"/>
          <w:lang w:val="en-US"/>
        </w:rPr>
        <w:t>th</w:t>
      </w:r>
      <w:r w:rsidRPr="007E4C39">
        <w:rPr>
          <w:rFonts w:ascii="Cambria" w:hAnsi="Cambria"/>
          <w:b w:val="0"/>
          <w:color w:val="000000" w:themeColor="text1"/>
          <w:sz w:val="22"/>
          <w:lang w:val="en-US"/>
        </w:rPr>
        <w:t xml:space="preserve"> century, especially with the United States, the Soviet Union and Japan. However, after two world wars and in the context of the cold war, the height of these modern empires ended in a period of rebellion and subsequent decolonization over the second-half of the twentieth century. Adopting a comparative perspective, this course will study the differences and similarities between the various empires; their evolution; how these differences impacted colonial experiences and metropolitan life; and how empires did build off of one another and act in collusion.  Focusing on British, French, Ottoman, Russian, American, … examples, specific themes will include: national strategies; logics of power; “land” versus “overseas” empires; “tropical” versus “settler” colonialism; formal versus informal imperialism; metropolitan imperial culture; comparative civilizing missions; the economic issues; citizenship versus subjecthood; the role of religion; nationalism and decolonization … </w:t>
      </w:r>
    </w:p>
    <w:p w14:paraId="371EFD12" w14:textId="77777777"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000000" w:themeColor="text1"/>
          <w:sz w:val="22"/>
          <w:lang w:val="en-US"/>
        </w:rPr>
      </w:pPr>
      <w:r w:rsidRPr="007E4C39">
        <w:rPr>
          <w:rFonts w:ascii="Cambria" w:hAnsi="Cambria"/>
          <w:color w:val="000000" w:themeColor="text1"/>
          <w:sz w:val="22"/>
          <w:lang w:val="en-US"/>
        </w:rPr>
        <w:t>Selected Bibliography:</w:t>
      </w:r>
    </w:p>
    <w:p w14:paraId="3ADF765A" w14:textId="77777777"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color w:val="000000" w:themeColor="text1"/>
          <w:sz w:val="22"/>
          <w:lang w:val="en-US"/>
        </w:rPr>
      </w:pPr>
    </w:p>
    <w:p w14:paraId="29CC3A3B"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both"/>
        <w:textAlignment w:val="baseline"/>
        <w:rPr>
          <w:rFonts w:ascii="Cambria" w:hAnsi="Cambria"/>
          <w:b w:val="0"/>
          <w:color w:val="000000" w:themeColor="text1"/>
          <w:sz w:val="22"/>
          <w:lang w:val="en-US"/>
        </w:rPr>
      </w:pPr>
      <w:r w:rsidRPr="007E4C39">
        <w:rPr>
          <w:rFonts w:ascii="Cambria" w:hAnsi="Cambria"/>
          <w:b w:val="0"/>
          <w:color w:val="000000" w:themeColor="text1"/>
          <w:sz w:val="22"/>
          <w:lang w:val="en-US"/>
        </w:rPr>
        <w:t xml:space="preserve">BURBANK J. and COOPER, F., </w:t>
      </w:r>
      <w:r w:rsidRPr="007E4C39">
        <w:rPr>
          <w:rFonts w:ascii="Cambria" w:hAnsi="Cambria"/>
          <w:b w:val="0"/>
          <w:i/>
          <w:color w:val="000000" w:themeColor="text1"/>
          <w:sz w:val="22"/>
          <w:lang w:val="en-US"/>
        </w:rPr>
        <w:t>Empires in World History: Power and the Politics of Difference</w:t>
      </w:r>
      <w:r w:rsidRPr="007E4C39">
        <w:rPr>
          <w:rFonts w:ascii="Cambria" w:hAnsi="Cambria"/>
          <w:b w:val="0"/>
          <w:color w:val="000000" w:themeColor="text1"/>
          <w:sz w:val="22"/>
          <w:lang w:val="en-US"/>
        </w:rPr>
        <w:t>, Princeton, Princeton University Press, 2010. (édition française disponible)</w:t>
      </w:r>
    </w:p>
    <w:p w14:paraId="1AE2B39D"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both"/>
        <w:textAlignment w:val="baseline"/>
        <w:rPr>
          <w:rFonts w:ascii="Cambria" w:hAnsi="Cambria"/>
          <w:b w:val="0"/>
          <w:color w:val="000000" w:themeColor="text1"/>
          <w:sz w:val="22"/>
          <w:lang w:val="en-US"/>
        </w:rPr>
      </w:pPr>
      <w:r w:rsidRPr="007E4C39">
        <w:rPr>
          <w:rFonts w:ascii="Cambria" w:hAnsi="Cambria"/>
          <w:b w:val="0"/>
          <w:bCs/>
          <w:color w:val="000000" w:themeColor="text1"/>
          <w:sz w:val="22"/>
          <w:lang w:val="en-US"/>
        </w:rPr>
        <w:t xml:space="preserve">ABERNETHY, D., </w:t>
      </w:r>
      <w:r w:rsidRPr="007E4C39">
        <w:rPr>
          <w:rFonts w:ascii="Cambria" w:hAnsi="Cambria"/>
          <w:b w:val="0"/>
          <w:i/>
          <w:color w:val="000000" w:themeColor="text1"/>
          <w:sz w:val="22"/>
          <w:lang w:val="en-US"/>
        </w:rPr>
        <w:t>The Dynamics of Global Dominance: European Overseas Empires, 1415-1980</w:t>
      </w:r>
      <w:r w:rsidRPr="007E4C39">
        <w:rPr>
          <w:rFonts w:ascii="Cambria" w:hAnsi="Cambria"/>
          <w:b w:val="0"/>
          <w:color w:val="000000" w:themeColor="text1"/>
          <w:sz w:val="22"/>
          <w:lang w:val="en-US"/>
        </w:rPr>
        <w:t>, Yale, Yale University Press, 2000.</w:t>
      </w:r>
    </w:p>
    <w:p w14:paraId="06116122"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GB"/>
        </w:rPr>
        <w:t xml:space="preserve">DARWIN, J., </w:t>
      </w:r>
      <w:r w:rsidRPr="007E4C39">
        <w:rPr>
          <w:rFonts w:ascii="Cambria" w:hAnsi="Cambria"/>
          <w:b w:val="0"/>
          <w:i/>
          <w:color w:val="000000" w:themeColor="text1"/>
          <w:sz w:val="22"/>
          <w:lang w:val="en-GB"/>
        </w:rPr>
        <w:t>After Tamerlane. The Rise and Fall of Global Empires, 1400-2000</w:t>
      </w:r>
      <w:r w:rsidRPr="007E4C39">
        <w:rPr>
          <w:rFonts w:ascii="Cambria" w:hAnsi="Cambria"/>
          <w:b w:val="0"/>
          <w:color w:val="000000" w:themeColor="text1"/>
          <w:sz w:val="22"/>
          <w:lang w:val="en-GB"/>
        </w:rPr>
        <w:t xml:space="preserve">, New York, Bloomsbury Press, 2008. </w:t>
      </w:r>
    </w:p>
    <w:p w14:paraId="63C819AF"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DOYLE, M., </w:t>
      </w:r>
      <w:r w:rsidRPr="007E4C39">
        <w:rPr>
          <w:rFonts w:ascii="Cambria" w:hAnsi="Cambria"/>
          <w:b w:val="0"/>
          <w:i/>
          <w:color w:val="000000" w:themeColor="text1"/>
          <w:sz w:val="22"/>
          <w:lang w:val="en-US"/>
        </w:rPr>
        <w:t>Empires</w:t>
      </w:r>
      <w:r w:rsidRPr="007E4C39">
        <w:rPr>
          <w:rFonts w:ascii="Cambria" w:hAnsi="Cambria"/>
          <w:b w:val="0"/>
          <w:color w:val="000000" w:themeColor="text1"/>
          <w:sz w:val="22"/>
          <w:lang w:val="en-US"/>
        </w:rPr>
        <w:t>, Ithaca, Cornell University Press, 1986.</w:t>
      </w:r>
      <w:r w:rsidRPr="007E4C39">
        <w:rPr>
          <w:rFonts w:ascii="Cambria" w:hAnsi="Cambria"/>
          <w:b w:val="0"/>
          <w:color w:val="000000" w:themeColor="text1"/>
          <w:sz w:val="22"/>
          <w:lang w:val="en-GB"/>
        </w:rPr>
        <w:t xml:space="preserve"> </w:t>
      </w:r>
    </w:p>
    <w:p w14:paraId="0E8E4198"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HOWE, S., </w:t>
      </w:r>
      <w:r w:rsidRPr="007E4C39">
        <w:rPr>
          <w:rFonts w:ascii="Cambria" w:hAnsi="Cambria"/>
          <w:b w:val="0"/>
          <w:i/>
          <w:color w:val="000000" w:themeColor="text1"/>
          <w:sz w:val="22"/>
          <w:lang w:val="en-US"/>
        </w:rPr>
        <w:t>Empire. A Very Short Introduction</w:t>
      </w:r>
      <w:r w:rsidRPr="007E4C39">
        <w:rPr>
          <w:rFonts w:ascii="Cambria" w:hAnsi="Cambria"/>
          <w:b w:val="0"/>
          <w:color w:val="000000" w:themeColor="text1"/>
          <w:sz w:val="22"/>
          <w:lang w:val="en-US"/>
        </w:rPr>
        <w:t>, Oxford, Oxford University Press, 2002.</w:t>
      </w:r>
    </w:p>
    <w:p w14:paraId="027710BB"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KENNEDY, P., </w:t>
      </w:r>
      <w:r w:rsidRPr="007E4C39">
        <w:rPr>
          <w:rFonts w:ascii="Cambria" w:hAnsi="Cambria"/>
          <w:b w:val="0"/>
          <w:i/>
          <w:color w:val="000000" w:themeColor="text1"/>
          <w:sz w:val="22"/>
          <w:lang w:val="en-US"/>
        </w:rPr>
        <w:t>The Rise and Fall of the Great Powers</w:t>
      </w:r>
      <w:r w:rsidRPr="007E4C39">
        <w:rPr>
          <w:rFonts w:ascii="Cambria" w:hAnsi="Cambria"/>
          <w:b w:val="0"/>
          <w:color w:val="000000" w:themeColor="text1"/>
          <w:sz w:val="22"/>
          <w:lang w:val="en-US"/>
        </w:rPr>
        <w:t>, New York, Vintage, 1989. (édition française disponible)</w:t>
      </w:r>
    </w:p>
    <w:p w14:paraId="2CC9855D"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MAIER</w:t>
      </w:r>
      <w:r w:rsidRPr="007E4C39">
        <w:rPr>
          <w:rFonts w:ascii="Cambria" w:hAnsi="Cambria"/>
          <w:b w:val="0"/>
          <w:i/>
          <w:color w:val="000000" w:themeColor="text1"/>
          <w:sz w:val="22"/>
          <w:lang w:val="en-US"/>
        </w:rPr>
        <w:t xml:space="preserve">, </w:t>
      </w:r>
      <w:r w:rsidRPr="007E4C39">
        <w:rPr>
          <w:rFonts w:ascii="Cambria" w:hAnsi="Cambria"/>
          <w:b w:val="0"/>
          <w:color w:val="000000" w:themeColor="text1"/>
          <w:sz w:val="22"/>
          <w:lang w:val="en-US"/>
        </w:rPr>
        <w:t>C.,</w:t>
      </w:r>
      <w:r w:rsidRPr="007E4C39">
        <w:rPr>
          <w:rFonts w:ascii="Cambria" w:hAnsi="Cambria"/>
          <w:b w:val="0"/>
          <w:i/>
          <w:color w:val="000000" w:themeColor="text1"/>
          <w:sz w:val="22"/>
          <w:lang w:val="en-US"/>
        </w:rPr>
        <w:t xml:space="preserve"> Among Empires: American Ascendancy and Its Predecessors</w:t>
      </w:r>
      <w:r w:rsidRPr="007E4C39">
        <w:rPr>
          <w:rFonts w:ascii="Cambria" w:hAnsi="Cambria"/>
          <w:b w:val="0"/>
          <w:color w:val="000000" w:themeColor="text1"/>
          <w:sz w:val="22"/>
          <w:lang w:val="en-US"/>
        </w:rPr>
        <w:t>, Cambridge, Harvard University Press, 2006.</w:t>
      </w:r>
    </w:p>
    <w:p w14:paraId="4A0E19CD" w14:textId="77777777" w:rsidR="00C92074" w:rsidRPr="007E4C39" w:rsidRDefault="00C92074" w:rsidP="00C92074">
      <w:pPr>
        <w:rPr>
          <w:rFonts w:ascii="Cambria" w:hAnsi="Cambria"/>
          <w:sz w:val="22"/>
          <w:lang w:val="en-US"/>
        </w:rPr>
      </w:pPr>
    </w:p>
    <w:p w14:paraId="487A1DE7"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2A83D1"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732214"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FAFF55" w14:textId="77777777" w:rsidR="003D36FB" w:rsidRPr="00525A1C" w:rsidRDefault="003D36F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0C4C2DB" w14:textId="77777777" w:rsidR="00E37DBB" w:rsidRPr="00525A1C" w:rsidRDefault="00E37DB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035478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8DAF1A4"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D3626D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168809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DBDDF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60175C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58C47D7"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FCD3FC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CCFF2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0B9E1CF"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6EDA1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541ECD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F872AC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8F04381"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393B06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0CAC68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571A6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A244D4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8EEF9A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D744E4F"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F99115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E3D18E7"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A45DA2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7DEE7E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354988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ACE1C7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7B810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9060D68"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C40D97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36F1BD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5BB05E8"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84BC1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A554A1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3DBC4D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8C53F05"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92AD3D0"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0195EC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621FEF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08EF70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2357C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4E2D9C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DDA61F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ECD955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F6E42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423D54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AC4BE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1C37A0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3AEBC7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98C3930"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B7547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622E23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B5F4B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08A14E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2F9DB76"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E1A9A22"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41E4A5"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E0A1F7E" w14:textId="77777777" w:rsidR="00320AA5"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F700F2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9E1185C"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4693CF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909A3D5"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C310F2"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A4976A3"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F1B91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E4BDB37"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2AB95E4" w14:textId="77777777" w:rsidR="007135E1" w:rsidRPr="00525A1C"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605B71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5BC4894" w14:textId="77777777" w:rsidR="000645C7" w:rsidRPr="00525A1C" w:rsidRDefault="000645C7"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F2862D5" w14:textId="1211E424" w:rsidR="006745A7" w:rsidRPr="007135E1" w:rsidRDefault="00363F1C" w:rsidP="00EC2AB4">
      <w:pPr>
        <w:jc w:val="center"/>
        <w:rPr>
          <w:rFonts w:ascii="Cambria" w:eastAsia="Times New Roman" w:hAnsi="Cambria" w:cs="Calibri"/>
          <w:color w:val="C00000"/>
          <w:kern w:val="0"/>
          <w:sz w:val="28"/>
          <w:szCs w:val="28"/>
        </w:rPr>
      </w:pPr>
      <w:r w:rsidRPr="007135E1">
        <w:rPr>
          <w:rFonts w:ascii="Cambria" w:eastAsia="Times New Roman" w:hAnsi="Cambria" w:cs="Calibri"/>
          <w:color w:val="C00000"/>
          <w:kern w:val="0"/>
          <w:sz w:val="28"/>
          <w:szCs w:val="28"/>
        </w:rPr>
        <w:t xml:space="preserve">J3024319- J3024419 : </w:t>
      </w:r>
      <w:r w:rsidR="006745A7" w:rsidRPr="007135E1">
        <w:rPr>
          <w:rFonts w:ascii="Cambria" w:eastAsia="Times New Roman" w:hAnsi="Cambria" w:cs="Calibri"/>
          <w:color w:val="C00000"/>
          <w:kern w:val="0"/>
          <w:sz w:val="28"/>
          <w:szCs w:val="28"/>
        </w:rPr>
        <w:t>L'Asie et la formation de l'Occident (XVIe-XXIe siècles)</w:t>
      </w:r>
    </w:p>
    <w:p w14:paraId="6F79BFE1" w14:textId="7BE34337" w:rsidR="006745A7" w:rsidRPr="00525A1C" w:rsidRDefault="006745A7" w:rsidP="00A27C9A">
      <w:pPr>
        <w:keepNext/>
        <w:spacing w:after="0" w:line="240" w:lineRule="auto"/>
        <w:jc w:val="center"/>
        <w:outlineLvl w:val="0"/>
        <w:rPr>
          <w:rFonts w:ascii="Cambria" w:hAnsi="Cambria"/>
          <w:bCs/>
          <w:iCs/>
          <w:color w:val="FF0000"/>
          <w:sz w:val="22"/>
          <w:u w:val="single"/>
        </w:rPr>
      </w:pPr>
      <w:r w:rsidRPr="00525A1C">
        <w:rPr>
          <w:rFonts w:ascii="Cambria" w:hAnsi="Cambria"/>
          <w:bCs/>
          <w:iCs/>
          <w:color w:val="FF0000"/>
          <w:sz w:val="22"/>
          <w:u w:val="single"/>
        </w:rPr>
        <w:t>Cet enseignement se déroulera au semestre 2</w:t>
      </w:r>
    </w:p>
    <w:p w14:paraId="5653D137" w14:textId="77777777" w:rsidR="00A27C9A" w:rsidRPr="00525A1C" w:rsidRDefault="00A27C9A" w:rsidP="00A27C9A">
      <w:pPr>
        <w:keepNext/>
        <w:spacing w:after="0" w:line="240" w:lineRule="auto"/>
        <w:outlineLvl w:val="0"/>
        <w:rPr>
          <w:rFonts w:ascii="Cambria" w:eastAsia="Times New Roman" w:hAnsi="Cambria" w:cs="Calibri"/>
          <w:color w:val="FF0000"/>
          <w:kern w:val="0"/>
          <w:sz w:val="22"/>
        </w:rPr>
      </w:pPr>
    </w:p>
    <w:p w14:paraId="7EA14744" w14:textId="052422B3" w:rsidR="00A27C9A" w:rsidRPr="00525A1C" w:rsidRDefault="00A27C9A" w:rsidP="00A27C9A">
      <w:pPr>
        <w:keepNext/>
        <w:spacing w:after="0" w:line="240" w:lineRule="auto"/>
        <w:outlineLvl w:val="0"/>
        <w:rPr>
          <w:rFonts w:ascii="Cambria" w:eastAsia="Times New Roman" w:hAnsi="Cambria" w:cs="Calibri"/>
          <w:color w:val="FF0000"/>
          <w:kern w:val="0"/>
          <w:sz w:val="22"/>
        </w:rPr>
      </w:pPr>
      <w:r w:rsidRPr="00525A1C">
        <w:rPr>
          <w:rFonts w:ascii="Cambria" w:eastAsia="Times New Roman" w:hAnsi="Cambria" w:cs="Calibri"/>
          <w:color w:val="FF0000"/>
          <w:kern w:val="0"/>
          <w:sz w:val="22"/>
        </w:rPr>
        <w:t xml:space="preserve">Ce cours sera dispensé en anglais </w:t>
      </w:r>
    </w:p>
    <w:p w14:paraId="5EA34E19" w14:textId="77777777" w:rsidR="006745A7" w:rsidRPr="00525A1C" w:rsidRDefault="006745A7" w:rsidP="006745A7">
      <w:pPr>
        <w:keepNext/>
        <w:spacing w:after="0" w:line="240" w:lineRule="auto"/>
        <w:jc w:val="both"/>
        <w:outlineLvl w:val="0"/>
        <w:rPr>
          <w:rFonts w:ascii="Cambria" w:hAnsi="Cambria"/>
          <w:b w:val="0"/>
          <w:iCs/>
          <w:sz w:val="22"/>
        </w:rPr>
      </w:pPr>
    </w:p>
    <w:p w14:paraId="7C80ACC2" w14:textId="77777777" w:rsidR="006745A7" w:rsidRPr="00525A1C" w:rsidRDefault="006745A7" w:rsidP="006745A7">
      <w:pPr>
        <w:keepNext/>
        <w:spacing w:after="0" w:line="240" w:lineRule="auto"/>
        <w:jc w:val="both"/>
        <w:outlineLvl w:val="0"/>
        <w:rPr>
          <w:rFonts w:ascii="Cambria" w:hAnsi="Cambria"/>
          <w:b w:val="0"/>
          <w:iCs/>
          <w:sz w:val="22"/>
        </w:rPr>
      </w:pPr>
    </w:p>
    <w:p w14:paraId="703FCD34" w14:textId="4907A7F7" w:rsidR="0078094C" w:rsidRPr="00525A1C" w:rsidRDefault="006745A7"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 xml:space="preserve">Christina Wu </w:t>
      </w:r>
    </w:p>
    <w:p w14:paraId="7B12E6EC"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817141F" w14:textId="0E74EA0D" w:rsidR="0078094C" w:rsidRPr="00525A1C" w:rsidRDefault="0078094C" w:rsidP="0078094C">
      <w:pPr>
        <w:jc w:val="both"/>
        <w:rPr>
          <w:rFonts w:ascii="Cambria" w:eastAsia="Times New Roman" w:hAnsi="Cambria" w:cs="Calibri"/>
          <w:b w:val="0"/>
          <w:bCs/>
          <w:kern w:val="0"/>
          <w:sz w:val="22"/>
        </w:rPr>
      </w:pPr>
      <w:r w:rsidRPr="00525A1C">
        <w:rPr>
          <w:rFonts w:ascii="Cambria" w:eastAsia="Times New Roman" w:hAnsi="Cambria" w:cs="Calibri"/>
          <w:b w:val="0"/>
          <w:bCs/>
          <w:kern w:val="0"/>
          <w:sz w:val="22"/>
        </w:rPr>
        <w:t>En 1861, Karl Marx écrivait : « La poudre à canon, la boussole et l'imprimerie : telles sont les trois inventions majeures qui préfigurent l'avènement de la société bourgeoise. La poudre à canon a réduit en miettes la chevalerie, la boussole a ouvert le marché mondial et établi des colonies, et l'imprimerie est devenue un outil du protestantisme.» Ces trois inventions – auxquelles certains pourraient ajouter la fabrication du papier – ont souvent été citées comme exemples de l'impact fondamental des inventions asiatiques sur le développement des civilisations. Rétrospectivement, elles mettent en lumière les nombreuses interactions scientifiques et technologiques entre l'Asie et l'Occident au fil des siècles.</w:t>
      </w:r>
    </w:p>
    <w:p w14:paraId="686BB2D7" w14:textId="77777777" w:rsidR="0078094C" w:rsidRPr="00525A1C" w:rsidRDefault="0078094C" w:rsidP="0078094C">
      <w:pPr>
        <w:jc w:val="both"/>
        <w:rPr>
          <w:rFonts w:ascii="Cambria" w:eastAsia="Times New Roman" w:hAnsi="Cambria" w:cs="Calibri"/>
          <w:b w:val="0"/>
          <w:bCs/>
          <w:kern w:val="0"/>
          <w:sz w:val="22"/>
        </w:rPr>
      </w:pPr>
      <w:r w:rsidRPr="00525A1C">
        <w:rPr>
          <w:rFonts w:ascii="Cambria" w:eastAsia="Times New Roman" w:hAnsi="Cambria" w:cs="Calibri"/>
          <w:b w:val="0"/>
          <w:bCs/>
          <w:kern w:val="0"/>
          <w:sz w:val="22"/>
        </w:rPr>
        <w:t>C'est dans cette optique que ce cours propose une introduction aux multiples influences de l'Asie sur le développement des sociétés occidentales sur la longue durée (XVIe-XXe siècles). Pour ce faire, ce cours s'appuiera sur un large éventail de sources textuelles, visuelles et musicales pour explorer les liens, les influences et l'impact de l'Asie dans la construction de l'Occident. Ce faisant, il vise à fournir des exemples concrets, des outils conceptuels et des perspectives alternatives pour une vision plus équilibrée de l'histoire du monde.</w:t>
      </w:r>
    </w:p>
    <w:p w14:paraId="06B8CA2F" w14:textId="77777777" w:rsidR="0078094C" w:rsidRPr="00525A1C" w:rsidRDefault="0078094C" w:rsidP="0078094C">
      <w:pPr>
        <w:jc w:val="both"/>
        <w:rPr>
          <w:rFonts w:ascii="Cambria" w:eastAsia="Times New Roman" w:hAnsi="Cambria" w:cs="Calibri"/>
          <w:kern w:val="0"/>
          <w:sz w:val="22"/>
        </w:rPr>
      </w:pPr>
    </w:p>
    <w:p w14:paraId="77D31629" w14:textId="77777777" w:rsidR="00CC4FA1" w:rsidRPr="00525A1C" w:rsidRDefault="00CC4FA1" w:rsidP="0078094C">
      <w:pPr>
        <w:jc w:val="both"/>
        <w:rPr>
          <w:rFonts w:ascii="Cambria" w:eastAsia="Times New Roman" w:hAnsi="Cambria" w:cs="Calibri"/>
          <w:kern w:val="0"/>
          <w:sz w:val="22"/>
        </w:rPr>
      </w:pPr>
    </w:p>
    <w:p w14:paraId="1C8EDE13" w14:textId="77777777" w:rsidR="00CC4FA1" w:rsidRPr="00525A1C" w:rsidRDefault="00CC4FA1" w:rsidP="0078094C">
      <w:pPr>
        <w:jc w:val="both"/>
        <w:rPr>
          <w:rFonts w:ascii="Cambria" w:eastAsia="Times New Roman" w:hAnsi="Cambria" w:cs="Calibri"/>
          <w:kern w:val="0"/>
          <w:sz w:val="22"/>
        </w:rPr>
      </w:pPr>
    </w:p>
    <w:p w14:paraId="4A55D9F9" w14:textId="77777777" w:rsidR="00CC4FA1" w:rsidRPr="00525A1C" w:rsidRDefault="00CC4FA1" w:rsidP="0078094C">
      <w:pPr>
        <w:jc w:val="both"/>
        <w:rPr>
          <w:rFonts w:ascii="Cambria" w:eastAsia="Times New Roman" w:hAnsi="Cambria" w:cs="Calibri"/>
          <w:kern w:val="0"/>
          <w:sz w:val="22"/>
        </w:rPr>
      </w:pPr>
    </w:p>
    <w:p w14:paraId="56A2E5A0" w14:textId="77777777" w:rsidR="00660AF1" w:rsidRPr="00525A1C" w:rsidRDefault="00660AF1" w:rsidP="0078094C">
      <w:pPr>
        <w:jc w:val="both"/>
        <w:rPr>
          <w:rFonts w:ascii="Cambria" w:eastAsia="Times New Roman" w:hAnsi="Cambria" w:cs="Calibri"/>
          <w:kern w:val="0"/>
          <w:sz w:val="22"/>
        </w:rPr>
      </w:pPr>
    </w:p>
    <w:p w14:paraId="7A312C03" w14:textId="0EDD67A2" w:rsidR="0078094C" w:rsidRPr="00525A1C" w:rsidRDefault="0078094C" w:rsidP="0078094C">
      <w:pPr>
        <w:jc w:val="both"/>
        <w:rPr>
          <w:rFonts w:ascii="Cambria" w:eastAsia="Times New Roman" w:hAnsi="Cambria" w:cs="Calibri"/>
          <w:kern w:val="0"/>
          <w:sz w:val="22"/>
          <w:u w:val="single"/>
        </w:rPr>
      </w:pPr>
      <w:r w:rsidRPr="00525A1C">
        <w:rPr>
          <w:rFonts w:ascii="Cambria" w:eastAsia="Times New Roman" w:hAnsi="Cambria" w:cs="Calibri"/>
          <w:kern w:val="0"/>
          <w:sz w:val="22"/>
          <w:u w:val="single"/>
        </w:rPr>
        <w:t xml:space="preserve">Bibliographie: </w:t>
      </w:r>
    </w:p>
    <w:p w14:paraId="4B725F1B" w14:textId="77777777" w:rsidR="0078094C" w:rsidRPr="00525A1C" w:rsidRDefault="0078094C" w:rsidP="0078094C">
      <w:pPr>
        <w:jc w:val="both"/>
        <w:rPr>
          <w:rFonts w:ascii="Cambria" w:hAnsi="Cambria" w:cs="Calibri"/>
          <w:sz w:val="22"/>
        </w:rPr>
      </w:pPr>
    </w:p>
    <w:p w14:paraId="7DB77DEC"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Vanessa Alayrac-Fielding, </w:t>
      </w:r>
      <w:r w:rsidRPr="00525A1C">
        <w:rPr>
          <w:rFonts w:ascii="Cambria" w:hAnsi="Cambria" w:cs="Calibri"/>
          <w:i/>
          <w:iCs/>
          <w:sz w:val="22"/>
          <w:szCs w:val="22"/>
        </w:rPr>
        <w:t xml:space="preserve">La Chine dans l’imaginaire anglais des Lumières 1685-1798 </w:t>
      </w:r>
      <w:r w:rsidRPr="00525A1C">
        <w:rPr>
          <w:rFonts w:ascii="Cambria" w:hAnsi="Cambria" w:cs="Calibri"/>
          <w:sz w:val="22"/>
          <w:szCs w:val="22"/>
        </w:rPr>
        <w:t>(Paris : Presses de l’université Paris-Sorbonne, 2016).</w:t>
      </w:r>
    </w:p>
    <w:p w14:paraId="0366D541" w14:textId="77777777" w:rsidR="0078094C" w:rsidRPr="00525A1C" w:rsidRDefault="0078094C" w:rsidP="001A073D">
      <w:pPr>
        <w:numPr>
          <w:ilvl w:val="0"/>
          <w:numId w:val="14"/>
        </w:numPr>
        <w:spacing w:before="100" w:beforeAutospacing="1" w:after="100" w:afterAutospacing="1" w:line="240" w:lineRule="auto"/>
        <w:jc w:val="both"/>
        <w:rPr>
          <w:rFonts w:ascii="Cambria" w:eastAsia="Times New Roman" w:hAnsi="Cambria" w:cs="Times New Roman"/>
          <w:color w:val="363636"/>
          <w:kern w:val="0"/>
          <w:sz w:val="22"/>
          <w:lang w:val="en-SG"/>
        </w:rPr>
      </w:pPr>
      <w:r w:rsidRPr="00525A1C">
        <w:rPr>
          <w:rFonts w:ascii="Cambria" w:eastAsia="Times New Roman" w:hAnsi="Cambria" w:cs="Times New Roman"/>
          <w:color w:val="363636"/>
          <w:kern w:val="0"/>
          <w:sz w:val="22"/>
          <w:lang w:val="en-SG"/>
        </w:rPr>
        <w:t xml:space="preserve">Alfred O. Aldridge, </w:t>
      </w:r>
      <w:r w:rsidRPr="00525A1C">
        <w:rPr>
          <w:rFonts w:ascii="Cambria" w:eastAsia="Times New Roman" w:hAnsi="Cambria" w:cs="Times New Roman"/>
          <w:i/>
          <w:iCs/>
          <w:color w:val="363636"/>
          <w:kern w:val="0"/>
          <w:sz w:val="22"/>
          <w:lang w:val="en-SG"/>
        </w:rPr>
        <w:t>The Dragon and the Eagle: The Presence of China in the American Enlightenment</w:t>
      </w:r>
      <w:r w:rsidRPr="00525A1C">
        <w:rPr>
          <w:rFonts w:ascii="Cambria" w:eastAsia="Times New Roman" w:hAnsi="Cambria" w:cs="Times New Roman"/>
          <w:color w:val="363636"/>
          <w:kern w:val="0"/>
          <w:sz w:val="22"/>
          <w:lang w:val="en-SG"/>
        </w:rPr>
        <w:t xml:space="preserve"> (Detroit, Michigan, Wayne University Press, 1993).</w:t>
      </w:r>
    </w:p>
    <w:p w14:paraId="1B0FBE4F"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Tonio Andrade, </w:t>
      </w:r>
      <w:r w:rsidRPr="00525A1C">
        <w:rPr>
          <w:rFonts w:ascii="Cambria" w:hAnsi="Cambria" w:cs="Calibri"/>
          <w:i/>
          <w:iCs/>
          <w:sz w:val="22"/>
          <w:szCs w:val="22"/>
          <w:lang w:val="en-US"/>
        </w:rPr>
        <w:t>The Last Embassy: The Dutch Mission of 1795 and the Forgotten History of Western Encounters with</w:t>
      </w:r>
      <w:r w:rsidRPr="00525A1C">
        <w:rPr>
          <w:rFonts w:ascii="Cambria" w:hAnsi="Cambria" w:cs="Calibri"/>
          <w:sz w:val="22"/>
          <w:szCs w:val="22"/>
          <w:lang w:val="en-US"/>
        </w:rPr>
        <w:t xml:space="preserve"> </w:t>
      </w:r>
      <w:r w:rsidRPr="00525A1C">
        <w:rPr>
          <w:rFonts w:ascii="Cambria" w:hAnsi="Cambria" w:cs="Calibri"/>
          <w:i/>
          <w:iCs/>
          <w:sz w:val="22"/>
          <w:szCs w:val="22"/>
          <w:lang w:val="en-US"/>
        </w:rPr>
        <w:t>China</w:t>
      </w:r>
      <w:r w:rsidRPr="00525A1C">
        <w:rPr>
          <w:rFonts w:ascii="Cambria" w:hAnsi="Cambria" w:cs="Calibri"/>
          <w:sz w:val="22"/>
          <w:szCs w:val="22"/>
          <w:lang w:val="en-US"/>
        </w:rPr>
        <w:t xml:space="preserve"> (Princeton: Princeton University Press, 2021).</w:t>
      </w:r>
    </w:p>
    <w:p w14:paraId="4604B02B"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Romano Antonella, Impressions de Chine : l’Europe et l’englobement du monde, XVIe – XVIIe siècles (Paris : Fayard, 2016).</w:t>
      </w:r>
    </w:p>
    <w:p w14:paraId="3CE748CC"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Pierre-Yves Beaurepaire, Pierrick Pourchasse (dir.), </w:t>
      </w:r>
      <w:r w:rsidRPr="00525A1C">
        <w:rPr>
          <w:rFonts w:ascii="Cambria" w:hAnsi="Cambria" w:cs="Calibri"/>
          <w:i/>
          <w:iCs/>
          <w:sz w:val="22"/>
          <w:szCs w:val="22"/>
        </w:rPr>
        <w:t>Les circulations internationales en Europe années 1680-années</w:t>
      </w:r>
      <w:r w:rsidRPr="00525A1C">
        <w:rPr>
          <w:rFonts w:ascii="Cambria" w:hAnsi="Cambria" w:cs="Calibri"/>
          <w:sz w:val="22"/>
          <w:szCs w:val="22"/>
        </w:rPr>
        <w:t xml:space="preserve"> </w:t>
      </w:r>
      <w:r w:rsidRPr="00525A1C">
        <w:rPr>
          <w:rFonts w:ascii="Cambria" w:hAnsi="Cambria" w:cs="Calibri"/>
          <w:i/>
          <w:iCs/>
          <w:sz w:val="22"/>
          <w:szCs w:val="22"/>
        </w:rPr>
        <w:t>1780</w:t>
      </w:r>
      <w:r w:rsidRPr="00525A1C">
        <w:rPr>
          <w:rFonts w:ascii="Cambria" w:hAnsi="Cambria" w:cs="Calibri"/>
          <w:sz w:val="22"/>
          <w:szCs w:val="22"/>
        </w:rPr>
        <w:t xml:space="preserve"> (Rennes : Presses universitaires de Rennes, 2010).</w:t>
      </w:r>
    </w:p>
    <w:p w14:paraId="0FE09886"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Romain Bertrand, </w:t>
      </w:r>
      <w:r w:rsidRPr="00525A1C">
        <w:rPr>
          <w:rFonts w:ascii="Cambria" w:hAnsi="Cambria" w:cs="Calibri"/>
          <w:i/>
          <w:iCs/>
          <w:sz w:val="22"/>
          <w:szCs w:val="22"/>
        </w:rPr>
        <w:t>L’histoire à part égales</w:t>
      </w:r>
      <w:r w:rsidRPr="00525A1C">
        <w:rPr>
          <w:rFonts w:ascii="Cambria" w:hAnsi="Cambria" w:cs="Calibri"/>
          <w:sz w:val="22"/>
          <w:szCs w:val="22"/>
        </w:rPr>
        <w:t xml:space="preserve"> (Paris: Le Seuil, 2011).</w:t>
      </w:r>
    </w:p>
    <w:p w14:paraId="3647FB10"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Dejanirah Couto &amp; François Lachaud (dir.), </w:t>
      </w:r>
      <w:r w:rsidRPr="00525A1C">
        <w:rPr>
          <w:rFonts w:ascii="Cambria" w:hAnsi="Cambria" w:cs="Calibri"/>
          <w:i/>
          <w:iCs/>
          <w:sz w:val="22"/>
          <w:szCs w:val="22"/>
        </w:rPr>
        <w:t xml:space="preserve">Empires en marche : rencontres entre la Chine et l’Occident à l’âge modern, XVIe – XIXe siècles </w:t>
      </w:r>
      <w:r w:rsidRPr="00525A1C">
        <w:rPr>
          <w:rFonts w:ascii="Cambria" w:hAnsi="Cambria" w:cs="Calibri"/>
          <w:sz w:val="22"/>
          <w:szCs w:val="22"/>
        </w:rPr>
        <w:t xml:space="preserve">(Paris : </w:t>
      </w:r>
      <w:r w:rsidRPr="00525A1C">
        <w:rPr>
          <w:rFonts w:ascii="Cambria" w:hAnsi="Cambria"/>
          <w:sz w:val="22"/>
          <w:szCs w:val="22"/>
        </w:rPr>
        <w:t>École française d'Extrême-Orient, 2017).</w:t>
      </w:r>
    </w:p>
    <w:p w14:paraId="02775900"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Fa-ti Fan, </w:t>
      </w:r>
      <w:r w:rsidRPr="00525A1C">
        <w:rPr>
          <w:rFonts w:ascii="Cambria" w:hAnsi="Cambria" w:cs="Calibri"/>
          <w:i/>
          <w:iCs/>
          <w:sz w:val="22"/>
          <w:szCs w:val="22"/>
          <w:lang w:val="en-US"/>
        </w:rPr>
        <w:t>British Naturalists in Qing China : Science, Empire and Cultural Encounter</w:t>
      </w:r>
      <w:r w:rsidRPr="00525A1C">
        <w:rPr>
          <w:rFonts w:ascii="Cambria" w:hAnsi="Cambria" w:cs="Calibri"/>
          <w:sz w:val="22"/>
          <w:szCs w:val="22"/>
          <w:lang w:val="en-US"/>
        </w:rPr>
        <w:t xml:space="preserve"> (Cambridge, Mass. : Harvard University Press, 2009).</w:t>
      </w:r>
    </w:p>
    <w:p w14:paraId="379E13B7"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Robert Finlay, « China, the West, and World History in Joseph Needham's </w:t>
      </w:r>
      <w:r w:rsidRPr="00525A1C">
        <w:rPr>
          <w:rFonts w:ascii="Cambria" w:hAnsi="Cambria" w:cs="Calibri"/>
          <w:i/>
          <w:iCs/>
          <w:sz w:val="22"/>
          <w:szCs w:val="22"/>
          <w:lang w:val="en-US"/>
        </w:rPr>
        <w:t>Science and Civilisation in China</w:t>
      </w:r>
      <w:r w:rsidRPr="00525A1C">
        <w:rPr>
          <w:rFonts w:ascii="Cambria" w:hAnsi="Cambria" w:cs="Calibri"/>
          <w:sz w:val="22"/>
          <w:szCs w:val="22"/>
          <w:lang w:val="en-US"/>
        </w:rPr>
        <w:t xml:space="preserve"> » </w:t>
      </w:r>
      <w:r w:rsidRPr="00525A1C">
        <w:rPr>
          <w:rFonts w:ascii="Cambria" w:hAnsi="Cambria" w:cs="Calibri"/>
          <w:i/>
          <w:iCs/>
          <w:sz w:val="22"/>
          <w:szCs w:val="22"/>
          <w:lang w:val="en-US"/>
        </w:rPr>
        <w:t>Journal of</w:t>
      </w:r>
      <w:r w:rsidRPr="00525A1C">
        <w:rPr>
          <w:rFonts w:ascii="Cambria" w:hAnsi="Cambria" w:cs="Calibri"/>
          <w:sz w:val="22"/>
          <w:szCs w:val="22"/>
          <w:lang w:val="en-US"/>
        </w:rPr>
        <w:t xml:space="preserve"> </w:t>
      </w:r>
      <w:r w:rsidRPr="00525A1C">
        <w:rPr>
          <w:rFonts w:ascii="Cambria" w:hAnsi="Cambria" w:cs="Calibri"/>
          <w:i/>
          <w:iCs/>
          <w:sz w:val="22"/>
          <w:szCs w:val="22"/>
          <w:lang w:val="en-US"/>
        </w:rPr>
        <w:t>World History</w:t>
      </w:r>
      <w:r w:rsidRPr="00525A1C">
        <w:rPr>
          <w:rFonts w:ascii="Cambria" w:hAnsi="Cambria" w:cs="Calibri"/>
          <w:sz w:val="22"/>
          <w:szCs w:val="22"/>
          <w:lang w:val="en-US"/>
        </w:rPr>
        <w:t>, vol.</w:t>
      </w:r>
      <w:r w:rsidRPr="00525A1C">
        <w:rPr>
          <w:rFonts w:ascii="Cambria" w:hAnsi="Cambria" w:cs="Calibri"/>
          <w:i/>
          <w:iCs/>
          <w:sz w:val="22"/>
          <w:szCs w:val="22"/>
          <w:lang w:val="en-US"/>
        </w:rPr>
        <w:t xml:space="preserve"> </w:t>
      </w:r>
      <w:r w:rsidRPr="00525A1C">
        <w:rPr>
          <w:rFonts w:ascii="Cambria" w:hAnsi="Cambria" w:cs="Calibri"/>
          <w:sz w:val="22"/>
          <w:szCs w:val="22"/>
          <w:lang w:val="en-US"/>
        </w:rPr>
        <w:t>11, 2000, p. 265-303.</w:t>
      </w:r>
    </w:p>
    <w:p w14:paraId="46672E98"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Florence C. Hsia, </w:t>
      </w:r>
      <w:r w:rsidRPr="00525A1C">
        <w:rPr>
          <w:rFonts w:ascii="Cambria" w:hAnsi="Cambria" w:cs="Calibri"/>
          <w:i/>
          <w:iCs/>
          <w:sz w:val="22"/>
          <w:szCs w:val="22"/>
          <w:lang w:val="en-US"/>
        </w:rPr>
        <w:t>Sojourners in a Strange Land : Jesuits and their Scientific Missions in Late Imperial China</w:t>
      </w:r>
      <w:r w:rsidRPr="00525A1C">
        <w:rPr>
          <w:rFonts w:ascii="Cambria" w:hAnsi="Cambria" w:cs="Calibri"/>
          <w:sz w:val="22"/>
          <w:szCs w:val="22"/>
          <w:lang w:val="en-US"/>
        </w:rPr>
        <w:t xml:space="preserve"> (Chicago: University of Chicago Press, 2009).</w:t>
      </w:r>
    </w:p>
    <w:p w14:paraId="7F736943" w14:textId="611F3A58"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olor w:val="363636"/>
          <w:sz w:val="22"/>
          <w:szCs w:val="22"/>
          <w:lang w:val="en-US"/>
        </w:rPr>
        <w:t>Eric Wolfe, </w:t>
      </w:r>
      <w:r w:rsidRPr="00525A1C">
        <w:rPr>
          <w:rFonts w:ascii="Cambria" w:hAnsi="Cambria"/>
          <w:i/>
          <w:iCs/>
          <w:color w:val="363636"/>
          <w:sz w:val="22"/>
          <w:szCs w:val="22"/>
          <w:lang w:val="en-US"/>
        </w:rPr>
        <w:t>Europe and the People Without History</w:t>
      </w:r>
      <w:r w:rsidRPr="00525A1C">
        <w:rPr>
          <w:rFonts w:ascii="Cambria" w:hAnsi="Cambria"/>
          <w:color w:val="363636"/>
          <w:sz w:val="22"/>
          <w:szCs w:val="22"/>
          <w:lang w:val="en-US"/>
        </w:rPr>
        <w:t> (</w:t>
      </w:r>
      <w:r w:rsidR="00923348" w:rsidRPr="00525A1C">
        <w:rPr>
          <w:rFonts w:ascii="Cambria" w:hAnsi="Cambria"/>
          <w:color w:val="363636"/>
          <w:sz w:val="22"/>
          <w:szCs w:val="22"/>
          <w:lang w:val="en-US"/>
        </w:rPr>
        <w:t>Berkeley:</w:t>
      </w:r>
      <w:r w:rsidRPr="00525A1C">
        <w:rPr>
          <w:rFonts w:ascii="Cambria" w:hAnsi="Cambria"/>
          <w:color w:val="363636"/>
          <w:sz w:val="22"/>
          <w:szCs w:val="22"/>
          <w:lang w:val="en-US"/>
        </w:rPr>
        <w:t xml:space="preserve"> University of California Press, 1982).</w:t>
      </w:r>
    </w:p>
    <w:p w14:paraId="099A2CB3" w14:textId="6A1EF9E6"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Arial"/>
          <w:color w:val="0F1111"/>
          <w:kern w:val="36"/>
          <w:sz w:val="22"/>
          <w:szCs w:val="22"/>
          <w:lang w:val="en-US"/>
        </w:rPr>
        <w:t xml:space="preserve">J.C. Sharman, </w:t>
      </w:r>
      <w:r w:rsidRPr="00525A1C">
        <w:rPr>
          <w:rFonts w:ascii="Cambria" w:hAnsi="Cambria" w:cs="Arial"/>
          <w:i/>
          <w:iCs/>
          <w:color w:val="0F1111"/>
          <w:kern w:val="36"/>
          <w:sz w:val="22"/>
          <w:szCs w:val="22"/>
          <w:lang w:val="en-US"/>
        </w:rPr>
        <w:t>Empires of the Weak: The Real Story of European Expansion and the Creation of the New World Order Paperback</w:t>
      </w:r>
      <w:r w:rsidRPr="00525A1C">
        <w:rPr>
          <w:rFonts w:ascii="Cambria" w:hAnsi="Cambria" w:cs="Arial"/>
          <w:color w:val="0F1111"/>
          <w:kern w:val="36"/>
          <w:sz w:val="22"/>
          <w:szCs w:val="22"/>
          <w:lang w:val="en-US"/>
        </w:rPr>
        <w:t xml:space="preserve"> (</w:t>
      </w:r>
      <w:r w:rsidR="00923348" w:rsidRPr="00525A1C">
        <w:rPr>
          <w:rFonts w:ascii="Cambria" w:hAnsi="Cambria" w:cs="Arial"/>
          <w:color w:val="0F1111"/>
          <w:kern w:val="36"/>
          <w:sz w:val="22"/>
          <w:szCs w:val="22"/>
          <w:lang w:val="en-US"/>
        </w:rPr>
        <w:t>Princeton:</w:t>
      </w:r>
      <w:r w:rsidRPr="00525A1C">
        <w:rPr>
          <w:rFonts w:ascii="Cambria" w:hAnsi="Cambria" w:cs="Arial"/>
          <w:color w:val="0F1111"/>
          <w:kern w:val="36"/>
          <w:sz w:val="22"/>
          <w:szCs w:val="22"/>
          <w:lang w:val="en-US"/>
        </w:rPr>
        <w:t xml:space="preserve"> Princeton University Press, 2019).</w:t>
      </w:r>
    </w:p>
    <w:p w14:paraId="3259493E" w14:textId="77777777" w:rsidR="0078094C" w:rsidRPr="00525A1C" w:rsidRDefault="0078094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E70A89" w14:textId="77777777" w:rsidR="00633974" w:rsidRPr="00525A1C" w:rsidRDefault="006339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23D02D2" w14:textId="77777777" w:rsidR="00633974" w:rsidRPr="00525A1C" w:rsidRDefault="006339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1744221" w14:textId="77777777" w:rsidR="003D36FB" w:rsidRPr="00525A1C" w:rsidRDefault="003D36F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B431EB5"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7AD21A" w14:textId="77777777" w:rsidR="004B745C" w:rsidRPr="00525A1C" w:rsidRDefault="004B745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64A6CE3" w14:textId="77777777" w:rsidR="004B745C" w:rsidRPr="00525A1C" w:rsidRDefault="004B745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6BFB57E" w14:textId="45B2EC33" w:rsidR="00F349DF" w:rsidRPr="00525A1C" w:rsidRDefault="00570518" w:rsidP="00F349DF">
      <w:pPr>
        <w:spacing w:after="0" w:line="240" w:lineRule="auto"/>
        <w:jc w:val="center"/>
        <w:rPr>
          <w:rFonts w:ascii="Cambria" w:eastAsia="Times New Roman" w:hAnsi="Cambria" w:cs="Times New Roman"/>
          <w:iCs/>
          <w:color w:val="B92168" w:themeColor="accent2" w:themeShade="BF"/>
          <w:kern w:val="0"/>
          <w:sz w:val="28"/>
          <w:szCs w:val="28"/>
          <w:lang w:eastAsia="fr-FR"/>
        </w:rPr>
      </w:pPr>
      <w:r w:rsidRPr="00525A1C">
        <w:rPr>
          <w:rFonts w:ascii="Cambria" w:eastAsia="Times New Roman" w:hAnsi="Cambria" w:cs="Times New Roman"/>
          <w:iCs/>
          <w:color w:val="B92168" w:themeColor="accent2" w:themeShade="BF"/>
          <w:kern w:val="0"/>
          <w:sz w:val="28"/>
          <w:szCs w:val="28"/>
          <w:lang w:eastAsia="fr-FR"/>
        </w:rPr>
        <w:t xml:space="preserve">J301S119 </w:t>
      </w:r>
      <w:r w:rsidR="00996AFB" w:rsidRPr="00525A1C">
        <w:rPr>
          <w:rFonts w:ascii="Cambria" w:eastAsia="Times New Roman" w:hAnsi="Cambria" w:cs="Times New Roman"/>
          <w:iCs/>
          <w:color w:val="B92168" w:themeColor="accent2" w:themeShade="BF"/>
          <w:kern w:val="0"/>
          <w:sz w:val="28"/>
          <w:szCs w:val="28"/>
          <w:lang w:eastAsia="fr-FR"/>
        </w:rPr>
        <w:t>–</w:t>
      </w:r>
      <w:r w:rsidRPr="00525A1C">
        <w:rPr>
          <w:rFonts w:ascii="Cambria" w:eastAsia="Times New Roman" w:hAnsi="Cambria" w:cs="Times New Roman"/>
          <w:iCs/>
          <w:color w:val="B92168" w:themeColor="accent2" w:themeShade="BF"/>
          <w:kern w:val="0"/>
          <w:sz w:val="28"/>
          <w:szCs w:val="28"/>
          <w:lang w:eastAsia="fr-FR"/>
        </w:rPr>
        <w:t xml:space="preserve"> </w:t>
      </w:r>
      <w:r w:rsidR="00996AFB" w:rsidRPr="00525A1C">
        <w:rPr>
          <w:rFonts w:ascii="Cambria" w:eastAsia="Times New Roman" w:hAnsi="Cambria" w:cs="Times New Roman"/>
          <w:iCs/>
          <w:color w:val="B92168" w:themeColor="accent2" w:themeShade="BF"/>
          <w:kern w:val="0"/>
          <w:sz w:val="28"/>
          <w:szCs w:val="28"/>
          <w:lang w:eastAsia="fr-FR"/>
        </w:rPr>
        <w:t xml:space="preserve">J302ST19 : </w:t>
      </w:r>
      <w:r w:rsidR="00F349DF" w:rsidRPr="00525A1C">
        <w:rPr>
          <w:rFonts w:ascii="Cambria" w:eastAsia="Times New Roman" w:hAnsi="Cambria" w:cs="Times New Roman"/>
          <w:iCs/>
          <w:color w:val="B92168" w:themeColor="accent2" w:themeShade="BF"/>
          <w:kern w:val="0"/>
          <w:sz w:val="28"/>
          <w:szCs w:val="28"/>
          <w:lang w:eastAsia="fr-FR"/>
        </w:rPr>
        <w:t>Stage optionnel de Licence 3</w:t>
      </w:r>
    </w:p>
    <w:p w14:paraId="03A2677D" w14:textId="77777777" w:rsidR="00F349DF" w:rsidRPr="00525A1C" w:rsidRDefault="00F349DF" w:rsidP="00F349DF">
      <w:pPr>
        <w:spacing w:after="0" w:line="240" w:lineRule="auto"/>
        <w:jc w:val="both"/>
        <w:rPr>
          <w:rFonts w:ascii="Cambria" w:eastAsia="Times New Roman" w:hAnsi="Cambria" w:cs="Times New Roman"/>
          <w:b w:val="0"/>
          <w:iCs/>
          <w:color w:val="000000"/>
          <w:kern w:val="0"/>
          <w:sz w:val="22"/>
          <w:lang w:eastAsia="fr-FR"/>
        </w:rPr>
      </w:pPr>
    </w:p>
    <w:p w14:paraId="0868C92E"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La réalisation d’un stage est proposée parmi les options professionnalisantes de l’UE 2 complémentaire de la L3 générale d’histoire et de la double licence histoire-philosophie. </w:t>
      </w:r>
    </w:p>
    <w:p w14:paraId="36FAA7FA" w14:textId="77777777" w:rsidR="00F349DF" w:rsidRPr="00525A1C" w:rsidRDefault="00F349DF" w:rsidP="00BE57C5">
      <w:pPr>
        <w:widowControl w:val="0"/>
        <w:autoSpaceDE w:val="0"/>
        <w:autoSpaceDN w:val="0"/>
        <w:adjustRightInd w:val="0"/>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Les démarches nécessaires pour trouver le stage doivent être faites par l’étudiant. Il doit être effectué dans des métiers où les compétences mises en œuvre dans le cursus d’histoire sont recherchées et utilisées (savoirs historiques et scientifiques spécifiques, compétences génériques des études de sciences humaines et sociales, compétences rédactionnelles, organisationnelles, etc.).</w:t>
      </w:r>
    </w:p>
    <w:p w14:paraId="490AF97C" w14:textId="77777777" w:rsidR="00F349DF" w:rsidRPr="00525A1C" w:rsidRDefault="00F349DF" w:rsidP="00BE57C5">
      <w:pPr>
        <w:widowControl w:val="0"/>
        <w:autoSpaceDE w:val="0"/>
        <w:autoSpaceDN w:val="0"/>
        <w:adjustRightInd w:val="0"/>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La durée du stage doit être de 15 jours ouvrés minimum ; il est éventuellement possible de faire valider un travail salarié qui correspondrait aux mêmes domaines de métier que ceux dans lesquels le stage doit s’inscrire. Ce stage est à effectuer entre l’année de L2 et l’année de L3 ou, à défaut, au cours de l’année de L3. Il</w:t>
      </w:r>
      <w:r w:rsidRPr="00525A1C">
        <w:rPr>
          <w:rFonts w:ascii="Cambria" w:eastAsia="Times New Roman" w:hAnsi="Cambria" w:cs="Times New Roman"/>
          <w:b w:val="0"/>
          <w:bCs/>
          <w:iCs/>
          <w:color w:val="000000"/>
          <w:kern w:val="0"/>
          <w:sz w:val="22"/>
          <w:lang w:eastAsia="fr-FR"/>
        </w:rPr>
        <w:t xml:space="preserve"> ne doit en aucun cas empêcher l’étudiant d’assister à ses cours et il est, de ce fait, préférable de le réaliser dans la période des vacances scolaires ou bien à temps partiel tout au long de l’année. À l’issue du stage, l’étudiant rédige un rapport de stage de 10 500 à 15 000 signes, qui doit être rendu </w:t>
      </w:r>
      <w:r w:rsidRPr="00525A1C">
        <w:rPr>
          <w:rFonts w:ascii="Cambria" w:eastAsia="Times New Roman" w:hAnsi="Cambria" w:cs="Times New Roman"/>
          <w:b w:val="0"/>
          <w:iCs/>
          <w:color w:val="000000"/>
          <w:kern w:val="0"/>
          <w:sz w:val="22"/>
          <w:lang w:eastAsia="fr-FR"/>
        </w:rPr>
        <w:t>la dernière semaine de TD du semestre.</w:t>
      </w:r>
    </w:p>
    <w:p w14:paraId="4511F7D1"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L’évaluation est faite par l’enseignante référente du stage. Cette évaluation prend en compte le rapport de stage, ainsi qu’une grille d’appréciation remplie par le tuteur du stagiaire à la fin du stage. </w:t>
      </w:r>
    </w:p>
    <w:p w14:paraId="5D5CEABC"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L’inscription dans cette « option stage » se fait au moment des inscriptions pédagogiques, en S1 ou S2 selon le semestre choisi par l’étudiant. </w:t>
      </w:r>
    </w:p>
    <w:p w14:paraId="50A61805" w14:textId="77777777" w:rsidR="00F349DF" w:rsidRPr="00525A1C" w:rsidRDefault="00F349DF" w:rsidP="00F349DF">
      <w:pPr>
        <w:spacing w:after="0" w:line="240" w:lineRule="auto"/>
        <w:ind w:firstLine="284"/>
        <w:jc w:val="both"/>
        <w:rPr>
          <w:rFonts w:ascii="Cambria" w:eastAsia="Times New Roman" w:hAnsi="Cambria" w:cs="Times New Roman"/>
          <w:b w:val="0"/>
          <w:iCs/>
          <w:color w:val="000000"/>
          <w:kern w:val="0"/>
          <w:sz w:val="22"/>
          <w:lang w:eastAsia="fr-FR"/>
        </w:rPr>
      </w:pPr>
    </w:p>
    <w:p w14:paraId="0EF45CF9" w14:textId="1FD8EC1D" w:rsidR="00F349DF" w:rsidRPr="00525A1C" w:rsidRDefault="00F349DF" w:rsidP="00F349DF">
      <w:pPr>
        <w:spacing w:after="0" w:line="240" w:lineRule="auto"/>
        <w:ind w:left="567" w:hanging="567"/>
        <w:jc w:val="both"/>
        <w:rPr>
          <w:rFonts w:ascii="Cambria" w:eastAsia="Times New Roman" w:hAnsi="Cambria" w:cs="Times New Roman"/>
          <w:iCs/>
          <w:color w:val="000000"/>
          <w:kern w:val="0"/>
          <w:sz w:val="22"/>
          <w:lang w:eastAsia="fr-FR"/>
        </w:rPr>
      </w:pPr>
      <w:r w:rsidRPr="00525A1C">
        <w:rPr>
          <w:rFonts w:ascii="Cambria" w:eastAsia="Times New Roman" w:hAnsi="Cambria" w:cs="Times New Roman"/>
          <w:iCs/>
          <w:color w:val="000000"/>
          <w:kern w:val="0"/>
          <w:sz w:val="22"/>
          <w:lang w:eastAsia="fr-FR"/>
        </w:rPr>
        <w:t>Enseignants référents :</w:t>
      </w:r>
    </w:p>
    <w:p w14:paraId="4F9F782D" w14:textId="77777777"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-Anne Couderc </w:t>
      </w:r>
      <w:r w:rsidRPr="00525A1C">
        <w:rPr>
          <w:rFonts w:ascii="Cambria" w:eastAsia="Times New Roman" w:hAnsi="Cambria" w:cs="Times New Roman"/>
          <w:b w:val="0"/>
          <w:iCs/>
          <w:color w:val="000000"/>
          <w:kern w:val="0"/>
          <w:sz w:val="22"/>
          <w:lang w:eastAsia="fr-FR"/>
        </w:rPr>
        <w:t>: stages dans les métiers de l’enseignement et de la recherche, de l’administration et de l’international ;</w:t>
      </w:r>
    </w:p>
    <w:p w14:paraId="33D22745" w14:textId="77777777"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-Ariane Gardel </w:t>
      </w:r>
      <w:r w:rsidRPr="00525A1C">
        <w:rPr>
          <w:rFonts w:ascii="Cambria" w:eastAsia="Times New Roman" w:hAnsi="Cambria" w:cs="Times New Roman"/>
          <w:b w:val="0"/>
          <w:iCs/>
          <w:color w:val="000000"/>
          <w:kern w:val="0"/>
          <w:sz w:val="22"/>
          <w:lang w:eastAsia="fr-FR"/>
        </w:rPr>
        <w:t>: stages dans les métiers des médias, de l’information et de la communication ;</w:t>
      </w:r>
    </w:p>
    <w:p w14:paraId="20396280" w14:textId="2C64F069"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 </w:t>
      </w:r>
      <w:r w:rsidR="00570518" w:rsidRPr="00525A1C">
        <w:rPr>
          <w:rFonts w:ascii="Cambria" w:eastAsia="Times New Roman" w:hAnsi="Cambria" w:cs="Times New Roman"/>
          <w:iCs/>
          <w:color w:val="000000"/>
          <w:kern w:val="0"/>
          <w:sz w:val="22"/>
          <w:lang w:eastAsia="fr-FR"/>
        </w:rPr>
        <w:t xml:space="preserve"> Guillaume Mazeau </w:t>
      </w:r>
      <w:r w:rsidRPr="00525A1C">
        <w:rPr>
          <w:rFonts w:ascii="Cambria" w:eastAsia="Times New Roman" w:hAnsi="Cambria" w:cs="Times New Roman"/>
          <w:b w:val="0"/>
          <w:iCs/>
          <w:color w:val="000000"/>
          <w:kern w:val="0"/>
          <w:sz w:val="22"/>
          <w:lang w:eastAsia="fr-FR"/>
        </w:rPr>
        <w:t>: stages dans les métiers du patrimoine et des musées.</w:t>
      </w:r>
    </w:p>
    <w:p w14:paraId="54849992" w14:textId="77777777" w:rsidR="00F349DF" w:rsidRPr="00525A1C" w:rsidRDefault="00F349DF" w:rsidP="00F349DF">
      <w:pPr>
        <w:spacing w:after="0" w:line="240" w:lineRule="auto"/>
        <w:ind w:firstLine="284"/>
        <w:jc w:val="both"/>
        <w:rPr>
          <w:rFonts w:ascii="Cambria" w:eastAsia="Times New Roman" w:hAnsi="Cambria" w:cs="Times New Roman"/>
          <w:b w:val="0"/>
          <w:iCs/>
          <w:color w:val="000000"/>
          <w:kern w:val="0"/>
          <w:sz w:val="22"/>
          <w:lang w:eastAsia="fr-FR"/>
        </w:rPr>
      </w:pPr>
    </w:p>
    <w:p w14:paraId="7E046468" w14:textId="77777777" w:rsidR="00F349DF" w:rsidRPr="00525A1C" w:rsidRDefault="00F349DF" w:rsidP="00F349DF">
      <w:pPr>
        <w:spacing w:after="0" w:line="240" w:lineRule="auto"/>
        <w:rPr>
          <w:rFonts w:ascii="Cambria" w:eastAsia="Times New Roman" w:hAnsi="Cambria" w:cs="Times New Roman"/>
          <w:b w:val="0"/>
          <w:iCs/>
          <w:kern w:val="0"/>
          <w:sz w:val="22"/>
          <w:lang w:eastAsia="fr-FR"/>
        </w:rPr>
      </w:pPr>
    </w:p>
    <w:p w14:paraId="098CD8FA" w14:textId="77777777" w:rsidR="00F349DF" w:rsidRPr="00525A1C" w:rsidRDefault="00F349DF" w:rsidP="00F349DF">
      <w:pPr>
        <w:spacing w:after="0" w:line="240" w:lineRule="auto"/>
        <w:rPr>
          <w:rFonts w:ascii="Cambria" w:eastAsia="Times New Roman" w:hAnsi="Cambria" w:cs="Times New Roman"/>
          <w:b w:val="0"/>
          <w:iCs/>
          <w:kern w:val="0"/>
          <w:sz w:val="22"/>
          <w:lang w:eastAsia="fr-FR"/>
        </w:rPr>
      </w:pPr>
    </w:p>
    <w:p w14:paraId="7B6CB793" w14:textId="77777777" w:rsidR="00CA5AC2" w:rsidRPr="00525A1C" w:rsidRDefault="00CA5AC2"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4CB6A8E"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AC38FA5"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B6A806A"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FCD2352"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BD0DF3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70F7C45"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81F4D9E"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3F1654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EC6A46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59D5D21"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10A9BE0"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F0A8E87"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54AE5C9"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D2758A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15A9173"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A6141A9"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81D2D63"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C6F7758"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8790951"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66B0E26"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B01396A"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378A5D5"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6DC2B9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B8AE7E0"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282C3C4"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F8B5001"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76578E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31FB712"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07D601D"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9EF856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A9DE85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9DD3F27"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B30256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0979908"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71A895E"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30ACD0D"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06936CD"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3EC0DD1" w14:textId="77777777" w:rsidR="00CA5AC2" w:rsidRDefault="00CA5AC2"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F12BA12" w14:textId="77777777" w:rsidR="00525A1C" w:rsidRDefault="00525A1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FA5E8DA" w14:textId="77777777" w:rsidR="00525A1C" w:rsidRPr="00525A1C" w:rsidRDefault="00525A1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A910766" w14:textId="77777777" w:rsidR="00A3078D" w:rsidRPr="00525A1C" w:rsidRDefault="00A3078D" w:rsidP="00433E2A">
      <w:pPr>
        <w:keepNext/>
        <w:spacing w:after="0" w:line="240" w:lineRule="auto"/>
        <w:jc w:val="both"/>
        <w:outlineLvl w:val="0"/>
        <w:rPr>
          <w:rFonts w:ascii="Cambria" w:hAnsi="Cambria"/>
          <w:b w:val="0"/>
          <w:iCs/>
          <w:sz w:val="22"/>
        </w:rPr>
      </w:pPr>
    </w:p>
    <w:p w14:paraId="38D5BE14" w14:textId="77777777" w:rsidR="00A3078D" w:rsidRPr="00525A1C" w:rsidRDefault="00A3078D" w:rsidP="00433E2A">
      <w:pPr>
        <w:keepNext/>
        <w:spacing w:after="0" w:line="240" w:lineRule="auto"/>
        <w:jc w:val="both"/>
        <w:outlineLvl w:val="0"/>
        <w:rPr>
          <w:rFonts w:ascii="Cambria" w:hAnsi="Cambria"/>
          <w:b w:val="0"/>
          <w:iCs/>
          <w:sz w:val="22"/>
        </w:rPr>
      </w:pPr>
    </w:p>
    <w:p w14:paraId="7AE9DFED" w14:textId="77777777" w:rsidR="00A3078D" w:rsidRPr="00525A1C" w:rsidRDefault="00A3078D" w:rsidP="00EF3A6F">
      <w:pPr>
        <w:tabs>
          <w:tab w:val="left" w:pos="6521"/>
        </w:tabs>
        <w:jc w:val="center"/>
        <w:rPr>
          <w:rFonts w:ascii="Cambria" w:hAnsi="Cambria"/>
          <w:b w:val="0"/>
          <w:iCs/>
          <w:color w:val="B92168" w:themeColor="accent2" w:themeShade="BF"/>
          <w:sz w:val="32"/>
          <w:szCs w:val="32"/>
          <w:u w:val="single"/>
        </w:rPr>
      </w:pPr>
      <w:r w:rsidRPr="00525A1C">
        <w:rPr>
          <w:rFonts w:ascii="Cambria" w:hAnsi="Cambria"/>
          <w:iCs/>
          <w:color w:val="B92168" w:themeColor="accent2" w:themeShade="BF"/>
          <w:sz w:val="32"/>
          <w:szCs w:val="32"/>
          <w:u w:val="single"/>
        </w:rPr>
        <w:t>UE 3 : M</w:t>
      </w:r>
      <w:r w:rsidR="007A4CFF" w:rsidRPr="00525A1C">
        <w:rPr>
          <w:rFonts w:ascii="Cambria" w:hAnsi="Cambria"/>
          <w:iCs/>
          <w:color w:val="B92168" w:themeColor="accent2" w:themeShade="BF"/>
          <w:sz w:val="32"/>
          <w:szCs w:val="32"/>
          <w:u w:val="single"/>
        </w:rPr>
        <w:t>É</w:t>
      </w:r>
      <w:r w:rsidRPr="00525A1C">
        <w:rPr>
          <w:rFonts w:ascii="Cambria" w:hAnsi="Cambria"/>
          <w:iCs/>
          <w:color w:val="B92168" w:themeColor="accent2" w:themeShade="BF"/>
          <w:sz w:val="32"/>
          <w:szCs w:val="32"/>
          <w:u w:val="single"/>
        </w:rPr>
        <w:t>THODOLOGIE</w:t>
      </w:r>
    </w:p>
    <w:p w14:paraId="79407F0E" w14:textId="77777777" w:rsidR="00A3078D" w:rsidRPr="00525A1C" w:rsidRDefault="00A3078D" w:rsidP="00EF3A6F">
      <w:pPr>
        <w:tabs>
          <w:tab w:val="left" w:pos="6521"/>
        </w:tabs>
        <w:jc w:val="center"/>
        <w:rPr>
          <w:rFonts w:ascii="Cambria" w:hAnsi="Cambria"/>
          <w:iCs/>
          <w:color w:val="B92168" w:themeColor="accent2" w:themeShade="BF"/>
          <w:sz w:val="32"/>
          <w:szCs w:val="32"/>
        </w:rPr>
      </w:pPr>
      <w:r w:rsidRPr="00525A1C">
        <w:rPr>
          <w:rFonts w:ascii="Cambria" w:hAnsi="Cambria"/>
          <w:iCs/>
          <w:color w:val="B92168" w:themeColor="accent2" w:themeShade="BF"/>
          <w:sz w:val="32"/>
          <w:szCs w:val="32"/>
        </w:rPr>
        <w:t>1 Matière obligatoire par semestre</w:t>
      </w:r>
    </w:p>
    <w:p w14:paraId="54E98F10" w14:textId="77777777" w:rsidR="00505373" w:rsidRPr="00525A1C" w:rsidRDefault="00505373"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01B85768" w14:textId="77777777" w:rsidR="00505373" w:rsidRPr="00525A1C" w:rsidRDefault="00505373"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2E5A4B32" w14:textId="77777777" w:rsidR="00944D37" w:rsidRPr="00525A1C" w:rsidRDefault="00944D37"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59039654" w14:textId="77777777" w:rsidR="00DF02B6" w:rsidRPr="00525A1C" w:rsidRDefault="00DF02B6" w:rsidP="00DF02B6">
      <w:pPr>
        <w:tabs>
          <w:tab w:val="left" w:pos="6521"/>
        </w:tabs>
        <w:suppressAutoHyphens/>
        <w:spacing w:after="0" w:line="240" w:lineRule="auto"/>
        <w:jc w:val="center"/>
        <w:textAlignment w:val="baseline"/>
        <w:rPr>
          <w:rFonts w:ascii="Cambria" w:eastAsia="Times New Roman" w:hAnsi="Cambria" w:cs="Times New Roman"/>
          <w:iCs/>
          <w:color w:val="000000"/>
          <w:kern w:val="0"/>
          <w:sz w:val="22"/>
          <w:lang w:eastAsia="fr-FR"/>
        </w:rPr>
      </w:pPr>
      <w:r w:rsidRPr="00525A1C">
        <w:rPr>
          <w:rFonts w:ascii="Cambria" w:eastAsia="Times New Roman" w:hAnsi="Cambria" w:cs="Times New Roman"/>
          <w:iCs/>
          <w:color w:val="000000"/>
          <w:kern w:val="0"/>
          <w:sz w:val="22"/>
          <w:lang w:eastAsia="fr-FR"/>
        </w:rPr>
        <w:t>Langue Vivante 1</w:t>
      </w:r>
    </w:p>
    <w:p w14:paraId="79AAF432" w14:textId="77777777" w:rsidR="00DF02B6" w:rsidRPr="00525A1C" w:rsidRDefault="00DF02B6" w:rsidP="00DF02B6">
      <w:pPr>
        <w:tabs>
          <w:tab w:val="left" w:pos="6521"/>
        </w:tabs>
        <w:suppressAutoHyphens/>
        <w:spacing w:after="0" w:line="240" w:lineRule="auto"/>
        <w:jc w:val="center"/>
        <w:textAlignment w:val="baseline"/>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w:t>
      </w:r>
      <w:r w:rsidR="001B691F" w:rsidRPr="00525A1C">
        <w:rPr>
          <w:rFonts w:ascii="Cambria" w:eastAsia="Times New Roman" w:hAnsi="Cambria" w:cs="Times New Roman"/>
          <w:b w:val="0"/>
          <w:iCs/>
          <w:color w:val="000000"/>
          <w:kern w:val="0"/>
          <w:sz w:val="22"/>
          <w:lang w:eastAsia="fr-FR"/>
        </w:rPr>
        <w:t>S’adresser</w:t>
      </w:r>
      <w:r w:rsidRPr="00525A1C">
        <w:rPr>
          <w:rFonts w:ascii="Cambria" w:eastAsia="Times New Roman" w:hAnsi="Cambria" w:cs="Times New Roman"/>
          <w:b w:val="0"/>
          <w:iCs/>
          <w:color w:val="000000"/>
          <w:kern w:val="0"/>
          <w:sz w:val="22"/>
          <w:lang w:eastAsia="fr-FR"/>
        </w:rPr>
        <w:t xml:space="preserve"> au SGEL – Centre PMF)</w:t>
      </w:r>
    </w:p>
    <w:p w14:paraId="2E6720A5" w14:textId="77777777" w:rsidR="00F410C3" w:rsidRPr="00525A1C" w:rsidRDefault="00F410C3" w:rsidP="00F410C3">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p>
    <w:p w14:paraId="455C24CB" w14:textId="77777777" w:rsidR="00DF02B6" w:rsidRPr="00525A1C" w:rsidRDefault="00F410C3" w:rsidP="00F410C3">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w:t>
      </w:r>
    </w:p>
    <w:p w14:paraId="7AFC6B31" w14:textId="77777777" w:rsidR="00E66B1B" w:rsidRPr="00525A1C" w:rsidRDefault="00E66B1B" w:rsidP="007028C2">
      <w:pPr>
        <w:tabs>
          <w:tab w:val="left" w:pos="6521"/>
        </w:tabs>
        <w:suppressAutoHyphens/>
        <w:spacing w:after="0" w:line="240" w:lineRule="auto"/>
        <w:textAlignment w:val="baseline"/>
        <w:rPr>
          <w:rFonts w:ascii="Cambria" w:eastAsia="Times New Roman" w:hAnsi="Cambria" w:cs="Times New Roman"/>
          <w:iCs/>
          <w:kern w:val="0"/>
          <w:sz w:val="22"/>
          <w:lang w:eastAsia="fr-FR"/>
        </w:rPr>
      </w:pPr>
    </w:p>
    <w:p w14:paraId="40A922C6" w14:textId="7B069545" w:rsidR="00822AD6" w:rsidRPr="00105B94" w:rsidRDefault="00A3078D" w:rsidP="00822AD6">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8"/>
          <w:szCs w:val="28"/>
          <w:lang w:eastAsia="fr-FR"/>
        </w:rPr>
      </w:pPr>
      <w:r w:rsidRPr="00105B94">
        <w:rPr>
          <w:rFonts w:ascii="Cambria" w:eastAsia="Times New Roman" w:hAnsi="Cambria" w:cs="Times New Roman"/>
          <w:iCs/>
          <w:color w:val="C00000"/>
          <w:kern w:val="0"/>
          <w:sz w:val="28"/>
          <w:szCs w:val="28"/>
          <w:lang w:eastAsia="fr-FR"/>
        </w:rPr>
        <w:t>J3L1011</w:t>
      </w:r>
      <w:r w:rsidR="000302C1" w:rsidRPr="00105B94">
        <w:rPr>
          <w:rFonts w:ascii="Cambria" w:eastAsia="Times New Roman" w:hAnsi="Cambria" w:cs="Times New Roman"/>
          <w:iCs/>
          <w:color w:val="C00000"/>
          <w:kern w:val="0"/>
          <w:sz w:val="28"/>
          <w:szCs w:val="28"/>
          <w:lang w:eastAsia="fr-FR"/>
        </w:rPr>
        <w:t>9</w:t>
      </w:r>
      <w:r w:rsidR="00822AD6" w:rsidRPr="00105B94">
        <w:rPr>
          <w:rFonts w:ascii="Cambria" w:eastAsia="Times New Roman" w:hAnsi="Cambria" w:cs="Times New Roman"/>
          <w:iCs/>
          <w:color w:val="C00000"/>
          <w:kern w:val="0"/>
          <w:sz w:val="28"/>
          <w:szCs w:val="28"/>
          <w:lang w:eastAsia="fr-FR"/>
        </w:rPr>
        <w:t>/</w:t>
      </w:r>
      <w:r w:rsidRPr="00105B94">
        <w:rPr>
          <w:rFonts w:ascii="Cambria" w:eastAsia="Times New Roman" w:hAnsi="Cambria" w:cs="Times New Roman"/>
          <w:iCs/>
          <w:color w:val="C00000"/>
          <w:kern w:val="0"/>
          <w:sz w:val="28"/>
          <w:szCs w:val="28"/>
          <w:lang w:eastAsia="fr-FR"/>
        </w:rPr>
        <w:t>J3L</w:t>
      </w:r>
      <w:r w:rsidR="001B691F" w:rsidRPr="00105B94">
        <w:rPr>
          <w:rFonts w:ascii="Cambria" w:eastAsia="Times New Roman" w:hAnsi="Cambria" w:cs="Times New Roman"/>
          <w:iCs/>
          <w:color w:val="C00000"/>
          <w:kern w:val="0"/>
          <w:sz w:val="28"/>
          <w:szCs w:val="28"/>
          <w:lang w:eastAsia="fr-FR"/>
        </w:rPr>
        <w:t>1021</w:t>
      </w:r>
      <w:r w:rsidR="000302C1" w:rsidRPr="00105B94">
        <w:rPr>
          <w:rFonts w:ascii="Cambria" w:eastAsia="Times New Roman" w:hAnsi="Cambria" w:cs="Times New Roman"/>
          <w:iCs/>
          <w:color w:val="C00000"/>
          <w:kern w:val="0"/>
          <w:sz w:val="28"/>
          <w:szCs w:val="28"/>
          <w:lang w:eastAsia="fr-FR"/>
        </w:rPr>
        <w:t>9</w:t>
      </w:r>
      <w:r w:rsidR="001B691F" w:rsidRPr="00105B94">
        <w:rPr>
          <w:rFonts w:ascii="Cambria" w:eastAsia="Times New Roman" w:hAnsi="Cambria" w:cs="Times New Roman"/>
          <w:iCs/>
          <w:color w:val="C00000"/>
          <w:kern w:val="0"/>
          <w:sz w:val="28"/>
          <w:szCs w:val="28"/>
          <w:lang w:eastAsia="fr-FR"/>
        </w:rPr>
        <w:t xml:space="preserve"> :</w:t>
      </w:r>
      <w:r w:rsidRPr="00105B94">
        <w:rPr>
          <w:rFonts w:ascii="Cambria" w:eastAsia="Times New Roman" w:hAnsi="Cambria" w:cs="Times New Roman"/>
          <w:iCs/>
          <w:color w:val="C00000"/>
          <w:kern w:val="0"/>
          <w:sz w:val="28"/>
          <w:szCs w:val="28"/>
          <w:lang w:eastAsia="fr-FR"/>
        </w:rPr>
        <w:t xml:space="preserve"> Histoire et informatique </w:t>
      </w:r>
    </w:p>
    <w:p w14:paraId="33A7D607" w14:textId="77777777" w:rsidR="00822AD6" w:rsidRPr="00105B94" w:rsidRDefault="00822AD6" w:rsidP="00822AD6">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8"/>
          <w:szCs w:val="28"/>
          <w:lang w:eastAsia="fr-FR"/>
        </w:rPr>
      </w:pPr>
    </w:p>
    <w:p w14:paraId="48CAAB0D" w14:textId="77777777" w:rsidR="004D6FE6" w:rsidRPr="00105B94" w:rsidRDefault="00F410C3" w:rsidP="007028C2">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2"/>
          <w:lang w:eastAsia="fr-FR"/>
        </w:rPr>
      </w:pPr>
      <w:r w:rsidRPr="00105B94">
        <w:rPr>
          <w:rFonts w:ascii="Cambria" w:eastAsia="Times New Roman" w:hAnsi="Cambria"/>
          <w:bCs/>
          <w:iCs/>
          <w:color w:val="C00000"/>
          <w:sz w:val="22"/>
        </w:rPr>
        <w:t xml:space="preserve">Réservé uniquement à la </w:t>
      </w:r>
      <w:r w:rsidR="00DF02B6" w:rsidRPr="00105B94">
        <w:rPr>
          <w:rFonts w:ascii="Cambria" w:eastAsia="Times New Roman" w:hAnsi="Cambria"/>
          <w:bCs/>
          <w:iCs/>
          <w:color w:val="C00000"/>
          <w:sz w:val="22"/>
        </w:rPr>
        <w:t xml:space="preserve">L3 Histoire/Science </w:t>
      </w:r>
      <w:r w:rsidR="00822AD6" w:rsidRPr="00105B94">
        <w:rPr>
          <w:rFonts w:ascii="Cambria" w:eastAsia="Times New Roman" w:hAnsi="Cambria"/>
          <w:bCs/>
          <w:iCs/>
          <w:color w:val="C00000"/>
          <w:sz w:val="22"/>
        </w:rPr>
        <w:t>politique</w:t>
      </w:r>
    </w:p>
    <w:p w14:paraId="2210E9C4" w14:textId="77777777" w:rsidR="00822AD6" w:rsidRPr="00525A1C" w:rsidRDefault="00822AD6"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center"/>
        <w:outlineLvl w:val="1"/>
        <w:rPr>
          <w:rFonts w:ascii="Cambria" w:eastAsia="Times New Roman" w:hAnsi="Cambria"/>
          <w:bCs/>
          <w:iCs/>
          <w:color w:val="4F81BD"/>
          <w:sz w:val="22"/>
        </w:rPr>
      </w:pPr>
      <w:r w:rsidRPr="00525A1C">
        <w:rPr>
          <w:rFonts w:ascii="Cambria" w:eastAsia="Times New Roman" w:hAnsi="Cambria"/>
          <w:bCs/>
          <w:iCs/>
          <w:color w:val="4F81BD"/>
          <w:sz w:val="22"/>
        </w:rPr>
        <w:t xml:space="preserve">Présentation de l’UE </w:t>
      </w:r>
    </w:p>
    <w:p w14:paraId="7DE4C816" w14:textId="77777777" w:rsidR="007028C2" w:rsidRPr="00525A1C" w:rsidRDefault="007028C2"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center"/>
        <w:outlineLvl w:val="1"/>
        <w:rPr>
          <w:rFonts w:ascii="Cambria" w:eastAsia="Times New Roman" w:hAnsi="Cambria"/>
          <w:bCs/>
          <w:iCs/>
          <w:color w:val="4F81BD"/>
          <w:sz w:val="22"/>
        </w:rPr>
      </w:pPr>
    </w:p>
    <w:p w14:paraId="4CDCE38F"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L’objectif de cet enseignement consiste à initier l’étudiant à la recherche historique à l’aide d’outils informatiques.  Cette initiation se développe autour de quatre axes principaux : </w:t>
      </w:r>
    </w:p>
    <w:p w14:paraId="5112D09F"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La</w:t>
      </w:r>
      <w:r w:rsidR="00172519" w:rsidRPr="00525A1C">
        <w:rPr>
          <w:rFonts w:ascii="Cambria" w:eastAsia="Calibri" w:hAnsi="Cambria" w:cs="Times New Roman"/>
          <w:b w:val="0"/>
          <w:iCs/>
          <w:color w:val="00000A"/>
          <w:kern w:val="0"/>
          <w:sz w:val="22"/>
          <w:lang w:eastAsia="en-US"/>
        </w:rPr>
        <w:t xml:space="preserve"> modélisation et la réalisation de bases de données ;</w:t>
      </w:r>
    </w:p>
    <w:p w14:paraId="59DA3E46"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La</w:t>
      </w:r>
      <w:r w:rsidR="00172519" w:rsidRPr="00525A1C">
        <w:rPr>
          <w:rFonts w:ascii="Cambria" w:eastAsia="Calibri" w:hAnsi="Cambria" w:cs="Times New Roman"/>
          <w:b w:val="0"/>
          <w:iCs/>
          <w:color w:val="00000A"/>
          <w:kern w:val="0"/>
          <w:sz w:val="22"/>
          <w:lang w:eastAsia="en-US"/>
        </w:rPr>
        <w:t xml:space="preserve"> constitution et l’analyse de corpus textuels ;</w:t>
      </w:r>
    </w:p>
    <w:p w14:paraId="2493ED75"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Une</w:t>
      </w:r>
      <w:r w:rsidR="00172519" w:rsidRPr="00525A1C">
        <w:rPr>
          <w:rFonts w:ascii="Cambria" w:eastAsia="Calibri" w:hAnsi="Cambria" w:cs="Times New Roman"/>
          <w:b w:val="0"/>
          <w:iCs/>
          <w:color w:val="00000A"/>
          <w:kern w:val="0"/>
          <w:sz w:val="22"/>
          <w:lang w:eastAsia="en-US"/>
        </w:rPr>
        <w:t xml:space="preserve"> utilisation de l’internet comme ressource et comme source ;</w:t>
      </w:r>
    </w:p>
    <w:p w14:paraId="5A0955CD" w14:textId="77777777" w:rsidR="00172519" w:rsidRPr="00525A1C" w:rsidRDefault="001B691F" w:rsidP="001A073D">
      <w:pPr>
        <w:numPr>
          <w:ilvl w:val="0"/>
          <w:numId w:val="7"/>
        </w:numPr>
        <w:spacing w:after="120" w:line="240" w:lineRule="auto"/>
        <w:jc w:val="both"/>
        <w:rPr>
          <w:rFonts w:ascii="Cambria" w:eastAsia="Calibri" w:hAnsi="Cambria"/>
          <w:b w:val="0"/>
          <w:iCs/>
          <w:color w:val="000000"/>
          <w:kern w:val="0"/>
          <w:sz w:val="22"/>
          <w:lang w:eastAsia="en-US"/>
        </w:rPr>
      </w:pPr>
      <w:r w:rsidRPr="00525A1C">
        <w:rPr>
          <w:rFonts w:ascii="Cambria" w:eastAsia="Calibri" w:hAnsi="Cambria" w:cs="Times New Roman"/>
          <w:b w:val="0"/>
          <w:iCs/>
          <w:color w:val="00000A"/>
          <w:kern w:val="0"/>
          <w:sz w:val="22"/>
          <w:lang w:eastAsia="en-US"/>
        </w:rPr>
        <w:t>L’utilisation</w:t>
      </w:r>
      <w:r w:rsidR="00172519" w:rsidRPr="00525A1C">
        <w:rPr>
          <w:rFonts w:ascii="Cambria" w:eastAsia="Calibri" w:hAnsi="Cambria" w:cs="Times New Roman"/>
          <w:b w:val="0"/>
          <w:iCs/>
          <w:color w:val="00000A"/>
          <w:kern w:val="0"/>
          <w:sz w:val="22"/>
          <w:lang w:eastAsia="en-US"/>
        </w:rPr>
        <w:t xml:space="preserve"> de méthodes statistiques appropriées pour le traitement de l'information historique.</w:t>
      </w:r>
    </w:p>
    <w:p w14:paraId="332D916F"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Il est attendu que l’étudiant s’approprie ces méthodes ainsi que les réflexions quant à la démarche historique. Les étudiants seront conduits à peser l’intérêt historique et épistémologique des connaissances apprises.</w:t>
      </w:r>
    </w:p>
    <w:p w14:paraId="763121BE"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Cet apprentissage s’organise autour de deux enseignements, un cours magistral d’une heure et un TD de 1h30 au premier et au second semestre. </w:t>
      </w:r>
    </w:p>
    <w:p w14:paraId="55E86EBB" w14:textId="77777777" w:rsidR="00822AD6" w:rsidRPr="00525A1C" w:rsidRDefault="00822AD6" w:rsidP="00172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iCs/>
          <w:sz w:val="22"/>
        </w:rPr>
      </w:pPr>
    </w:p>
    <w:p w14:paraId="50ECEDC0" w14:textId="77777777" w:rsidR="00822AD6" w:rsidRPr="00525A1C" w:rsidRDefault="00822AD6"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both"/>
        <w:outlineLvl w:val="1"/>
        <w:rPr>
          <w:rFonts w:ascii="Cambria" w:eastAsia="Times New Roman" w:hAnsi="Cambria"/>
          <w:bCs/>
          <w:iCs/>
          <w:sz w:val="22"/>
        </w:rPr>
      </w:pPr>
      <w:r w:rsidRPr="00525A1C">
        <w:rPr>
          <w:rFonts w:ascii="Cambria" w:eastAsia="Times New Roman" w:hAnsi="Cambria"/>
          <w:bCs/>
          <w:iCs/>
          <w:sz w:val="22"/>
        </w:rPr>
        <w:t>Bibliographie</w:t>
      </w:r>
    </w:p>
    <w:p w14:paraId="2C69B538" w14:textId="77777777" w:rsidR="00CA5AC2" w:rsidRPr="00CB5007"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Pour une première approche, les références ci-dessous peuvent être intéressantes, une bibliographie plus complète sera distribuée aux étudiants en </w:t>
      </w:r>
      <w:r w:rsidR="001B691F" w:rsidRPr="00525A1C">
        <w:rPr>
          <w:rFonts w:ascii="Cambria" w:eastAsia="Calibri" w:hAnsi="Cambria" w:cs="Times New Roman"/>
          <w:b w:val="0"/>
          <w:iCs/>
          <w:color w:val="00000A"/>
          <w:kern w:val="0"/>
          <w:sz w:val="22"/>
          <w:lang w:eastAsia="en-US"/>
        </w:rPr>
        <w:t>TD :</w:t>
      </w:r>
    </w:p>
    <w:p w14:paraId="6E59F058" w14:textId="77777777" w:rsidR="00172519" w:rsidRPr="00CB5007" w:rsidRDefault="00172519" w:rsidP="00172519">
      <w:pPr>
        <w:spacing w:after="120" w:line="240" w:lineRule="auto"/>
        <w:jc w:val="both"/>
        <w:rPr>
          <w:rFonts w:ascii="Cambria" w:eastAsia="Calibri" w:hAnsi="Cambria" w:cs="Times New Roman"/>
          <w:b w:val="0"/>
          <w:iCs/>
          <w:color w:val="00000A"/>
          <w:kern w:val="0"/>
          <w:sz w:val="22"/>
          <w:lang w:eastAsia="en-US"/>
        </w:rPr>
      </w:pPr>
      <w:r w:rsidRPr="00CB5007">
        <w:rPr>
          <w:rFonts w:ascii="Cambria" w:eastAsia="Calibri" w:hAnsi="Cambria" w:cs="Times New Roman"/>
          <w:b w:val="0"/>
          <w:iCs/>
          <w:color w:val="00000A"/>
          <w:kern w:val="0"/>
          <w:sz w:val="22"/>
          <w:lang w:eastAsia="en-US"/>
        </w:rPr>
        <w:t>Un article essentiel de réflexion sur la modélisation et la mesure en histoire : J.-P. GENET, « Histoire, Informatique, mesure », Histoire &amp; Mesure, 1, 1986, pp. 7-18.</w:t>
      </w:r>
    </w:p>
    <w:p w14:paraId="0B66595B" w14:textId="77777777" w:rsidR="00172519" w:rsidRPr="00CB5007" w:rsidRDefault="00172519" w:rsidP="00172519">
      <w:pPr>
        <w:spacing w:after="120" w:line="240" w:lineRule="auto"/>
        <w:jc w:val="both"/>
        <w:rPr>
          <w:rFonts w:ascii="Cambria" w:eastAsia="Calibri" w:hAnsi="Cambria"/>
          <w:b w:val="0"/>
          <w:iCs/>
          <w:color w:val="000000"/>
          <w:kern w:val="0"/>
          <w:sz w:val="22"/>
          <w:lang w:eastAsia="en-US"/>
        </w:rPr>
      </w:pPr>
      <w:r w:rsidRPr="00CB5007">
        <w:rPr>
          <w:rFonts w:ascii="Cambria" w:eastAsia="Calibri" w:hAnsi="Cambria" w:cs="Times New Roman"/>
          <w:b w:val="0"/>
          <w:iCs/>
          <w:color w:val="00000A"/>
          <w:kern w:val="0"/>
          <w:sz w:val="22"/>
          <w:lang w:eastAsia="en-US"/>
        </w:rPr>
        <w:t xml:space="preserve">Un article récent de réflexion sur les effets du numérique sur les pratiques des </w:t>
      </w:r>
      <w:r w:rsidR="001B691F" w:rsidRPr="00CB5007">
        <w:rPr>
          <w:rFonts w:ascii="Cambria" w:eastAsia="Calibri" w:hAnsi="Cambria" w:cs="Times New Roman"/>
          <w:b w:val="0"/>
          <w:iCs/>
          <w:color w:val="00000A"/>
          <w:kern w:val="0"/>
          <w:sz w:val="22"/>
          <w:lang w:eastAsia="en-US"/>
        </w:rPr>
        <w:t>historiens :</w:t>
      </w:r>
      <w:r w:rsidRPr="00CB5007">
        <w:rPr>
          <w:rFonts w:ascii="Cambria" w:eastAsia="Calibri" w:hAnsi="Cambria" w:cs="Times New Roman"/>
          <w:b w:val="0"/>
          <w:iCs/>
          <w:color w:val="00000A"/>
          <w:kern w:val="0"/>
          <w:sz w:val="22"/>
          <w:lang w:eastAsia="en-US"/>
        </w:rPr>
        <w:t xml:space="preserve"> S. LAMASSE&amp; P. RYGIEL,</w:t>
      </w:r>
      <w:r w:rsidR="001B691F" w:rsidRPr="00CB5007">
        <w:rPr>
          <w:rFonts w:ascii="Cambria" w:eastAsia="Calibri" w:hAnsi="Cambria" w:cs="Times New Roman"/>
          <w:b w:val="0"/>
          <w:iCs/>
          <w:color w:val="00000A"/>
          <w:kern w:val="0"/>
          <w:sz w:val="22"/>
          <w:lang w:eastAsia="en-US"/>
        </w:rPr>
        <w:t xml:space="preserve"> « Nouvelles</w:t>
      </w:r>
      <w:r w:rsidRPr="00CB5007">
        <w:rPr>
          <w:rFonts w:ascii="Cambria" w:eastAsia="Calibri" w:hAnsi="Cambria" w:cs="Times New Roman"/>
          <w:b w:val="0"/>
          <w:iCs/>
          <w:color w:val="00000A"/>
          <w:kern w:val="0"/>
          <w:sz w:val="22"/>
          <w:lang w:eastAsia="en-US"/>
        </w:rPr>
        <w:t xml:space="preserve"> frontières de </w:t>
      </w:r>
      <w:r w:rsidR="001B691F" w:rsidRPr="00CB5007">
        <w:rPr>
          <w:rFonts w:ascii="Cambria" w:eastAsia="Calibri" w:hAnsi="Cambria" w:cs="Times New Roman"/>
          <w:b w:val="0"/>
          <w:iCs/>
          <w:color w:val="00000A"/>
          <w:kern w:val="0"/>
          <w:sz w:val="22"/>
          <w:lang w:eastAsia="en-US"/>
        </w:rPr>
        <w:t>l’historien »</w:t>
      </w:r>
      <w:r w:rsidRPr="00CB5007">
        <w:rPr>
          <w:rFonts w:ascii="Cambria" w:eastAsia="Calibri" w:hAnsi="Cambria" w:cs="Times New Roman"/>
          <w:b w:val="0"/>
          <w:iCs/>
          <w:color w:val="00000A"/>
          <w:kern w:val="0"/>
          <w:sz w:val="22"/>
          <w:lang w:eastAsia="en-US"/>
        </w:rPr>
        <w:t>, Revue Sciences/Lettres, 2, 2014.</w:t>
      </w:r>
    </w:p>
    <w:p w14:paraId="707EB56C" w14:textId="77777777" w:rsidR="00172519" w:rsidRPr="00CB5007" w:rsidRDefault="00172519" w:rsidP="00172519">
      <w:pPr>
        <w:spacing w:after="120" w:line="240" w:lineRule="auto"/>
        <w:jc w:val="both"/>
        <w:rPr>
          <w:rFonts w:ascii="Cambria" w:eastAsia="Calibri" w:hAnsi="Cambria"/>
          <w:b w:val="0"/>
          <w:iCs/>
          <w:color w:val="000000"/>
          <w:kern w:val="0"/>
          <w:szCs w:val="24"/>
          <w:lang w:eastAsia="en-US"/>
        </w:rPr>
      </w:pPr>
      <w:r w:rsidRPr="00CB5007">
        <w:rPr>
          <w:rFonts w:ascii="Cambria" w:eastAsia="Calibri" w:hAnsi="Cambria" w:cs="Times New Roman"/>
          <w:b w:val="0"/>
          <w:iCs/>
          <w:color w:val="00000A"/>
          <w:kern w:val="0"/>
          <w:sz w:val="22"/>
          <w:lang w:eastAsia="en-US"/>
        </w:rPr>
        <w:t>Pour un panorama de quelques méthodes et outils utiles aux historiens [tous ne seront pas abordés dans cet enseignement] : J. CELLIER&amp; M. COCAUD, Le</w:t>
      </w:r>
      <w:r w:rsidRPr="00CB5007">
        <w:rPr>
          <w:rFonts w:ascii="Cambria" w:eastAsia="Calibri" w:hAnsi="Cambria" w:cs="Times New Roman"/>
          <w:b w:val="0"/>
          <w:iCs/>
          <w:color w:val="00000A"/>
          <w:kern w:val="0"/>
          <w:sz w:val="22"/>
          <w:szCs w:val="24"/>
          <w:lang w:eastAsia="en-US"/>
        </w:rPr>
        <w:t xml:space="preserve"> traitement des données en Histoire et Sciences Sociales. Méthodes et outils, Rennes, PUR, 2012.</w:t>
      </w:r>
    </w:p>
    <w:p w14:paraId="4802E75F" w14:textId="77777777" w:rsidR="00172519" w:rsidRPr="00CB5007" w:rsidRDefault="00172519" w:rsidP="00172519">
      <w:pPr>
        <w:spacing w:after="120" w:line="240" w:lineRule="auto"/>
        <w:jc w:val="both"/>
        <w:rPr>
          <w:rFonts w:ascii="Cambria" w:eastAsia="Calibri" w:hAnsi="Cambria" w:cs="Times New Roman"/>
          <w:b w:val="0"/>
          <w:iCs/>
          <w:color w:val="00000A"/>
          <w:kern w:val="0"/>
          <w:sz w:val="22"/>
          <w:szCs w:val="24"/>
          <w:lang w:eastAsia="en-US"/>
        </w:rPr>
      </w:pPr>
      <w:r w:rsidRPr="00CB5007">
        <w:rPr>
          <w:rFonts w:ascii="Cambria" w:eastAsia="Calibri" w:hAnsi="Cambria" w:cs="Times New Roman"/>
          <w:b w:val="0"/>
          <w:iCs/>
          <w:color w:val="00000A"/>
          <w:kern w:val="0"/>
          <w:sz w:val="22"/>
          <w:szCs w:val="24"/>
          <w:lang w:eastAsia="en-US"/>
        </w:rPr>
        <w:t>Un recueil de communications très accessibles pour commencer en lexicométrie/textométrie: J.-M. BERTRAND, P. BOILLEY, J.-P. GENET, P. SCHMITT-PANTEL (dir.), Langue et histoire. Actes du colloque de l'école doctorale d'histoire de Paris 1. INHA, 20 et 21 octobre 2006, Paris, Publications de la Sorbonne, 2011.</w:t>
      </w:r>
    </w:p>
    <w:p w14:paraId="3272FA29" w14:textId="77777777" w:rsidR="00172519" w:rsidRPr="006D4EF0" w:rsidRDefault="00172519" w:rsidP="00172519">
      <w:pPr>
        <w:spacing w:after="120" w:line="276" w:lineRule="auto"/>
        <w:jc w:val="both"/>
        <w:rPr>
          <w:rFonts w:ascii="Cambria" w:eastAsiaTheme="minorHAnsi" w:hAnsi="Cambria" w:cstheme="minorBidi"/>
          <w:b w:val="0"/>
          <w:iCs/>
          <w:color w:val="00000A"/>
          <w:kern w:val="0"/>
          <w:sz w:val="22"/>
          <w:lang w:eastAsia="en-US"/>
        </w:rPr>
      </w:pPr>
      <w:r w:rsidRPr="00CB5007">
        <w:rPr>
          <w:rFonts w:ascii="Cambria" w:eastAsiaTheme="minorHAnsi" w:hAnsi="Cambria" w:cs="Times New Roman"/>
          <w:b w:val="0"/>
          <w:iCs/>
          <w:color w:val="00000A"/>
          <w:kern w:val="0"/>
          <w:sz w:val="22"/>
          <w:szCs w:val="24"/>
          <w:lang w:eastAsia="en-US"/>
        </w:rPr>
        <w:t xml:space="preserve">Pour une initiation solide -mais toujours abordable -aux statistiques : Y. DODGE, </w:t>
      </w:r>
      <w:bookmarkStart w:id="46" w:name="__DdeLink__109_1112721823"/>
      <w:r w:rsidRPr="00CB5007">
        <w:rPr>
          <w:rFonts w:ascii="Cambria" w:eastAsiaTheme="minorHAnsi" w:hAnsi="Cambria" w:cs="Times New Roman"/>
          <w:b w:val="0"/>
          <w:iCs/>
          <w:color w:val="00000A"/>
          <w:kern w:val="0"/>
          <w:sz w:val="22"/>
          <w:szCs w:val="24"/>
          <w:lang w:eastAsia="en-US"/>
        </w:rPr>
        <w:t>Premiers pas en statistique</w:t>
      </w:r>
      <w:bookmarkEnd w:id="46"/>
      <w:r w:rsidRPr="00CB5007">
        <w:rPr>
          <w:rFonts w:ascii="Cambria" w:eastAsiaTheme="minorHAnsi" w:hAnsi="Cambria" w:cs="Times New Roman"/>
          <w:b w:val="0"/>
          <w:iCs/>
          <w:color w:val="00000A"/>
          <w:kern w:val="0"/>
          <w:sz w:val="22"/>
          <w:szCs w:val="24"/>
          <w:lang w:eastAsia="en-US"/>
        </w:rPr>
        <w:t>, Paris, Springer, 1999.</w:t>
      </w:r>
    </w:p>
    <w:p w14:paraId="7FF3B7C7" w14:textId="77777777" w:rsidR="00822AD6" w:rsidRPr="006D4EF0" w:rsidRDefault="00822AD6" w:rsidP="00822A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3DE5909" w14:textId="77777777" w:rsidR="009C7E92" w:rsidRPr="006D4EF0" w:rsidRDefault="009C7E92" w:rsidP="00433E2A">
      <w:pPr>
        <w:keepNext/>
        <w:spacing w:after="0" w:line="240" w:lineRule="auto"/>
        <w:jc w:val="both"/>
        <w:outlineLvl w:val="0"/>
        <w:rPr>
          <w:rFonts w:ascii="Cambria" w:hAnsi="Cambria"/>
          <w:b w:val="0"/>
          <w:iCs/>
          <w:sz w:val="22"/>
        </w:rPr>
      </w:pPr>
    </w:p>
    <w:p w14:paraId="440A7EF8" w14:textId="77777777" w:rsidR="009C7E92" w:rsidRPr="006D4EF0" w:rsidRDefault="009C7E92" w:rsidP="00433E2A">
      <w:pPr>
        <w:keepNext/>
        <w:spacing w:after="0" w:line="240" w:lineRule="auto"/>
        <w:jc w:val="both"/>
        <w:outlineLvl w:val="0"/>
        <w:rPr>
          <w:rFonts w:ascii="Cambria" w:hAnsi="Cambria"/>
          <w:b w:val="0"/>
          <w:sz w:val="22"/>
        </w:rPr>
      </w:pPr>
    </w:p>
    <w:p w14:paraId="61B5BB9F" w14:textId="77777777" w:rsidR="009C7E92" w:rsidRPr="006D4EF0" w:rsidRDefault="009C7E92" w:rsidP="00433E2A">
      <w:pPr>
        <w:keepNext/>
        <w:spacing w:after="0" w:line="240" w:lineRule="auto"/>
        <w:jc w:val="both"/>
        <w:outlineLvl w:val="0"/>
        <w:rPr>
          <w:rFonts w:ascii="Cambria" w:hAnsi="Cambria"/>
          <w:b w:val="0"/>
          <w:sz w:val="22"/>
        </w:rPr>
      </w:pPr>
    </w:p>
    <w:bookmarkEnd w:id="0"/>
    <w:p w14:paraId="13EBA033" w14:textId="77777777" w:rsidR="009C7E92" w:rsidRPr="006D4EF0" w:rsidRDefault="009C7E92" w:rsidP="00433E2A">
      <w:pPr>
        <w:keepNext/>
        <w:spacing w:after="0" w:line="240" w:lineRule="auto"/>
        <w:jc w:val="both"/>
        <w:outlineLvl w:val="0"/>
        <w:rPr>
          <w:rFonts w:ascii="Cambria" w:hAnsi="Cambria"/>
          <w:b w:val="0"/>
          <w:sz w:val="22"/>
        </w:rPr>
      </w:pPr>
    </w:p>
    <w:sectPr w:rsidR="009C7E92" w:rsidRPr="006D4EF0" w:rsidSect="00E846A1">
      <w:pgSz w:w="16838" w:h="11906" w:orient="landscape" w:code="9"/>
      <w:pgMar w:top="567" w:right="964" w:bottom="567" w:left="567" w:header="709" w:footer="709" w:gutter="0"/>
      <w:cols w:num="2" w:space="84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73B4F5" w14:textId="77777777" w:rsidR="005E32DE" w:rsidRPr="00F8007E" w:rsidRDefault="005E32DE" w:rsidP="007B6395">
      <w:pPr>
        <w:spacing w:after="0" w:line="240" w:lineRule="auto"/>
      </w:pPr>
      <w:r w:rsidRPr="00F8007E">
        <w:separator/>
      </w:r>
    </w:p>
  </w:endnote>
  <w:endnote w:type="continuationSeparator" w:id="0">
    <w:p w14:paraId="4F5B90D6" w14:textId="77777777" w:rsidR="005E32DE" w:rsidRPr="00F8007E" w:rsidRDefault="005E32DE" w:rsidP="007B6395">
      <w:pPr>
        <w:spacing w:after="0" w:line="240" w:lineRule="auto"/>
      </w:pPr>
      <w:r w:rsidRPr="00F80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MS ??">
    <w:altName w:val="MS Mincho"/>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abel">
    <w:altName w:val="Calibri"/>
    <w:panose1 w:val="00000000000000000000"/>
    <w:charset w:val="00"/>
    <w:family w:val="auto"/>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r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Pigiarniq">
    <w:altName w:val="Arial"/>
    <w:charset w:val="00"/>
    <w:family w:val="swiss"/>
    <w:pitch w:val="variable"/>
    <w:sig w:usb0="00000007" w:usb1="40000000" w:usb2="00002000" w:usb3="00000000" w:csb0="00000011" w:csb1="00000000"/>
  </w:font>
  <w:font w:name="Helvetica Neue">
    <w:altName w:val="Arial"/>
    <w:charset w:val="00"/>
    <w:family w:val="auto"/>
    <w:pitch w:val="variable"/>
    <w:sig w:usb0="E50002FF" w:usb1="500079DB" w:usb2="00000010" w:usb3="00000000" w:csb0="00000001" w:csb1="00000000"/>
  </w:font>
  <w:font w:name="Liberation Serif">
    <w:altName w:val="Times New Roman"/>
    <w:charset w:val="01"/>
    <w:family w:val="roman"/>
    <w:pitch w:val="variable"/>
  </w:font>
  <w:font w:name="Noto Serif CJK SC">
    <w:charset w:val="00"/>
    <w:family w:val="auto"/>
    <w:pitch w:val="variable"/>
  </w:font>
  <w:font w:name="Lohit Devanagari">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Songti SC">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Narrow,Bold">
    <w:altName w:val="MS Mincho"/>
    <w:panose1 w:val="00000000000000000000"/>
    <w:charset w:val="80"/>
    <w:family w:val="auto"/>
    <w:notTrueType/>
    <w:pitch w:val="default"/>
    <w:sig w:usb0="00000001" w:usb1="08070000" w:usb2="00000010" w:usb3="00000000" w:csb0="00020000" w:csb1="00000000"/>
  </w:font>
  <w:font w:name="ArialNarrow,Italic">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alatinoLinotype">
    <w:altName w:val="Palatino Linotype"/>
    <w:panose1 w:val="00000000000000000000"/>
    <w:charset w:val="00"/>
    <w:family w:val="roman"/>
    <w:notTrueType/>
    <w:pitch w:val="default"/>
  </w:font>
  <w:font w:name="Gentium Plus">
    <w:charset w:val="00"/>
    <w:family w:val="auto"/>
    <w:pitch w:val="variable"/>
    <w:sig w:usb0="00000003" w:usb1="00000000" w:usb2="00000000" w:usb3="00000000" w:csb0="00000001" w:csb1="00000000"/>
  </w:font>
  <w:font w:name="EBGaramond">
    <w:altName w:val="Cambria"/>
    <w:charset w:val="00"/>
    <w:family w:val="roman"/>
    <w:pitch w:val="default"/>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Cambria-Bold">
    <w:altName w:val="Cambria"/>
    <w:charset w:val="01"/>
    <w:family w:val="roman"/>
    <w:pitch w:val="default"/>
  </w:font>
  <w:font w:name="IFAO-Grec Unicode">
    <w:altName w:val="Calibri"/>
    <w:charset w:val="01"/>
    <w:family w:val="auto"/>
    <w:pitch w:val="variable"/>
  </w:font>
  <w:font w:name="Aptos">
    <w:charset w:val="00"/>
    <w:family w:val="swiss"/>
    <w:pitch w:val="variable"/>
    <w:sig w:usb0="20000287" w:usb1="00000003" w:usb2="00000000" w:usb3="00000000" w:csb0="0000019F" w:csb1="00000000"/>
  </w:font>
  <w:font w:name="ヒラギノ角ゴ Pro W3">
    <w:charset w:val="80"/>
    <w:family w:val="swiss"/>
    <w:pitch w:val="variable"/>
    <w:sig w:usb0="E00002FF" w:usb1="7AC7FFFF" w:usb2="00000012" w:usb3="00000000" w:csb0="0002000D" w:csb1="00000000"/>
  </w:font>
  <w:font w:name="Times New Roman (Corp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4664764"/>
      <w:docPartObj>
        <w:docPartGallery w:val="Page Numbers (Bottom of Page)"/>
        <w:docPartUnique/>
      </w:docPartObj>
    </w:sdtPr>
    <w:sdtContent>
      <w:p w14:paraId="2F113576" w14:textId="77777777" w:rsidR="004F2EDE" w:rsidRPr="00F8007E" w:rsidRDefault="004F2EDE">
        <w:pPr>
          <w:pStyle w:val="Pieddepage"/>
        </w:pPr>
        <w:r w:rsidRPr="00F8007E">
          <w:rPr>
            <w:noProof/>
          </w:rPr>
          <mc:AlternateContent>
            <mc:Choice Requires="wps">
              <w:drawing>
                <wp:anchor distT="0" distB="0" distL="114300" distR="114300" simplePos="0" relativeHeight="251657216" behindDoc="0" locked="0" layoutInCell="0" allowOverlap="1" wp14:anchorId="126B5E98" wp14:editId="3C18B753">
                  <wp:simplePos x="0" y="0"/>
                  <wp:positionH relativeFrom="rightMargin">
                    <wp:align>left</wp:align>
                  </wp:positionH>
                  <mc:AlternateContent>
                    <mc:Choice Requires="wp14">
                      <wp:positionV relativeFrom="bottomMargin">
                        <wp14:pctPosVOffset>7000</wp14:pctPosVOffset>
                      </wp:positionV>
                    </mc:Choice>
                    <mc:Fallback>
                      <wp:positionV relativeFrom="page">
                        <wp:posOffset>7024370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B3DB748" w14:textId="77777777" w:rsidR="004F2EDE" w:rsidRPr="00F8007E" w:rsidRDefault="004F2EDE">
                              <w:pPr>
                                <w:jc w:val="center"/>
                              </w:pPr>
                              <w:r w:rsidRPr="00F8007E">
                                <w:rPr>
                                  <w:sz w:val="22"/>
                                </w:rPr>
                                <w:fldChar w:fldCharType="begin"/>
                              </w:r>
                              <w:r w:rsidRPr="00F8007E">
                                <w:instrText>PAGE    \* MERGEFORMAT</w:instrText>
                              </w:r>
                              <w:r w:rsidRPr="00F8007E">
                                <w:rPr>
                                  <w:sz w:val="22"/>
                                </w:rPr>
                                <w:fldChar w:fldCharType="separate"/>
                              </w:r>
                              <w:r w:rsidRPr="00F8007E">
                                <w:rPr>
                                  <w:sz w:val="16"/>
                                  <w:szCs w:val="16"/>
                                </w:rPr>
                                <w:t>83</w:t>
                              </w:r>
                              <w:r w:rsidRPr="00F8007E">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B5E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7" type="#_x0000_t65" style="position:absolute;margin-left:0;margin-top:0;width:29pt;height:21.6pt;z-index:25165721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1B3DB748" w14:textId="77777777" w:rsidR="004F2EDE" w:rsidRPr="00F8007E" w:rsidRDefault="004F2EDE">
                        <w:pPr>
                          <w:jc w:val="center"/>
                        </w:pPr>
                        <w:r w:rsidRPr="00F8007E">
                          <w:rPr>
                            <w:sz w:val="22"/>
                          </w:rPr>
                          <w:fldChar w:fldCharType="begin"/>
                        </w:r>
                        <w:r w:rsidRPr="00F8007E">
                          <w:instrText>PAGE    \* MERGEFORMAT</w:instrText>
                        </w:r>
                        <w:r w:rsidRPr="00F8007E">
                          <w:rPr>
                            <w:sz w:val="22"/>
                          </w:rPr>
                          <w:fldChar w:fldCharType="separate"/>
                        </w:r>
                        <w:r w:rsidRPr="00F8007E">
                          <w:rPr>
                            <w:sz w:val="16"/>
                            <w:szCs w:val="16"/>
                          </w:rPr>
                          <w:t>83</w:t>
                        </w:r>
                        <w:r w:rsidRPr="00F8007E">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B6C43" w14:textId="77777777" w:rsidR="005E32DE" w:rsidRPr="00F8007E" w:rsidRDefault="005E32DE" w:rsidP="007B6395">
      <w:pPr>
        <w:spacing w:after="0" w:line="240" w:lineRule="auto"/>
      </w:pPr>
      <w:r w:rsidRPr="00F8007E">
        <w:separator/>
      </w:r>
    </w:p>
  </w:footnote>
  <w:footnote w:type="continuationSeparator" w:id="0">
    <w:p w14:paraId="4BBFCF9A" w14:textId="77777777" w:rsidR="005E32DE" w:rsidRPr="00F8007E" w:rsidRDefault="005E32DE" w:rsidP="007B6395">
      <w:pPr>
        <w:spacing w:after="0" w:line="240" w:lineRule="auto"/>
      </w:pPr>
      <w:r w:rsidRPr="00F8007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7333"/>
    <w:multiLevelType w:val="multilevel"/>
    <w:tmpl w:val="883CC88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EE0EDA"/>
    <w:multiLevelType w:val="multilevel"/>
    <w:tmpl w:val="EC16CB8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CE5D87"/>
    <w:multiLevelType w:val="multilevel"/>
    <w:tmpl w:val="8174E0A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BE576E8"/>
    <w:multiLevelType w:val="hybridMultilevel"/>
    <w:tmpl w:val="2EBE9B28"/>
    <w:lvl w:ilvl="0" w:tplc="A398ADBA">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06813C6"/>
    <w:multiLevelType w:val="multilevel"/>
    <w:tmpl w:val="AABC6B8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2546D4"/>
    <w:multiLevelType w:val="multilevel"/>
    <w:tmpl w:val="109C96D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2ED41F2"/>
    <w:multiLevelType w:val="multilevel"/>
    <w:tmpl w:val="652C9EB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30F4CF1"/>
    <w:multiLevelType w:val="multilevel"/>
    <w:tmpl w:val="062E4F0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67422A8"/>
    <w:multiLevelType w:val="multilevel"/>
    <w:tmpl w:val="69BC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A0DE7"/>
    <w:multiLevelType w:val="hybridMultilevel"/>
    <w:tmpl w:val="906C0ED8"/>
    <w:lvl w:ilvl="0" w:tplc="1CF09EB6">
      <w:numFmt w:val="bullet"/>
      <w:lvlText w:val="-"/>
      <w:lvlJc w:val="left"/>
      <w:pPr>
        <w:tabs>
          <w:tab w:val="num" w:pos="360"/>
        </w:tabs>
        <w:ind w:left="360" w:hanging="360"/>
      </w:pPr>
      <w:rPr>
        <w:rFonts w:ascii="Times New Roman" w:eastAsia="Times New Roman" w:hAnsi="Times New Roman" w:hint="default"/>
      </w:rPr>
    </w:lvl>
    <w:lvl w:ilvl="1" w:tplc="0003040C">
      <w:start w:val="1"/>
      <w:numFmt w:val="bullet"/>
      <w:lvlText w:val="o"/>
      <w:lvlJc w:val="left"/>
      <w:pPr>
        <w:tabs>
          <w:tab w:val="num" w:pos="1080"/>
        </w:tabs>
        <w:ind w:left="1080" w:hanging="360"/>
      </w:pPr>
      <w:rPr>
        <w:rFonts w:ascii="Courier New" w:hAnsi="Courier New" w:hint="default"/>
      </w:rPr>
    </w:lvl>
    <w:lvl w:ilvl="2" w:tplc="0005040C" w:tentative="1">
      <w:start w:val="1"/>
      <w:numFmt w:val="bullet"/>
      <w:lvlText w:val=""/>
      <w:lvlJc w:val="left"/>
      <w:pPr>
        <w:tabs>
          <w:tab w:val="num" w:pos="1800"/>
        </w:tabs>
        <w:ind w:left="1800" w:hanging="360"/>
      </w:pPr>
      <w:rPr>
        <w:rFonts w:ascii="Wingdings" w:hAnsi="Wingdings" w:hint="default"/>
      </w:rPr>
    </w:lvl>
    <w:lvl w:ilvl="3" w:tplc="0001040C" w:tentative="1">
      <w:start w:val="1"/>
      <w:numFmt w:val="bullet"/>
      <w:lvlText w:val=""/>
      <w:lvlJc w:val="left"/>
      <w:pPr>
        <w:tabs>
          <w:tab w:val="num" w:pos="2520"/>
        </w:tabs>
        <w:ind w:left="2520" w:hanging="360"/>
      </w:pPr>
      <w:rPr>
        <w:rFonts w:ascii="Symbol" w:hAnsi="Symbol" w:hint="default"/>
      </w:rPr>
    </w:lvl>
    <w:lvl w:ilvl="4" w:tplc="0003040C" w:tentative="1">
      <w:start w:val="1"/>
      <w:numFmt w:val="bullet"/>
      <w:lvlText w:val="o"/>
      <w:lvlJc w:val="left"/>
      <w:pPr>
        <w:tabs>
          <w:tab w:val="num" w:pos="3240"/>
        </w:tabs>
        <w:ind w:left="3240" w:hanging="360"/>
      </w:pPr>
      <w:rPr>
        <w:rFonts w:ascii="Courier New" w:hAnsi="Courier New" w:hint="default"/>
      </w:rPr>
    </w:lvl>
    <w:lvl w:ilvl="5" w:tplc="0005040C" w:tentative="1">
      <w:start w:val="1"/>
      <w:numFmt w:val="bullet"/>
      <w:lvlText w:val=""/>
      <w:lvlJc w:val="left"/>
      <w:pPr>
        <w:tabs>
          <w:tab w:val="num" w:pos="3960"/>
        </w:tabs>
        <w:ind w:left="3960" w:hanging="360"/>
      </w:pPr>
      <w:rPr>
        <w:rFonts w:ascii="Wingdings" w:hAnsi="Wingdings" w:hint="default"/>
      </w:rPr>
    </w:lvl>
    <w:lvl w:ilvl="6" w:tplc="0001040C" w:tentative="1">
      <w:start w:val="1"/>
      <w:numFmt w:val="bullet"/>
      <w:lvlText w:val=""/>
      <w:lvlJc w:val="left"/>
      <w:pPr>
        <w:tabs>
          <w:tab w:val="num" w:pos="4680"/>
        </w:tabs>
        <w:ind w:left="4680" w:hanging="360"/>
      </w:pPr>
      <w:rPr>
        <w:rFonts w:ascii="Symbol" w:hAnsi="Symbol" w:hint="default"/>
      </w:rPr>
    </w:lvl>
    <w:lvl w:ilvl="7" w:tplc="0003040C" w:tentative="1">
      <w:start w:val="1"/>
      <w:numFmt w:val="bullet"/>
      <w:lvlText w:val="o"/>
      <w:lvlJc w:val="left"/>
      <w:pPr>
        <w:tabs>
          <w:tab w:val="num" w:pos="5400"/>
        </w:tabs>
        <w:ind w:left="5400" w:hanging="360"/>
      </w:pPr>
      <w:rPr>
        <w:rFonts w:ascii="Courier New" w:hAnsi="Courier New" w:hint="default"/>
      </w:rPr>
    </w:lvl>
    <w:lvl w:ilvl="8" w:tplc="0005040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8082D03"/>
    <w:multiLevelType w:val="hybridMultilevel"/>
    <w:tmpl w:val="1764BA8A"/>
    <w:lvl w:ilvl="0" w:tplc="673E412E">
      <w:numFmt w:val="bullet"/>
      <w:lvlText w:val="-"/>
      <w:lvlJc w:val="left"/>
      <w:pPr>
        <w:tabs>
          <w:tab w:val="num" w:pos="720"/>
        </w:tabs>
        <w:ind w:left="720" w:hanging="360"/>
      </w:pPr>
      <w:rPr>
        <w:rFonts w:ascii="Times New Roman" w:eastAsia="Times New Roman" w:hAnsi="Times New Roman" w:cs="Times New Roman"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825CEC"/>
    <w:multiLevelType w:val="multilevel"/>
    <w:tmpl w:val="02DAD07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8A64770"/>
    <w:multiLevelType w:val="multilevel"/>
    <w:tmpl w:val="B9AEED4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C1C07F4"/>
    <w:multiLevelType w:val="multilevel"/>
    <w:tmpl w:val="963E3F1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C260EBC"/>
    <w:multiLevelType w:val="multilevel"/>
    <w:tmpl w:val="CE9CB8B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045335D"/>
    <w:multiLevelType w:val="multilevel"/>
    <w:tmpl w:val="6EFE5DE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04778F6"/>
    <w:multiLevelType w:val="hybridMultilevel"/>
    <w:tmpl w:val="7A8A8484"/>
    <w:lvl w:ilvl="0" w:tplc="9498F9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06B5229"/>
    <w:multiLevelType w:val="hybridMultilevel"/>
    <w:tmpl w:val="2276523A"/>
    <w:lvl w:ilvl="0" w:tplc="A6E65E38">
      <w:start w:val="18"/>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69B46CF"/>
    <w:multiLevelType w:val="multilevel"/>
    <w:tmpl w:val="50FC61D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B6873A0"/>
    <w:multiLevelType w:val="multilevel"/>
    <w:tmpl w:val="42D447C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BCF5E25"/>
    <w:multiLevelType w:val="hybridMultilevel"/>
    <w:tmpl w:val="78CEFFC0"/>
    <w:lvl w:ilvl="0" w:tplc="5F549EDA">
      <w:numFmt w:val="bullet"/>
      <w:lvlText w:val="-"/>
      <w:lvlJc w:val="left"/>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2124D1"/>
    <w:multiLevelType w:val="multilevel"/>
    <w:tmpl w:val="438E27E0"/>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15:restartNumberingAfterBreak="0">
    <w:nsid w:val="37F90936"/>
    <w:multiLevelType w:val="multilevel"/>
    <w:tmpl w:val="2DBE3F1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7FD2C25"/>
    <w:multiLevelType w:val="multilevel"/>
    <w:tmpl w:val="625A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DF4BFC"/>
    <w:multiLevelType w:val="multilevel"/>
    <w:tmpl w:val="9AE6D1EA"/>
    <w:lvl w:ilvl="0">
      <w:numFmt w:val="bullet"/>
      <w:lvlText w:val="-"/>
      <w:lvlJc w:val="left"/>
      <w:pPr>
        <w:tabs>
          <w:tab w:val="num" w:pos="720"/>
        </w:tabs>
        <w:ind w:left="720" w:hanging="360"/>
      </w:pPr>
      <w:rPr>
        <w:rFonts w:ascii="TimesNewRomanPSMT" w:hAnsi="TimesNewRomanPSMT" w:cs="TimesNewRomanPSMT" w:hint="default"/>
        <w:b w:val="0"/>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3C1E1D01"/>
    <w:multiLevelType w:val="hybridMultilevel"/>
    <w:tmpl w:val="F050F0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DEA78F6"/>
    <w:multiLevelType w:val="hybridMultilevel"/>
    <w:tmpl w:val="AF224452"/>
    <w:lvl w:ilvl="0" w:tplc="A398ADBA">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4265544E"/>
    <w:multiLevelType w:val="hybridMultilevel"/>
    <w:tmpl w:val="4BE87B16"/>
    <w:lvl w:ilvl="0" w:tplc="F3DE37DC">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473D444A"/>
    <w:multiLevelType w:val="multilevel"/>
    <w:tmpl w:val="3B3E204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92721E6"/>
    <w:multiLevelType w:val="multilevel"/>
    <w:tmpl w:val="3A10E88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E490A46"/>
    <w:multiLevelType w:val="hybridMultilevel"/>
    <w:tmpl w:val="87DCA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691F83"/>
    <w:multiLevelType w:val="multilevel"/>
    <w:tmpl w:val="3E42BE8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25F496B"/>
    <w:multiLevelType w:val="multilevel"/>
    <w:tmpl w:val="B986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87F92"/>
    <w:multiLevelType w:val="hybridMultilevel"/>
    <w:tmpl w:val="DC72B354"/>
    <w:lvl w:ilvl="0" w:tplc="11C4E378">
      <w:numFmt w:val="bullet"/>
      <w:lvlText w:val="-"/>
      <w:lvlJc w:val="left"/>
      <w:pPr>
        <w:tabs>
          <w:tab w:val="num" w:pos="1068"/>
        </w:tabs>
        <w:ind w:left="1068" w:hanging="360"/>
      </w:pPr>
      <w:rPr>
        <w:rFonts w:ascii="Times New Roman" w:eastAsia="Times New Roman" w:hAnsi="Times New Roman" w:hint="default"/>
      </w:rPr>
    </w:lvl>
    <w:lvl w:ilvl="1" w:tplc="0003040C" w:tentative="1">
      <w:start w:val="1"/>
      <w:numFmt w:val="bullet"/>
      <w:lvlText w:val="o"/>
      <w:lvlJc w:val="left"/>
      <w:pPr>
        <w:tabs>
          <w:tab w:val="num" w:pos="1788"/>
        </w:tabs>
        <w:ind w:left="1788" w:hanging="360"/>
      </w:pPr>
      <w:rPr>
        <w:rFonts w:ascii="Courier New" w:hAnsi="Courier New" w:hint="default"/>
      </w:rPr>
    </w:lvl>
    <w:lvl w:ilvl="2" w:tplc="0005040C" w:tentative="1">
      <w:start w:val="1"/>
      <w:numFmt w:val="bullet"/>
      <w:lvlText w:val=""/>
      <w:lvlJc w:val="left"/>
      <w:pPr>
        <w:tabs>
          <w:tab w:val="num" w:pos="2508"/>
        </w:tabs>
        <w:ind w:left="2508" w:hanging="360"/>
      </w:pPr>
      <w:rPr>
        <w:rFonts w:ascii="Wingdings" w:hAnsi="Wingdings" w:hint="default"/>
      </w:rPr>
    </w:lvl>
    <w:lvl w:ilvl="3" w:tplc="0001040C" w:tentative="1">
      <w:start w:val="1"/>
      <w:numFmt w:val="bullet"/>
      <w:lvlText w:val=""/>
      <w:lvlJc w:val="left"/>
      <w:pPr>
        <w:tabs>
          <w:tab w:val="num" w:pos="3228"/>
        </w:tabs>
        <w:ind w:left="3228" w:hanging="360"/>
      </w:pPr>
      <w:rPr>
        <w:rFonts w:ascii="Symbol" w:hAnsi="Symbol" w:hint="default"/>
      </w:rPr>
    </w:lvl>
    <w:lvl w:ilvl="4" w:tplc="0003040C" w:tentative="1">
      <w:start w:val="1"/>
      <w:numFmt w:val="bullet"/>
      <w:lvlText w:val="o"/>
      <w:lvlJc w:val="left"/>
      <w:pPr>
        <w:tabs>
          <w:tab w:val="num" w:pos="3948"/>
        </w:tabs>
        <w:ind w:left="3948" w:hanging="360"/>
      </w:pPr>
      <w:rPr>
        <w:rFonts w:ascii="Courier New" w:hAnsi="Courier New" w:hint="default"/>
      </w:rPr>
    </w:lvl>
    <w:lvl w:ilvl="5" w:tplc="0005040C" w:tentative="1">
      <w:start w:val="1"/>
      <w:numFmt w:val="bullet"/>
      <w:lvlText w:val=""/>
      <w:lvlJc w:val="left"/>
      <w:pPr>
        <w:tabs>
          <w:tab w:val="num" w:pos="4668"/>
        </w:tabs>
        <w:ind w:left="4668" w:hanging="360"/>
      </w:pPr>
      <w:rPr>
        <w:rFonts w:ascii="Wingdings" w:hAnsi="Wingdings" w:hint="default"/>
      </w:rPr>
    </w:lvl>
    <w:lvl w:ilvl="6" w:tplc="0001040C" w:tentative="1">
      <w:start w:val="1"/>
      <w:numFmt w:val="bullet"/>
      <w:lvlText w:val=""/>
      <w:lvlJc w:val="left"/>
      <w:pPr>
        <w:tabs>
          <w:tab w:val="num" w:pos="5388"/>
        </w:tabs>
        <w:ind w:left="5388" w:hanging="360"/>
      </w:pPr>
      <w:rPr>
        <w:rFonts w:ascii="Symbol" w:hAnsi="Symbol" w:hint="default"/>
      </w:rPr>
    </w:lvl>
    <w:lvl w:ilvl="7" w:tplc="0003040C" w:tentative="1">
      <w:start w:val="1"/>
      <w:numFmt w:val="bullet"/>
      <w:lvlText w:val="o"/>
      <w:lvlJc w:val="left"/>
      <w:pPr>
        <w:tabs>
          <w:tab w:val="num" w:pos="6108"/>
        </w:tabs>
        <w:ind w:left="6108" w:hanging="360"/>
      </w:pPr>
      <w:rPr>
        <w:rFonts w:ascii="Courier New" w:hAnsi="Courier New" w:hint="default"/>
      </w:rPr>
    </w:lvl>
    <w:lvl w:ilvl="8" w:tplc="0005040C" w:tentative="1">
      <w:start w:val="1"/>
      <w:numFmt w:val="bullet"/>
      <w:lvlText w:val=""/>
      <w:lvlJc w:val="left"/>
      <w:pPr>
        <w:tabs>
          <w:tab w:val="num" w:pos="6828"/>
        </w:tabs>
        <w:ind w:left="6828" w:hanging="360"/>
      </w:pPr>
      <w:rPr>
        <w:rFonts w:ascii="Wingdings" w:hAnsi="Wingdings" w:hint="default"/>
      </w:rPr>
    </w:lvl>
  </w:abstractNum>
  <w:abstractNum w:abstractNumId="34" w15:restartNumberingAfterBreak="0">
    <w:nsid w:val="6B1D0E22"/>
    <w:multiLevelType w:val="multilevel"/>
    <w:tmpl w:val="DA5EC5A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DC15E31"/>
    <w:multiLevelType w:val="multilevel"/>
    <w:tmpl w:val="AE2A32BE"/>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2D51A98"/>
    <w:multiLevelType w:val="hybridMultilevel"/>
    <w:tmpl w:val="03A2BBA6"/>
    <w:lvl w:ilvl="0" w:tplc="C75A81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9504E5"/>
    <w:multiLevelType w:val="multilevel"/>
    <w:tmpl w:val="F378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FF15DC"/>
    <w:multiLevelType w:val="multilevel"/>
    <w:tmpl w:val="92F6844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793125D3"/>
    <w:multiLevelType w:val="multilevel"/>
    <w:tmpl w:val="AECE8934"/>
    <w:styleLink w:val="WWNum29"/>
    <w:lvl w:ilvl="0">
      <w:numFmt w:val="bullet"/>
      <w:lvlText w:val=""/>
      <w:lvlJc w:val="left"/>
      <w:pPr>
        <w:ind w:left="720" w:hanging="360"/>
      </w:pPr>
      <w:rPr>
        <w:rFonts w:ascii="Symbol" w:hAnsi="Symbol" w:cs="Symbol"/>
        <w:sz w:val="22"/>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40" w15:restartNumberingAfterBreak="0">
    <w:nsid w:val="7A2A61A0"/>
    <w:multiLevelType w:val="hybridMultilevel"/>
    <w:tmpl w:val="C9903ABA"/>
    <w:lvl w:ilvl="0" w:tplc="B4244A5A">
      <w:start w:val="8"/>
      <w:numFmt w:val="bullet"/>
      <w:lvlText w:val="-"/>
      <w:lvlJc w:val="left"/>
      <w:pPr>
        <w:ind w:left="720" w:hanging="360"/>
      </w:pPr>
      <w:rPr>
        <w:rFonts w:ascii="Cambria" w:eastAsia="Times New Roman"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2F178E"/>
    <w:multiLevelType w:val="multilevel"/>
    <w:tmpl w:val="D2A492C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08334469">
    <w:abstractNumId w:val="27"/>
  </w:num>
  <w:num w:numId="2" w16cid:durableId="1769885459">
    <w:abstractNumId w:val="3"/>
  </w:num>
  <w:num w:numId="3" w16cid:durableId="572857213">
    <w:abstractNumId w:val="26"/>
  </w:num>
  <w:num w:numId="4" w16cid:durableId="2094079994">
    <w:abstractNumId w:val="9"/>
  </w:num>
  <w:num w:numId="5" w16cid:durableId="276836248">
    <w:abstractNumId w:val="33"/>
  </w:num>
  <w:num w:numId="6" w16cid:durableId="162357888">
    <w:abstractNumId w:val="24"/>
  </w:num>
  <w:num w:numId="7" w16cid:durableId="877397690">
    <w:abstractNumId w:val="21"/>
  </w:num>
  <w:num w:numId="8" w16cid:durableId="140082300">
    <w:abstractNumId w:val="10"/>
  </w:num>
  <w:num w:numId="9" w16cid:durableId="53893559">
    <w:abstractNumId w:val="36"/>
  </w:num>
  <w:num w:numId="10" w16cid:durableId="1015380935">
    <w:abstractNumId w:val="20"/>
  </w:num>
  <w:num w:numId="11" w16cid:durableId="990409226">
    <w:abstractNumId w:val="16"/>
  </w:num>
  <w:num w:numId="12" w16cid:durableId="959527725">
    <w:abstractNumId w:val="39"/>
  </w:num>
  <w:num w:numId="13" w16cid:durableId="213125085">
    <w:abstractNumId w:val="25"/>
  </w:num>
  <w:num w:numId="14" w16cid:durableId="304285654">
    <w:abstractNumId w:val="40"/>
  </w:num>
  <w:num w:numId="15" w16cid:durableId="1501696540">
    <w:abstractNumId w:val="32"/>
  </w:num>
  <w:num w:numId="16" w16cid:durableId="252010067">
    <w:abstractNumId w:val="30"/>
  </w:num>
  <w:num w:numId="17" w16cid:durableId="1016082187">
    <w:abstractNumId w:val="37"/>
  </w:num>
  <w:num w:numId="18" w16cid:durableId="1271863933">
    <w:abstractNumId w:val="23"/>
  </w:num>
  <w:num w:numId="19" w16cid:durableId="725641577">
    <w:abstractNumId w:val="4"/>
  </w:num>
  <w:num w:numId="20" w16cid:durableId="376973263">
    <w:abstractNumId w:val="1"/>
  </w:num>
  <w:num w:numId="21" w16cid:durableId="236212770">
    <w:abstractNumId w:val="41"/>
  </w:num>
  <w:num w:numId="22" w16cid:durableId="1039670612">
    <w:abstractNumId w:val="13"/>
  </w:num>
  <w:num w:numId="23" w16cid:durableId="1022129379">
    <w:abstractNumId w:val="18"/>
  </w:num>
  <w:num w:numId="24" w16cid:durableId="692655180">
    <w:abstractNumId w:val="12"/>
  </w:num>
  <w:num w:numId="25" w16cid:durableId="742290434">
    <w:abstractNumId w:val="19"/>
  </w:num>
  <w:num w:numId="26" w16cid:durableId="201472">
    <w:abstractNumId w:val="7"/>
  </w:num>
  <w:num w:numId="27" w16cid:durableId="1190029862">
    <w:abstractNumId w:val="35"/>
  </w:num>
  <w:num w:numId="28" w16cid:durableId="304701170">
    <w:abstractNumId w:val="29"/>
  </w:num>
  <w:num w:numId="29" w16cid:durableId="419833993">
    <w:abstractNumId w:val="22"/>
  </w:num>
  <w:num w:numId="30" w16cid:durableId="634606659">
    <w:abstractNumId w:val="31"/>
  </w:num>
  <w:num w:numId="31" w16cid:durableId="1391687875">
    <w:abstractNumId w:val="34"/>
  </w:num>
  <w:num w:numId="32" w16cid:durableId="1676885649">
    <w:abstractNumId w:val="28"/>
  </w:num>
  <w:num w:numId="33" w16cid:durableId="1777215932">
    <w:abstractNumId w:val="6"/>
  </w:num>
  <w:num w:numId="34" w16cid:durableId="1410079228">
    <w:abstractNumId w:val="11"/>
  </w:num>
  <w:num w:numId="35" w16cid:durableId="1403527310">
    <w:abstractNumId w:val="38"/>
  </w:num>
  <w:num w:numId="36" w16cid:durableId="935098125">
    <w:abstractNumId w:val="5"/>
  </w:num>
  <w:num w:numId="37" w16cid:durableId="715589601">
    <w:abstractNumId w:val="14"/>
  </w:num>
  <w:num w:numId="38" w16cid:durableId="2067757324">
    <w:abstractNumId w:val="15"/>
  </w:num>
  <w:num w:numId="39" w16cid:durableId="1615745292">
    <w:abstractNumId w:val="2"/>
  </w:num>
  <w:num w:numId="40" w16cid:durableId="1216769774">
    <w:abstractNumId w:val="0"/>
  </w:num>
  <w:num w:numId="41" w16cid:durableId="783811467">
    <w:abstractNumId w:val="17"/>
  </w:num>
  <w:num w:numId="42" w16cid:durableId="1201479575">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CB3"/>
    <w:rsid w:val="00000543"/>
    <w:rsid w:val="00000599"/>
    <w:rsid w:val="00000CDB"/>
    <w:rsid w:val="00001B30"/>
    <w:rsid w:val="00001F7A"/>
    <w:rsid w:val="000021C6"/>
    <w:rsid w:val="00002276"/>
    <w:rsid w:val="00003322"/>
    <w:rsid w:val="0000338B"/>
    <w:rsid w:val="00003520"/>
    <w:rsid w:val="00003B9D"/>
    <w:rsid w:val="00003FFD"/>
    <w:rsid w:val="000050D1"/>
    <w:rsid w:val="000051B3"/>
    <w:rsid w:val="00005405"/>
    <w:rsid w:val="0000594B"/>
    <w:rsid w:val="0000623B"/>
    <w:rsid w:val="00006DE4"/>
    <w:rsid w:val="00007549"/>
    <w:rsid w:val="00010E8B"/>
    <w:rsid w:val="000114A2"/>
    <w:rsid w:val="00012AB4"/>
    <w:rsid w:val="00014351"/>
    <w:rsid w:val="000147F4"/>
    <w:rsid w:val="00015AB7"/>
    <w:rsid w:val="000165D4"/>
    <w:rsid w:val="00016700"/>
    <w:rsid w:val="00016FCF"/>
    <w:rsid w:val="00021294"/>
    <w:rsid w:val="00021B1D"/>
    <w:rsid w:val="00021CF0"/>
    <w:rsid w:val="00022256"/>
    <w:rsid w:val="00022AC0"/>
    <w:rsid w:val="00022B12"/>
    <w:rsid w:val="00022D64"/>
    <w:rsid w:val="0002418F"/>
    <w:rsid w:val="00024690"/>
    <w:rsid w:val="00024D84"/>
    <w:rsid w:val="00025168"/>
    <w:rsid w:val="00026798"/>
    <w:rsid w:val="00026A4B"/>
    <w:rsid w:val="000275DF"/>
    <w:rsid w:val="00027994"/>
    <w:rsid w:val="000302C1"/>
    <w:rsid w:val="000304F4"/>
    <w:rsid w:val="000307AE"/>
    <w:rsid w:val="00031ABE"/>
    <w:rsid w:val="0003224A"/>
    <w:rsid w:val="00033089"/>
    <w:rsid w:val="000336C8"/>
    <w:rsid w:val="00033D58"/>
    <w:rsid w:val="00033F4E"/>
    <w:rsid w:val="00034113"/>
    <w:rsid w:val="000347DB"/>
    <w:rsid w:val="000352FB"/>
    <w:rsid w:val="00035BE6"/>
    <w:rsid w:val="00035FB5"/>
    <w:rsid w:val="0003607B"/>
    <w:rsid w:val="00037012"/>
    <w:rsid w:val="00037175"/>
    <w:rsid w:val="00037750"/>
    <w:rsid w:val="000377D9"/>
    <w:rsid w:val="00037EB8"/>
    <w:rsid w:val="00041AF8"/>
    <w:rsid w:val="00041F24"/>
    <w:rsid w:val="0004200B"/>
    <w:rsid w:val="00042866"/>
    <w:rsid w:val="00043292"/>
    <w:rsid w:val="00044425"/>
    <w:rsid w:val="00044F85"/>
    <w:rsid w:val="00045494"/>
    <w:rsid w:val="000458EA"/>
    <w:rsid w:val="00047092"/>
    <w:rsid w:val="00047111"/>
    <w:rsid w:val="0005201E"/>
    <w:rsid w:val="00052C51"/>
    <w:rsid w:val="00052DE4"/>
    <w:rsid w:val="00053E84"/>
    <w:rsid w:val="000550DC"/>
    <w:rsid w:val="000556C6"/>
    <w:rsid w:val="00055BF5"/>
    <w:rsid w:val="00055D37"/>
    <w:rsid w:val="00056AD4"/>
    <w:rsid w:val="00056B03"/>
    <w:rsid w:val="0005795F"/>
    <w:rsid w:val="00057F76"/>
    <w:rsid w:val="000607C3"/>
    <w:rsid w:val="0006082A"/>
    <w:rsid w:val="00060E0F"/>
    <w:rsid w:val="00060F2E"/>
    <w:rsid w:val="00061015"/>
    <w:rsid w:val="0006105E"/>
    <w:rsid w:val="000610AE"/>
    <w:rsid w:val="00062C2D"/>
    <w:rsid w:val="00063095"/>
    <w:rsid w:val="0006346F"/>
    <w:rsid w:val="00063DF7"/>
    <w:rsid w:val="000645C7"/>
    <w:rsid w:val="00064826"/>
    <w:rsid w:val="00064B8C"/>
    <w:rsid w:val="0006566E"/>
    <w:rsid w:val="00066A1D"/>
    <w:rsid w:val="00067D41"/>
    <w:rsid w:val="000712AF"/>
    <w:rsid w:val="0007139E"/>
    <w:rsid w:val="000716DB"/>
    <w:rsid w:val="00071D4A"/>
    <w:rsid w:val="00072660"/>
    <w:rsid w:val="000727CA"/>
    <w:rsid w:val="0007306E"/>
    <w:rsid w:val="000730F4"/>
    <w:rsid w:val="000737D2"/>
    <w:rsid w:val="000741F4"/>
    <w:rsid w:val="00074D5A"/>
    <w:rsid w:val="00075968"/>
    <w:rsid w:val="00075C92"/>
    <w:rsid w:val="00075F92"/>
    <w:rsid w:val="00076F37"/>
    <w:rsid w:val="00077ADE"/>
    <w:rsid w:val="000817A9"/>
    <w:rsid w:val="00081984"/>
    <w:rsid w:val="00081E61"/>
    <w:rsid w:val="00082E5D"/>
    <w:rsid w:val="00083107"/>
    <w:rsid w:val="000839B4"/>
    <w:rsid w:val="00083AB4"/>
    <w:rsid w:val="000840C3"/>
    <w:rsid w:val="0008485C"/>
    <w:rsid w:val="00084F36"/>
    <w:rsid w:val="00085FCC"/>
    <w:rsid w:val="000873AF"/>
    <w:rsid w:val="00090150"/>
    <w:rsid w:val="00090E3F"/>
    <w:rsid w:val="00091424"/>
    <w:rsid w:val="00091D3D"/>
    <w:rsid w:val="000924BD"/>
    <w:rsid w:val="00092B53"/>
    <w:rsid w:val="00092E51"/>
    <w:rsid w:val="00093DFA"/>
    <w:rsid w:val="00094837"/>
    <w:rsid w:val="00094E51"/>
    <w:rsid w:val="00095145"/>
    <w:rsid w:val="000951B1"/>
    <w:rsid w:val="00095469"/>
    <w:rsid w:val="000957AC"/>
    <w:rsid w:val="00095B67"/>
    <w:rsid w:val="0009626A"/>
    <w:rsid w:val="000964CE"/>
    <w:rsid w:val="0009711E"/>
    <w:rsid w:val="000A0206"/>
    <w:rsid w:val="000A0D22"/>
    <w:rsid w:val="000A1041"/>
    <w:rsid w:val="000A1DD3"/>
    <w:rsid w:val="000A2382"/>
    <w:rsid w:val="000A2C54"/>
    <w:rsid w:val="000A2F2E"/>
    <w:rsid w:val="000A3196"/>
    <w:rsid w:val="000A3AFB"/>
    <w:rsid w:val="000A4377"/>
    <w:rsid w:val="000A4515"/>
    <w:rsid w:val="000A45BF"/>
    <w:rsid w:val="000A48BC"/>
    <w:rsid w:val="000A628F"/>
    <w:rsid w:val="000A6A40"/>
    <w:rsid w:val="000A7357"/>
    <w:rsid w:val="000A7FE8"/>
    <w:rsid w:val="000B1580"/>
    <w:rsid w:val="000B2DD2"/>
    <w:rsid w:val="000B2EDE"/>
    <w:rsid w:val="000B486D"/>
    <w:rsid w:val="000B52B8"/>
    <w:rsid w:val="000B5846"/>
    <w:rsid w:val="000B62E0"/>
    <w:rsid w:val="000B7704"/>
    <w:rsid w:val="000B7705"/>
    <w:rsid w:val="000B7EF6"/>
    <w:rsid w:val="000C0096"/>
    <w:rsid w:val="000C00F5"/>
    <w:rsid w:val="000C0870"/>
    <w:rsid w:val="000C0873"/>
    <w:rsid w:val="000C109E"/>
    <w:rsid w:val="000C17E4"/>
    <w:rsid w:val="000C1DE3"/>
    <w:rsid w:val="000C1DF0"/>
    <w:rsid w:val="000C2066"/>
    <w:rsid w:val="000C37A7"/>
    <w:rsid w:val="000C4997"/>
    <w:rsid w:val="000C4EC8"/>
    <w:rsid w:val="000C5C76"/>
    <w:rsid w:val="000C624D"/>
    <w:rsid w:val="000C6555"/>
    <w:rsid w:val="000C6E57"/>
    <w:rsid w:val="000C7E20"/>
    <w:rsid w:val="000D00C4"/>
    <w:rsid w:val="000D026A"/>
    <w:rsid w:val="000D078A"/>
    <w:rsid w:val="000D1757"/>
    <w:rsid w:val="000D2980"/>
    <w:rsid w:val="000D2A97"/>
    <w:rsid w:val="000D2E9A"/>
    <w:rsid w:val="000D2FF6"/>
    <w:rsid w:val="000D3359"/>
    <w:rsid w:val="000D3846"/>
    <w:rsid w:val="000D4381"/>
    <w:rsid w:val="000D550C"/>
    <w:rsid w:val="000D592F"/>
    <w:rsid w:val="000D6028"/>
    <w:rsid w:val="000D66CF"/>
    <w:rsid w:val="000D7B04"/>
    <w:rsid w:val="000D7FF5"/>
    <w:rsid w:val="000E0367"/>
    <w:rsid w:val="000E0FAD"/>
    <w:rsid w:val="000E1D7D"/>
    <w:rsid w:val="000E1EEB"/>
    <w:rsid w:val="000E2140"/>
    <w:rsid w:val="000E2483"/>
    <w:rsid w:val="000E2D27"/>
    <w:rsid w:val="000E346A"/>
    <w:rsid w:val="000E4092"/>
    <w:rsid w:val="000E456B"/>
    <w:rsid w:val="000E6D92"/>
    <w:rsid w:val="000E776F"/>
    <w:rsid w:val="000F0171"/>
    <w:rsid w:val="000F1232"/>
    <w:rsid w:val="000F1F41"/>
    <w:rsid w:val="000F2242"/>
    <w:rsid w:val="000F3A21"/>
    <w:rsid w:val="000F3EC9"/>
    <w:rsid w:val="000F4094"/>
    <w:rsid w:val="000F469C"/>
    <w:rsid w:val="000F4D63"/>
    <w:rsid w:val="000F5AAA"/>
    <w:rsid w:val="000F6CD0"/>
    <w:rsid w:val="000F743A"/>
    <w:rsid w:val="00101596"/>
    <w:rsid w:val="0010279A"/>
    <w:rsid w:val="00103596"/>
    <w:rsid w:val="00103C8D"/>
    <w:rsid w:val="0010492A"/>
    <w:rsid w:val="00104F26"/>
    <w:rsid w:val="00105132"/>
    <w:rsid w:val="00105833"/>
    <w:rsid w:val="00105A17"/>
    <w:rsid w:val="00105B94"/>
    <w:rsid w:val="0010764F"/>
    <w:rsid w:val="001101E9"/>
    <w:rsid w:val="001101EA"/>
    <w:rsid w:val="001104B8"/>
    <w:rsid w:val="001104C4"/>
    <w:rsid w:val="00110943"/>
    <w:rsid w:val="001113C8"/>
    <w:rsid w:val="00111B5E"/>
    <w:rsid w:val="001120D7"/>
    <w:rsid w:val="00112465"/>
    <w:rsid w:val="00112D68"/>
    <w:rsid w:val="00113379"/>
    <w:rsid w:val="001141C0"/>
    <w:rsid w:val="00114856"/>
    <w:rsid w:val="0011493D"/>
    <w:rsid w:val="00114B79"/>
    <w:rsid w:val="00114E87"/>
    <w:rsid w:val="00115734"/>
    <w:rsid w:val="00115C2F"/>
    <w:rsid w:val="001167A1"/>
    <w:rsid w:val="00117B05"/>
    <w:rsid w:val="00117CDB"/>
    <w:rsid w:val="00121136"/>
    <w:rsid w:val="001217A8"/>
    <w:rsid w:val="00121FA7"/>
    <w:rsid w:val="0012268A"/>
    <w:rsid w:val="001229F8"/>
    <w:rsid w:val="00122BFD"/>
    <w:rsid w:val="00123DA6"/>
    <w:rsid w:val="001249CB"/>
    <w:rsid w:val="00125951"/>
    <w:rsid w:val="00125A23"/>
    <w:rsid w:val="00125BD4"/>
    <w:rsid w:val="001261D9"/>
    <w:rsid w:val="0012715A"/>
    <w:rsid w:val="001278D3"/>
    <w:rsid w:val="00127F2A"/>
    <w:rsid w:val="001308BF"/>
    <w:rsid w:val="0013259A"/>
    <w:rsid w:val="00133140"/>
    <w:rsid w:val="00133AFE"/>
    <w:rsid w:val="00136C9D"/>
    <w:rsid w:val="00136FA5"/>
    <w:rsid w:val="00137234"/>
    <w:rsid w:val="0013751A"/>
    <w:rsid w:val="00137C0F"/>
    <w:rsid w:val="0014030F"/>
    <w:rsid w:val="00142000"/>
    <w:rsid w:val="00142F12"/>
    <w:rsid w:val="00143337"/>
    <w:rsid w:val="00143866"/>
    <w:rsid w:val="001442D1"/>
    <w:rsid w:val="001457A6"/>
    <w:rsid w:val="001458C7"/>
    <w:rsid w:val="00146280"/>
    <w:rsid w:val="0014639B"/>
    <w:rsid w:val="00146B73"/>
    <w:rsid w:val="00150F50"/>
    <w:rsid w:val="001512EA"/>
    <w:rsid w:val="0015260F"/>
    <w:rsid w:val="00152BAC"/>
    <w:rsid w:val="001544E7"/>
    <w:rsid w:val="00155B03"/>
    <w:rsid w:val="00155FFD"/>
    <w:rsid w:val="00156236"/>
    <w:rsid w:val="00156318"/>
    <w:rsid w:val="00161B6F"/>
    <w:rsid w:val="00161CF8"/>
    <w:rsid w:val="001622C8"/>
    <w:rsid w:val="001634E2"/>
    <w:rsid w:val="0016366A"/>
    <w:rsid w:val="001637C9"/>
    <w:rsid w:val="00163847"/>
    <w:rsid w:val="00163CA4"/>
    <w:rsid w:val="00163F61"/>
    <w:rsid w:val="00163F8C"/>
    <w:rsid w:val="00164703"/>
    <w:rsid w:val="0016528C"/>
    <w:rsid w:val="001652D5"/>
    <w:rsid w:val="001656D8"/>
    <w:rsid w:val="00165CC1"/>
    <w:rsid w:val="00165E18"/>
    <w:rsid w:val="0016671F"/>
    <w:rsid w:val="0016742D"/>
    <w:rsid w:val="00167A94"/>
    <w:rsid w:val="00167AE7"/>
    <w:rsid w:val="001709E0"/>
    <w:rsid w:val="001713A0"/>
    <w:rsid w:val="00172519"/>
    <w:rsid w:val="001732EB"/>
    <w:rsid w:val="001733C4"/>
    <w:rsid w:val="001765B1"/>
    <w:rsid w:val="00176BDB"/>
    <w:rsid w:val="00176D7F"/>
    <w:rsid w:val="00177A8B"/>
    <w:rsid w:val="00177FB4"/>
    <w:rsid w:val="001800AB"/>
    <w:rsid w:val="00180838"/>
    <w:rsid w:val="00181168"/>
    <w:rsid w:val="00181A5C"/>
    <w:rsid w:val="00182147"/>
    <w:rsid w:val="00182B61"/>
    <w:rsid w:val="00184270"/>
    <w:rsid w:val="00184370"/>
    <w:rsid w:val="00184E38"/>
    <w:rsid w:val="0018532C"/>
    <w:rsid w:val="001856B2"/>
    <w:rsid w:val="00185B68"/>
    <w:rsid w:val="00185E47"/>
    <w:rsid w:val="0018632A"/>
    <w:rsid w:val="00186512"/>
    <w:rsid w:val="00186D75"/>
    <w:rsid w:val="00186FEA"/>
    <w:rsid w:val="00190233"/>
    <w:rsid w:val="00190490"/>
    <w:rsid w:val="00191ACF"/>
    <w:rsid w:val="00191C13"/>
    <w:rsid w:val="00191ED8"/>
    <w:rsid w:val="00192118"/>
    <w:rsid w:val="00192CBC"/>
    <w:rsid w:val="001935A2"/>
    <w:rsid w:val="00193A9C"/>
    <w:rsid w:val="00193F40"/>
    <w:rsid w:val="00194617"/>
    <w:rsid w:val="001950B5"/>
    <w:rsid w:val="001950B9"/>
    <w:rsid w:val="00195537"/>
    <w:rsid w:val="001960ED"/>
    <w:rsid w:val="00196C9E"/>
    <w:rsid w:val="00196F4C"/>
    <w:rsid w:val="00197662"/>
    <w:rsid w:val="00197EB0"/>
    <w:rsid w:val="001A0521"/>
    <w:rsid w:val="001A073D"/>
    <w:rsid w:val="001A0FA6"/>
    <w:rsid w:val="001A1473"/>
    <w:rsid w:val="001A17A3"/>
    <w:rsid w:val="001A18DF"/>
    <w:rsid w:val="001A22F8"/>
    <w:rsid w:val="001A2342"/>
    <w:rsid w:val="001A2C40"/>
    <w:rsid w:val="001A2DCF"/>
    <w:rsid w:val="001A442D"/>
    <w:rsid w:val="001A50AD"/>
    <w:rsid w:val="001A5309"/>
    <w:rsid w:val="001A53F6"/>
    <w:rsid w:val="001A64C4"/>
    <w:rsid w:val="001A6F46"/>
    <w:rsid w:val="001A7D83"/>
    <w:rsid w:val="001A7E2E"/>
    <w:rsid w:val="001B00BA"/>
    <w:rsid w:val="001B291E"/>
    <w:rsid w:val="001B3EA6"/>
    <w:rsid w:val="001B43A9"/>
    <w:rsid w:val="001B4C55"/>
    <w:rsid w:val="001B691F"/>
    <w:rsid w:val="001B69CB"/>
    <w:rsid w:val="001B7D5D"/>
    <w:rsid w:val="001B7EBA"/>
    <w:rsid w:val="001C1833"/>
    <w:rsid w:val="001C1E62"/>
    <w:rsid w:val="001C2F7F"/>
    <w:rsid w:val="001C3321"/>
    <w:rsid w:val="001C4648"/>
    <w:rsid w:val="001C4F1F"/>
    <w:rsid w:val="001C68DC"/>
    <w:rsid w:val="001C6A64"/>
    <w:rsid w:val="001C6FD6"/>
    <w:rsid w:val="001C775C"/>
    <w:rsid w:val="001C7A7F"/>
    <w:rsid w:val="001D0084"/>
    <w:rsid w:val="001D0874"/>
    <w:rsid w:val="001D0BE4"/>
    <w:rsid w:val="001D13D4"/>
    <w:rsid w:val="001D1F70"/>
    <w:rsid w:val="001D35F6"/>
    <w:rsid w:val="001D3EC1"/>
    <w:rsid w:val="001D5B88"/>
    <w:rsid w:val="001D5B9F"/>
    <w:rsid w:val="001D6B06"/>
    <w:rsid w:val="001D793C"/>
    <w:rsid w:val="001E0538"/>
    <w:rsid w:val="001E20FC"/>
    <w:rsid w:val="001E27EF"/>
    <w:rsid w:val="001E2FE8"/>
    <w:rsid w:val="001E3CBD"/>
    <w:rsid w:val="001E3E70"/>
    <w:rsid w:val="001E4161"/>
    <w:rsid w:val="001E4A0A"/>
    <w:rsid w:val="001E4D46"/>
    <w:rsid w:val="001E5C0B"/>
    <w:rsid w:val="001E5C4D"/>
    <w:rsid w:val="001E5FE3"/>
    <w:rsid w:val="001E64F4"/>
    <w:rsid w:val="001E7E49"/>
    <w:rsid w:val="001F0825"/>
    <w:rsid w:val="001F0FCF"/>
    <w:rsid w:val="001F108F"/>
    <w:rsid w:val="001F12F4"/>
    <w:rsid w:val="001F2908"/>
    <w:rsid w:val="001F2F83"/>
    <w:rsid w:val="001F397F"/>
    <w:rsid w:val="001F3D58"/>
    <w:rsid w:val="001F44FD"/>
    <w:rsid w:val="001F66CC"/>
    <w:rsid w:val="002009D4"/>
    <w:rsid w:val="00200A67"/>
    <w:rsid w:val="00200C7D"/>
    <w:rsid w:val="00200DA9"/>
    <w:rsid w:val="00201316"/>
    <w:rsid w:val="00201329"/>
    <w:rsid w:val="002016F7"/>
    <w:rsid w:val="00201F4C"/>
    <w:rsid w:val="00201FBD"/>
    <w:rsid w:val="0020231D"/>
    <w:rsid w:val="0020265C"/>
    <w:rsid w:val="00202997"/>
    <w:rsid w:val="00202C5B"/>
    <w:rsid w:val="002033C5"/>
    <w:rsid w:val="0020343F"/>
    <w:rsid w:val="002036C4"/>
    <w:rsid w:val="00203B80"/>
    <w:rsid w:val="0020431F"/>
    <w:rsid w:val="00205000"/>
    <w:rsid w:val="002059B7"/>
    <w:rsid w:val="002060B7"/>
    <w:rsid w:val="002078A4"/>
    <w:rsid w:val="00210844"/>
    <w:rsid w:val="002111FD"/>
    <w:rsid w:val="00211201"/>
    <w:rsid w:val="00211B97"/>
    <w:rsid w:val="0021283D"/>
    <w:rsid w:val="0021296A"/>
    <w:rsid w:val="00213653"/>
    <w:rsid w:val="002136ED"/>
    <w:rsid w:val="00213B57"/>
    <w:rsid w:val="00214D05"/>
    <w:rsid w:val="00215D8D"/>
    <w:rsid w:val="002161CF"/>
    <w:rsid w:val="00217513"/>
    <w:rsid w:val="00217C45"/>
    <w:rsid w:val="0022179D"/>
    <w:rsid w:val="00221F22"/>
    <w:rsid w:val="00222520"/>
    <w:rsid w:val="002239C0"/>
    <w:rsid w:val="00223A9B"/>
    <w:rsid w:val="00224DD3"/>
    <w:rsid w:val="00224FB9"/>
    <w:rsid w:val="00225A26"/>
    <w:rsid w:val="00226132"/>
    <w:rsid w:val="00226289"/>
    <w:rsid w:val="00226594"/>
    <w:rsid w:val="0022722F"/>
    <w:rsid w:val="00227384"/>
    <w:rsid w:val="002304FA"/>
    <w:rsid w:val="00230ACC"/>
    <w:rsid w:val="00230D6E"/>
    <w:rsid w:val="002314AE"/>
    <w:rsid w:val="00231663"/>
    <w:rsid w:val="0023185F"/>
    <w:rsid w:val="00231AA8"/>
    <w:rsid w:val="00231FE2"/>
    <w:rsid w:val="00233A7A"/>
    <w:rsid w:val="00233B69"/>
    <w:rsid w:val="00233F1E"/>
    <w:rsid w:val="00234292"/>
    <w:rsid w:val="00234A99"/>
    <w:rsid w:val="002351A6"/>
    <w:rsid w:val="00235C7C"/>
    <w:rsid w:val="00236049"/>
    <w:rsid w:val="0023615A"/>
    <w:rsid w:val="00236345"/>
    <w:rsid w:val="00236C72"/>
    <w:rsid w:val="00236D10"/>
    <w:rsid w:val="00237581"/>
    <w:rsid w:val="0023758A"/>
    <w:rsid w:val="00237E6F"/>
    <w:rsid w:val="00237F6E"/>
    <w:rsid w:val="002407DC"/>
    <w:rsid w:val="002408FF"/>
    <w:rsid w:val="00240A05"/>
    <w:rsid w:val="00240BDA"/>
    <w:rsid w:val="00242639"/>
    <w:rsid w:val="00243E27"/>
    <w:rsid w:val="00244905"/>
    <w:rsid w:val="0024542B"/>
    <w:rsid w:val="002455A3"/>
    <w:rsid w:val="00245DAC"/>
    <w:rsid w:val="00246A42"/>
    <w:rsid w:val="00246E08"/>
    <w:rsid w:val="0024793D"/>
    <w:rsid w:val="0025083C"/>
    <w:rsid w:val="0025126E"/>
    <w:rsid w:val="002519C8"/>
    <w:rsid w:val="00253A2B"/>
    <w:rsid w:val="00254330"/>
    <w:rsid w:val="00254C0A"/>
    <w:rsid w:val="00254C8A"/>
    <w:rsid w:val="0025576C"/>
    <w:rsid w:val="002557B8"/>
    <w:rsid w:val="0025799E"/>
    <w:rsid w:val="00261515"/>
    <w:rsid w:val="00261637"/>
    <w:rsid w:val="00261EA2"/>
    <w:rsid w:val="002622BA"/>
    <w:rsid w:val="00262B8A"/>
    <w:rsid w:val="002632D9"/>
    <w:rsid w:val="002637DD"/>
    <w:rsid w:val="00263CE1"/>
    <w:rsid w:val="00263E58"/>
    <w:rsid w:val="00263F43"/>
    <w:rsid w:val="00264341"/>
    <w:rsid w:val="002643A5"/>
    <w:rsid w:val="00264494"/>
    <w:rsid w:val="00265322"/>
    <w:rsid w:val="00265D8A"/>
    <w:rsid w:val="00266D63"/>
    <w:rsid w:val="00266EA2"/>
    <w:rsid w:val="002701BA"/>
    <w:rsid w:val="002706AA"/>
    <w:rsid w:val="0027160C"/>
    <w:rsid w:val="00271D3A"/>
    <w:rsid w:val="0027268A"/>
    <w:rsid w:val="00272AC0"/>
    <w:rsid w:val="00272BF5"/>
    <w:rsid w:val="00272E36"/>
    <w:rsid w:val="00272FD2"/>
    <w:rsid w:val="00273791"/>
    <w:rsid w:val="00273CC6"/>
    <w:rsid w:val="00274C45"/>
    <w:rsid w:val="00274E24"/>
    <w:rsid w:val="00275B6C"/>
    <w:rsid w:val="0027735A"/>
    <w:rsid w:val="0027767D"/>
    <w:rsid w:val="00277BFB"/>
    <w:rsid w:val="00280260"/>
    <w:rsid w:val="0028073E"/>
    <w:rsid w:val="0028149C"/>
    <w:rsid w:val="00281A35"/>
    <w:rsid w:val="00283411"/>
    <w:rsid w:val="00283C3E"/>
    <w:rsid w:val="00283E94"/>
    <w:rsid w:val="00283FA7"/>
    <w:rsid w:val="0028479C"/>
    <w:rsid w:val="00286088"/>
    <w:rsid w:val="00290189"/>
    <w:rsid w:val="002905E5"/>
    <w:rsid w:val="00290A4E"/>
    <w:rsid w:val="0029246D"/>
    <w:rsid w:val="002927F2"/>
    <w:rsid w:val="002928C6"/>
    <w:rsid w:val="00292ABE"/>
    <w:rsid w:val="002934C1"/>
    <w:rsid w:val="00293A1D"/>
    <w:rsid w:val="00293ED6"/>
    <w:rsid w:val="002941A4"/>
    <w:rsid w:val="002949EA"/>
    <w:rsid w:val="00294E52"/>
    <w:rsid w:val="00295B62"/>
    <w:rsid w:val="0029621B"/>
    <w:rsid w:val="0029624B"/>
    <w:rsid w:val="00296C7F"/>
    <w:rsid w:val="00297748"/>
    <w:rsid w:val="002A0773"/>
    <w:rsid w:val="002A0A90"/>
    <w:rsid w:val="002A0B57"/>
    <w:rsid w:val="002A1B93"/>
    <w:rsid w:val="002A2DE7"/>
    <w:rsid w:val="002A4457"/>
    <w:rsid w:val="002A4B5B"/>
    <w:rsid w:val="002A5411"/>
    <w:rsid w:val="002A5C06"/>
    <w:rsid w:val="002A6336"/>
    <w:rsid w:val="002A6412"/>
    <w:rsid w:val="002A6551"/>
    <w:rsid w:val="002B0585"/>
    <w:rsid w:val="002B08F7"/>
    <w:rsid w:val="002B154B"/>
    <w:rsid w:val="002B2D9B"/>
    <w:rsid w:val="002B3197"/>
    <w:rsid w:val="002B37A4"/>
    <w:rsid w:val="002B3EA1"/>
    <w:rsid w:val="002B451A"/>
    <w:rsid w:val="002B535F"/>
    <w:rsid w:val="002B5730"/>
    <w:rsid w:val="002B5C0F"/>
    <w:rsid w:val="002B62B5"/>
    <w:rsid w:val="002B65A7"/>
    <w:rsid w:val="002B6B74"/>
    <w:rsid w:val="002B7118"/>
    <w:rsid w:val="002C023C"/>
    <w:rsid w:val="002C1154"/>
    <w:rsid w:val="002C11BC"/>
    <w:rsid w:val="002C1774"/>
    <w:rsid w:val="002C234E"/>
    <w:rsid w:val="002C2F74"/>
    <w:rsid w:val="002C3817"/>
    <w:rsid w:val="002C3D6F"/>
    <w:rsid w:val="002C406A"/>
    <w:rsid w:val="002C424A"/>
    <w:rsid w:val="002C437F"/>
    <w:rsid w:val="002C4631"/>
    <w:rsid w:val="002C47C3"/>
    <w:rsid w:val="002C5D80"/>
    <w:rsid w:val="002C5F06"/>
    <w:rsid w:val="002C6419"/>
    <w:rsid w:val="002C7092"/>
    <w:rsid w:val="002D0180"/>
    <w:rsid w:val="002D0DAB"/>
    <w:rsid w:val="002D0FED"/>
    <w:rsid w:val="002D3787"/>
    <w:rsid w:val="002D408A"/>
    <w:rsid w:val="002D4284"/>
    <w:rsid w:val="002D4B8E"/>
    <w:rsid w:val="002D4D19"/>
    <w:rsid w:val="002D7514"/>
    <w:rsid w:val="002D781E"/>
    <w:rsid w:val="002D7E2D"/>
    <w:rsid w:val="002E02E4"/>
    <w:rsid w:val="002E076F"/>
    <w:rsid w:val="002E0AA5"/>
    <w:rsid w:val="002E1642"/>
    <w:rsid w:val="002E1960"/>
    <w:rsid w:val="002E3A1B"/>
    <w:rsid w:val="002E3A72"/>
    <w:rsid w:val="002E3D43"/>
    <w:rsid w:val="002E3E8F"/>
    <w:rsid w:val="002E6FBA"/>
    <w:rsid w:val="002E7465"/>
    <w:rsid w:val="002E7A91"/>
    <w:rsid w:val="002E7B8F"/>
    <w:rsid w:val="002E7C4E"/>
    <w:rsid w:val="002F0B48"/>
    <w:rsid w:val="002F0E4E"/>
    <w:rsid w:val="002F153E"/>
    <w:rsid w:val="002F1D61"/>
    <w:rsid w:val="002F1F86"/>
    <w:rsid w:val="002F21F9"/>
    <w:rsid w:val="002F277F"/>
    <w:rsid w:val="002F2809"/>
    <w:rsid w:val="002F3CBF"/>
    <w:rsid w:val="002F5244"/>
    <w:rsid w:val="002F527C"/>
    <w:rsid w:val="002F6123"/>
    <w:rsid w:val="002F7427"/>
    <w:rsid w:val="002F757C"/>
    <w:rsid w:val="003002A4"/>
    <w:rsid w:val="00300896"/>
    <w:rsid w:val="0030145C"/>
    <w:rsid w:val="00302C4F"/>
    <w:rsid w:val="00303192"/>
    <w:rsid w:val="003039ED"/>
    <w:rsid w:val="00303B4F"/>
    <w:rsid w:val="00304978"/>
    <w:rsid w:val="00304AB1"/>
    <w:rsid w:val="00305E5E"/>
    <w:rsid w:val="00305F97"/>
    <w:rsid w:val="00306261"/>
    <w:rsid w:val="003063FE"/>
    <w:rsid w:val="00306A4F"/>
    <w:rsid w:val="00306BAF"/>
    <w:rsid w:val="00307199"/>
    <w:rsid w:val="0030757B"/>
    <w:rsid w:val="0031034C"/>
    <w:rsid w:val="003110BF"/>
    <w:rsid w:val="0031126E"/>
    <w:rsid w:val="00311672"/>
    <w:rsid w:val="00311C90"/>
    <w:rsid w:val="00312099"/>
    <w:rsid w:val="00313362"/>
    <w:rsid w:val="003137F6"/>
    <w:rsid w:val="00313C99"/>
    <w:rsid w:val="00313E07"/>
    <w:rsid w:val="003154E1"/>
    <w:rsid w:val="003158F5"/>
    <w:rsid w:val="003161B4"/>
    <w:rsid w:val="00320AA5"/>
    <w:rsid w:val="00321211"/>
    <w:rsid w:val="0032188C"/>
    <w:rsid w:val="003225C8"/>
    <w:rsid w:val="00322EF1"/>
    <w:rsid w:val="0032359E"/>
    <w:rsid w:val="00323BE2"/>
    <w:rsid w:val="00324339"/>
    <w:rsid w:val="0032458D"/>
    <w:rsid w:val="00324D11"/>
    <w:rsid w:val="00324D94"/>
    <w:rsid w:val="00326236"/>
    <w:rsid w:val="00326E99"/>
    <w:rsid w:val="0032713B"/>
    <w:rsid w:val="003272A5"/>
    <w:rsid w:val="0032736B"/>
    <w:rsid w:val="00332D95"/>
    <w:rsid w:val="0033532C"/>
    <w:rsid w:val="00335DE4"/>
    <w:rsid w:val="00336152"/>
    <w:rsid w:val="00336750"/>
    <w:rsid w:val="00336E4D"/>
    <w:rsid w:val="00337A7F"/>
    <w:rsid w:val="0034022B"/>
    <w:rsid w:val="003408CC"/>
    <w:rsid w:val="00341C4F"/>
    <w:rsid w:val="00341E17"/>
    <w:rsid w:val="0034361D"/>
    <w:rsid w:val="003437B2"/>
    <w:rsid w:val="00344B00"/>
    <w:rsid w:val="00344F7A"/>
    <w:rsid w:val="00345141"/>
    <w:rsid w:val="003459DC"/>
    <w:rsid w:val="00345DC8"/>
    <w:rsid w:val="00347B7C"/>
    <w:rsid w:val="003512E5"/>
    <w:rsid w:val="003527C7"/>
    <w:rsid w:val="00352974"/>
    <w:rsid w:val="00352B85"/>
    <w:rsid w:val="003538BA"/>
    <w:rsid w:val="0035456E"/>
    <w:rsid w:val="00354882"/>
    <w:rsid w:val="003551A7"/>
    <w:rsid w:val="00355984"/>
    <w:rsid w:val="003559D7"/>
    <w:rsid w:val="00355C29"/>
    <w:rsid w:val="00356B13"/>
    <w:rsid w:val="00356D03"/>
    <w:rsid w:val="00357396"/>
    <w:rsid w:val="00357502"/>
    <w:rsid w:val="00357D18"/>
    <w:rsid w:val="00360373"/>
    <w:rsid w:val="00360544"/>
    <w:rsid w:val="0036069A"/>
    <w:rsid w:val="00360EB2"/>
    <w:rsid w:val="00360EE0"/>
    <w:rsid w:val="00362B00"/>
    <w:rsid w:val="00363032"/>
    <w:rsid w:val="00363326"/>
    <w:rsid w:val="00363F1C"/>
    <w:rsid w:val="00364131"/>
    <w:rsid w:val="003644AC"/>
    <w:rsid w:val="0036499A"/>
    <w:rsid w:val="00364AF9"/>
    <w:rsid w:val="00364B71"/>
    <w:rsid w:val="003655C2"/>
    <w:rsid w:val="00365734"/>
    <w:rsid w:val="003657ED"/>
    <w:rsid w:val="0036666E"/>
    <w:rsid w:val="0036691E"/>
    <w:rsid w:val="003675B9"/>
    <w:rsid w:val="00367AB1"/>
    <w:rsid w:val="00370DB5"/>
    <w:rsid w:val="00371180"/>
    <w:rsid w:val="003711BE"/>
    <w:rsid w:val="00371A67"/>
    <w:rsid w:val="00371C19"/>
    <w:rsid w:val="00371E39"/>
    <w:rsid w:val="00372A25"/>
    <w:rsid w:val="00372F8B"/>
    <w:rsid w:val="00373338"/>
    <w:rsid w:val="0037370F"/>
    <w:rsid w:val="00374A0D"/>
    <w:rsid w:val="00374E68"/>
    <w:rsid w:val="0037519F"/>
    <w:rsid w:val="00375AAF"/>
    <w:rsid w:val="00375C43"/>
    <w:rsid w:val="003768D0"/>
    <w:rsid w:val="0037691A"/>
    <w:rsid w:val="00377A19"/>
    <w:rsid w:val="003800CA"/>
    <w:rsid w:val="00381BD8"/>
    <w:rsid w:val="003821EF"/>
    <w:rsid w:val="00382548"/>
    <w:rsid w:val="003831D9"/>
    <w:rsid w:val="003837CD"/>
    <w:rsid w:val="0038485C"/>
    <w:rsid w:val="00385640"/>
    <w:rsid w:val="00386A0D"/>
    <w:rsid w:val="00386D1D"/>
    <w:rsid w:val="00387820"/>
    <w:rsid w:val="00387CA8"/>
    <w:rsid w:val="003910CE"/>
    <w:rsid w:val="00391333"/>
    <w:rsid w:val="003923C6"/>
    <w:rsid w:val="00392873"/>
    <w:rsid w:val="003929A3"/>
    <w:rsid w:val="003929BC"/>
    <w:rsid w:val="0039315C"/>
    <w:rsid w:val="003934D5"/>
    <w:rsid w:val="00393B73"/>
    <w:rsid w:val="003952E0"/>
    <w:rsid w:val="003953F2"/>
    <w:rsid w:val="0039543B"/>
    <w:rsid w:val="00395C73"/>
    <w:rsid w:val="00397412"/>
    <w:rsid w:val="0039786A"/>
    <w:rsid w:val="003A182E"/>
    <w:rsid w:val="003A2A36"/>
    <w:rsid w:val="003A3044"/>
    <w:rsid w:val="003A3322"/>
    <w:rsid w:val="003A42B6"/>
    <w:rsid w:val="003A504E"/>
    <w:rsid w:val="003A56A6"/>
    <w:rsid w:val="003A58AE"/>
    <w:rsid w:val="003A6C2A"/>
    <w:rsid w:val="003A7201"/>
    <w:rsid w:val="003B09A0"/>
    <w:rsid w:val="003B1640"/>
    <w:rsid w:val="003B1EA9"/>
    <w:rsid w:val="003B1FDE"/>
    <w:rsid w:val="003B26C1"/>
    <w:rsid w:val="003B34BB"/>
    <w:rsid w:val="003B3BDE"/>
    <w:rsid w:val="003B4EB0"/>
    <w:rsid w:val="003B69CD"/>
    <w:rsid w:val="003B74DB"/>
    <w:rsid w:val="003B754C"/>
    <w:rsid w:val="003B7D98"/>
    <w:rsid w:val="003B7F12"/>
    <w:rsid w:val="003B7FF8"/>
    <w:rsid w:val="003C0248"/>
    <w:rsid w:val="003C0CD5"/>
    <w:rsid w:val="003C23A4"/>
    <w:rsid w:val="003C2C13"/>
    <w:rsid w:val="003C422C"/>
    <w:rsid w:val="003C4573"/>
    <w:rsid w:val="003C48CA"/>
    <w:rsid w:val="003C4975"/>
    <w:rsid w:val="003C55CA"/>
    <w:rsid w:val="003C55D3"/>
    <w:rsid w:val="003C60B1"/>
    <w:rsid w:val="003C6C14"/>
    <w:rsid w:val="003C7501"/>
    <w:rsid w:val="003C7C07"/>
    <w:rsid w:val="003D023A"/>
    <w:rsid w:val="003D1647"/>
    <w:rsid w:val="003D17AF"/>
    <w:rsid w:val="003D1A00"/>
    <w:rsid w:val="003D36FB"/>
    <w:rsid w:val="003D45CB"/>
    <w:rsid w:val="003D554E"/>
    <w:rsid w:val="003D6EDF"/>
    <w:rsid w:val="003D7B43"/>
    <w:rsid w:val="003E00D8"/>
    <w:rsid w:val="003E0448"/>
    <w:rsid w:val="003E0FB9"/>
    <w:rsid w:val="003E2E6A"/>
    <w:rsid w:val="003E3437"/>
    <w:rsid w:val="003E45AE"/>
    <w:rsid w:val="003E4EB3"/>
    <w:rsid w:val="003E551C"/>
    <w:rsid w:val="003E755A"/>
    <w:rsid w:val="003E7CD3"/>
    <w:rsid w:val="003E7D98"/>
    <w:rsid w:val="003F09E2"/>
    <w:rsid w:val="003F19AA"/>
    <w:rsid w:val="003F31BD"/>
    <w:rsid w:val="003F3291"/>
    <w:rsid w:val="003F380D"/>
    <w:rsid w:val="003F43AA"/>
    <w:rsid w:val="003F4B8F"/>
    <w:rsid w:val="003F4C4B"/>
    <w:rsid w:val="003F617E"/>
    <w:rsid w:val="003F664C"/>
    <w:rsid w:val="003F686F"/>
    <w:rsid w:val="003F6E01"/>
    <w:rsid w:val="003F6F70"/>
    <w:rsid w:val="003F7477"/>
    <w:rsid w:val="003F7C8E"/>
    <w:rsid w:val="004002E2"/>
    <w:rsid w:val="0040261E"/>
    <w:rsid w:val="00403790"/>
    <w:rsid w:val="004049A4"/>
    <w:rsid w:val="00404AA5"/>
    <w:rsid w:val="00405418"/>
    <w:rsid w:val="00405444"/>
    <w:rsid w:val="00405978"/>
    <w:rsid w:val="00405A59"/>
    <w:rsid w:val="00405B16"/>
    <w:rsid w:val="0040614B"/>
    <w:rsid w:val="00407750"/>
    <w:rsid w:val="0040797F"/>
    <w:rsid w:val="00410B82"/>
    <w:rsid w:val="0041134C"/>
    <w:rsid w:val="004121CE"/>
    <w:rsid w:val="004147F0"/>
    <w:rsid w:val="004148A8"/>
    <w:rsid w:val="004153E3"/>
    <w:rsid w:val="00415CE9"/>
    <w:rsid w:val="0041613F"/>
    <w:rsid w:val="00416205"/>
    <w:rsid w:val="00416D7F"/>
    <w:rsid w:val="00416EB3"/>
    <w:rsid w:val="0041702A"/>
    <w:rsid w:val="00417511"/>
    <w:rsid w:val="00417CC3"/>
    <w:rsid w:val="004207D8"/>
    <w:rsid w:val="00421016"/>
    <w:rsid w:val="00421171"/>
    <w:rsid w:val="00421CF1"/>
    <w:rsid w:val="0042321C"/>
    <w:rsid w:val="0042356C"/>
    <w:rsid w:val="00423C6C"/>
    <w:rsid w:val="00424A38"/>
    <w:rsid w:val="00425283"/>
    <w:rsid w:val="00425CCF"/>
    <w:rsid w:val="004261BE"/>
    <w:rsid w:val="00427C33"/>
    <w:rsid w:val="00427F6C"/>
    <w:rsid w:val="0043010A"/>
    <w:rsid w:val="00430A0F"/>
    <w:rsid w:val="00430A35"/>
    <w:rsid w:val="004313B8"/>
    <w:rsid w:val="0043145D"/>
    <w:rsid w:val="0043266D"/>
    <w:rsid w:val="004337FF"/>
    <w:rsid w:val="00433982"/>
    <w:rsid w:val="00433E2A"/>
    <w:rsid w:val="004345D0"/>
    <w:rsid w:val="00434A1E"/>
    <w:rsid w:val="004354D6"/>
    <w:rsid w:val="004357E5"/>
    <w:rsid w:val="00435945"/>
    <w:rsid w:val="00435A09"/>
    <w:rsid w:val="004360D6"/>
    <w:rsid w:val="00436821"/>
    <w:rsid w:val="00436ABD"/>
    <w:rsid w:val="00436C66"/>
    <w:rsid w:val="00437086"/>
    <w:rsid w:val="00437965"/>
    <w:rsid w:val="004403BD"/>
    <w:rsid w:val="00440406"/>
    <w:rsid w:val="00441332"/>
    <w:rsid w:val="00441604"/>
    <w:rsid w:val="0044222A"/>
    <w:rsid w:val="00444803"/>
    <w:rsid w:val="004457F5"/>
    <w:rsid w:val="00445B74"/>
    <w:rsid w:val="00450063"/>
    <w:rsid w:val="004507F8"/>
    <w:rsid w:val="00450874"/>
    <w:rsid w:val="00450C8C"/>
    <w:rsid w:val="004518A0"/>
    <w:rsid w:val="004519E1"/>
    <w:rsid w:val="00452050"/>
    <w:rsid w:val="004527C5"/>
    <w:rsid w:val="00454186"/>
    <w:rsid w:val="00454A47"/>
    <w:rsid w:val="00454F8F"/>
    <w:rsid w:val="004564CE"/>
    <w:rsid w:val="00457690"/>
    <w:rsid w:val="00457BF1"/>
    <w:rsid w:val="00460188"/>
    <w:rsid w:val="004601D8"/>
    <w:rsid w:val="00460DA5"/>
    <w:rsid w:val="00461177"/>
    <w:rsid w:val="004613FC"/>
    <w:rsid w:val="00461423"/>
    <w:rsid w:val="00461900"/>
    <w:rsid w:val="00461FE2"/>
    <w:rsid w:val="004625B2"/>
    <w:rsid w:val="00462D9A"/>
    <w:rsid w:val="00462F45"/>
    <w:rsid w:val="00463742"/>
    <w:rsid w:val="004646EF"/>
    <w:rsid w:val="00464E4E"/>
    <w:rsid w:val="0046587A"/>
    <w:rsid w:val="00465AEE"/>
    <w:rsid w:val="004669D4"/>
    <w:rsid w:val="004672CC"/>
    <w:rsid w:val="004677BC"/>
    <w:rsid w:val="00467AC5"/>
    <w:rsid w:val="00467D72"/>
    <w:rsid w:val="004701B7"/>
    <w:rsid w:val="004709D8"/>
    <w:rsid w:val="00471696"/>
    <w:rsid w:val="004718C0"/>
    <w:rsid w:val="00471B53"/>
    <w:rsid w:val="00471BD8"/>
    <w:rsid w:val="00471F61"/>
    <w:rsid w:val="00472A34"/>
    <w:rsid w:val="00472AC2"/>
    <w:rsid w:val="0047361A"/>
    <w:rsid w:val="00474A15"/>
    <w:rsid w:val="00474FC3"/>
    <w:rsid w:val="0047520F"/>
    <w:rsid w:val="00477C68"/>
    <w:rsid w:val="00482073"/>
    <w:rsid w:val="00483D79"/>
    <w:rsid w:val="004843E0"/>
    <w:rsid w:val="00484697"/>
    <w:rsid w:val="00484E53"/>
    <w:rsid w:val="004853F1"/>
    <w:rsid w:val="004876A4"/>
    <w:rsid w:val="00490009"/>
    <w:rsid w:val="00490710"/>
    <w:rsid w:val="00490B35"/>
    <w:rsid w:val="004912A6"/>
    <w:rsid w:val="0049207C"/>
    <w:rsid w:val="004920B9"/>
    <w:rsid w:val="0049460C"/>
    <w:rsid w:val="00494946"/>
    <w:rsid w:val="00494B65"/>
    <w:rsid w:val="004961A7"/>
    <w:rsid w:val="00496251"/>
    <w:rsid w:val="004962DE"/>
    <w:rsid w:val="004A0C03"/>
    <w:rsid w:val="004A0C1E"/>
    <w:rsid w:val="004A30A0"/>
    <w:rsid w:val="004A3179"/>
    <w:rsid w:val="004A409C"/>
    <w:rsid w:val="004A62A2"/>
    <w:rsid w:val="004A6798"/>
    <w:rsid w:val="004A7050"/>
    <w:rsid w:val="004A71D6"/>
    <w:rsid w:val="004B071B"/>
    <w:rsid w:val="004B0B0D"/>
    <w:rsid w:val="004B0F04"/>
    <w:rsid w:val="004B0F31"/>
    <w:rsid w:val="004B10DB"/>
    <w:rsid w:val="004B24E4"/>
    <w:rsid w:val="004B2A46"/>
    <w:rsid w:val="004B2DDF"/>
    <w:rsid w:val="004B311F"/>
    <w:rsid w:val="004B35E6"/>
    <w:rsid w:val="004B3FAF"/>
    <w:rsid w:val="004B40CA"/>
    <w:rsid w:val="004B454D"/>
    <w:rsid w:val="004B4EE5"/>
    <w:rsid w:val="004B558B"/>
    <w:rsid w:val="004B55B0"/>
    <w:rsid w:val="004B5A31"/>
    <w:rsid w:val="004B5A6D"/>
    <w:rsid w:val="004B5DCE"/>
    <w:rsid w:val="004B61BA"/>
    <w:rsid w:val="004B6437"/>
    <w:rsid w:val="004B6495"/>
    <w:rsid w:val="004B745C"/>
    <w:rsid w:val="004B779E"/>
    <w:rsid w:val="004B7825"/>
    <w:rsid w:val="004C047A"/>
    <w:rsid w:val="004C048F"/>
    <w:rsid w:val="004C122C"/>
    <w:rsid w:val="004C20B2"/>
    <w:rsid w:val="004C335F"/>
    <w:rsid w:val="004C3A9C"/>
    <w:rsid w:val="004C44C0"/>
    <w:rsid w:val="004C5090"/>
    <w:rsid w:val="004C5B3C"/>
    <w:rsid w:val="004C5F72"/>
    <w:rsid w:val="004C7A2F"/>
    <w:rsid w:val="004D0850"/>
    <w:rsid w:val="004D0CD8"/>
    <w:rsid w:val="004D1C08"/>
    <w:rsid w:val="004D2703"/>
    <w:rsid w:val="004D273B"/>
    <w:rsid w:val="004D274D"/>
    <w:rsid w:val="004D2966"/>
    <w:rsid w:val="004D3E4B"/>
    <w:rsid w:val="004D4541"/>
    <w:rsid w:val="004D4997"/>
    <w:rsid w:val="004D4E2A"/>
    <w:rsid w:val="004D5B60"/>
    <w:rsid w:val="004D6FE6"/>
    <w:rsid w:val="004D7805"/>
    <w:rsid w:val="004D7F77"/>
    <w:rsid w:val="004E102D"/>
    <w:rsid w:val="004E16AE"/>
    <w:rsid w:val="004E1F9A"/>
    <w:rsid w:val="004E2406"/>
    <w:rsid w:val="004E3156"/>
    <w:rsid w:val="004E3781"/>
    <w:rsid w:val="004E40AE"/>
    <w:rsid w:val="004E41A5"/>
    <w:rsid w:val="004E41D7"/>
    <w:rsid w:val="004E4CCB"/>
    <w:rsid w:val="004E58ED"/>
    <w:rsid w:val="004E7C75"/>
    <w:rsid w:val="004F0027"/>
    <w:rsid w:val="004F0690"/>
    <w:rsid w:val="004F0E50"/>
    <w:rsid w:val="004F270A"/>
    <w:rsid w:val="004F2863"/>
    <w:rsid w:val="004F29B0"/>
    <w:rsid w:val="004F2EDE"/>
    <w:rsid w:val="004F2F5A"/>
    <w:rsid w:val="004F384D"/>
    <w:rsid w:val="004F404D"/>
    <w:rsid w:val="004F4154"/>
    <w:rsid w:val="004F44B0"/>
    <w:rsid w:val="004F5472"/>
    <w:rsid w:val="004F6EA0"/>
    <w:rsid w:val="004F7A55"/>
    <w:rsid w:val="004F7B0C"/>
    <w:rsid w:val="00500453"/>
    <w:rsid w:val="005009FA"/>
    <w:rsid w:val="0050150E"/>
    <w:rsid w:val="00501C8F"/>
    <w:rsid w:val="00502E81"/>
    <w:rsid w:val="005034AC"/>
    <w:rsid w:val="005035FD"/>
    <w:rsid w:val="0050484C"/>
    <w:rsid w:val="00505105"/>
    <w:rsid w:val="00505373"/>
    <w:rsid w:val="0050557E"/>
    <w:rsid w:val="005061DE"/>
    <w:rsid w:val="0050649B"/>
    <w:rsid w:val="005066BD"/>
    <w:rsid w:val="00506BDE"/>
    <w:rsid w:val="00506D9A"/>
    <w:rsid w:val="00506FD9"/>
    <w:rsid w:val="00507832"/>
    <w:rsid w:val="00507B9E"/>
    <w:rsid w:val="00510861"/>
    <w:rsid w:val="00511AAC"/>
    <w:rsid w:val="00511EA1"/>
    <w:rsid w:val="00511F53"/>
    <w:rsid w:val="0051264F"/>
    <w:rsid w:val="00512AB5"/>
    <w:rsid w:val="00512CAA"/>
    <w:rsid w:val="0051376B"/>
    <w:rsid w:val="00513B18"/>
    <w:rsid w:val="005148CF"/>
    <w:rsid w:val="00514A6C"/>
    <w:rsid w:val="0051562D"/>
    <w:rsid w:val="00515BAC"/>
    <w:rsid w:val="00517094"/>
    <w:rsid w:val="005172DA"/>
    <w:rsid w:val="0052064F"/>
    <w:rsid w:val="00520B48"/>
    <w:rsid w:val="00520E54"/>
    <w:rsid w:val="0052273F"/>
    <w:rsid w:val="005229CB"/>
    <w:rsid w:val="0052385A"/>
    <w:rsid w:val="00524270"/>
    <w:rsid w:val="005245C1"/>
    <w:rsid w:val="00524A62"/>
    <w:rsid w:val="00525A00"/>
    <w:rsid w:val="00525A1C"/>
    <w:rsid w:val="00525ABF"/>
    <w:rsid w:val="00525D6A"/>
    <w:rsid w:val="00527C79"/>
    <w:rsid w:val="00527D8C"/>
    <w:rsid w:val="0053024C"/>
    <w:rsid w:val="0053031E"/>
    <w:rsid w:val="0053098D"/>
    <w:rsid w:val="00531243"/>
    <w:rsid w:val="00531508"/>
    <w:rsid w:val="00532744"/>
    <w:rsid w:val="005328F7"/>
    <w:rsid w:val="00532CAB"/>
    <w:rsid w:val="00532FBF"/>
    <w:rsid w:val="00532FEE"/>
    <w:rsid w:val="00533A94"/>
    <w:rsid w:val="0053614D"/>
    <w:rsid w:val="00537126"/>
    <w:rsid w:val="0053723F"/>
    <w:rsid w:val="005373EA"/>
    <w:rsid w:val="005422AA"/>
    <w:rsid w:val="00542327"/>
    <w:rsid w:val="00542632"/>
    <w:rsid w:val="0054321E"/>
    <w:rsid w:val="005432E3"/>
    <w:rsid w:val="00543986"/>
    <w:rsid w:val="0054466D"/>
    <w:rsid w:val="00544F17"/>
    <w:rsid w:val="0054554A"/>
    <w:rsid w:val="00545C62"/>
    <w:rsid w:val="00545FBB"/>
    <w:rsid w:val="005503DD"/>
    <w:rsid w:val="00550500"/>
    <w:rsid w:val="00550F72"/>
    <w:rsid w:val="00552FCB"/>
    <w:rsid w:val="005530D0"/>
    <w:rsid w:val="0055348D"/>
    <w:rsid w:val="005534F4"/>
    <w:rsid w:val="0055380C"/>
    <w:rsid w:val="005541B6"/>
    <w:rsid w:val="00554294"/>
    <w:rsid w:val="0055438D"/>
    <w:rsid w:val="005546C6"/>
    <w:rsid w:val="00555F1F"/>
    <w:rsid w:val="00557475"/>
    <w:rsid w:val="00557D58"/>
    <w:rsid w:val="00561F7D"/>
    <w:rsid w:val="0056243D"/>
    <w:rsid w:val="00562D9A"/>
    <w:rsid w:val="005633D8"/>
    <w:rsid w:val="005637BA"/>
    <w:rsid w:val="0056419B"/>
    <w:rsid w:val="005644C4"/>
    <w:rsid w:val="0056475D"/>
    <w:rsid w:val="00564E77"/>
    <w:rsid w:val="00565055"/>
    <w:rsid w:val="005665FA"/>
    <w:rsid w:val="005668CA"/>
    <w:rsid w:val="00567C3D"/>
    <w:rsid w:val="00570003"/>
    <w:rsid w:val="00570401"/>
    <w:rsid w:val="00570518"/>
    <w:rsid w:val="0057304B"/>
    <w:rsid w:val="00573A18"/>
    <w:rsid w:val="005755C5"/>
    <w:rsid w:val="00575992"/>
    <w:rsid w:val="00575D95"/>
    <w:rsid w:val="00576090"/>
    <w:rsid w:val="00576763"/>
    <w:rsid w:val="005768D7"/>
    <w:rsid w:val="00577E97"/>
    <w:rsid w:val="005800E4"/>
    <w:rsid w:val="00580A36"/>
    <w:rsid w:val="005813EE"/>
    <w:rsid w:val="005816CA"/>
    <w:rsid w:val="00582B04"/>
    <w:rsid w:val="00583197"/>
    <w:rsid w:val="005832AB"/>
    <w:rsid w:val="00583D17"/>
    <w:rsid w:val="00584557"/>
    <w:rsid w:val="0058469B"/>
    <w:rsid w:val="00585019"/>
    <w:rsid w:val="0058582D"/>
    <w:rsid w:val="00586495"/>
    <w:rsid w:val="00590006"/>
    <w:rsid w:val="005918B8"/>
    <w:rsid w:val="00592618"/>
    <w:rsid w:val="00592FE4"/>
    <w:rsid w:val="005934A4"/>
    <w:rsid w:val="00593908"/>
    <w:rsid w:val="00594A0A"/>
    <w:rsid w:val="005967E3"/>
    <w:rsid w:val="005979D7"/>
    <w:rsid w:val="00597BBF"/>
    <w:rsid w:val="005A0184"/>
    <w:rsid w:val="005A07F3"/>
    <w:rsid w:val="005A0CBF"/>
    <w:rsid w:val="005A0E83"/>
    <w:rsid w:val="005A11F9"/>
    <w:rsid w:val="005A1792"/>
    <w:rsid w:val="005A22DF"/>
    <w:rsid w:val="005A34BB"/>
    <w:rsid w:val="005A34C3"/>
    <w:rsid w:val="005A42EB"/>
    <w:rsid w:val="005A4E20"/>
    <w:rsid w:val="005A5373"/>
    <w:rsid w:val="005A5B8F"/>
    <w:rsid w:val="005A5DB9"/>
    <w:rsid w:val="005A6937"/>
    <w:rsid w:val="005A74E3"/>
    <w:rsid w:val="005A7AD5"/>
    <w:rsid w:val="005B0456"/>
    <w:rsid w:val="005B16A2"/>
    <w:rsid w:val="005B16E1"/>
    <w:rsid w:val="005B23EC"/>
    <w:rsid w:val="005B2A14"/>
    <w:rsid w:val="005B3C5C"/>
    <w:rsid w:val="005B46E6"/>
    <w:rsid w:val="005B4AAC"/>
    <w:rsid w:val="005B4D85"/>
    <w:rsid w:val="005B5A74"/>
    <w:rsid w:val="005B5F23"/>
    <w:rsid w:val="005B6D05"/>
    <w:rsid w:val="005B7053"/>
    <w:rsid w:val="005B7ED4"/>
    <w:rsid w:val="005C09FE"/>
    <w:rsid w:val="005C0FAF"/>
    <w:rsid w:val="005C1F49"/>
    <w:rsid w:val="005C21A9"/>
    <w:rsid w:val="005C2AD9"/>
    <w:rsid w:val="005C30A1"/>
    <w:rsid w:val="005C328E"/>
    <w:rsid w:val="005C389E"/>
    <w:rsid w:val="005C3B0F"/>
    <w:rsid w:val="005C4994"/>
    <w:rsid w:val="005C5BF0"/>
    <w:rsid w:val="005C6190"/>
    <w:rsid w:val="005C61E2"/>
    <w:rsid w:val="005C6734"/>
    <w:rsid w:val="005C6873"/>
    <w:rsid w:val="005C6A73"/>
    <w:rsid w:val="005C7017"/>
    <w:rsid w:val="005C732D"/>
    <w:rsid w:val="005C74E2"/>
    <w:rsid w:val="005C7FEF"/>
    <w:rsid w:val="005D0231"/>
    <w:rsid w:val="005D0D43"/>
    <w:rsid w:val="005D25E9"/>
    <w:rsid w:val="005D3047"/>
    <w:rsid w:val="005D3449"/>
    <w:rsid w:val="005D480E"/>
    <w:rsid w:val="005D4D7C"/>
    <w:rsid w:val="005D550F"/>
    <w:rsid w:val="005D5ACF"/>
    <w:rsid w:val="005D6412"/>
    <w:rsid w:val="005D7A85"/>
    <w:rsid w:val="005E05BA"/>
    <w:rsid w:val="005E075F"/>
    <w:rsid w:val="005E0AA5"/>
    <w:rsid w:val="005E0E80"/>
    <w:rsid w:val="005E1211"/>
    <w:rsid w:val="005E1DE7"/>
    <w:rsid w:val="005E2B49"/>
    <w:rsid w:val="005E2E00"/>
    <w:rsid w:val="005E32DE"/>
    <w:rsid w:val="005E355A"/>
    <w:rsid w:val="005E3BFC"/>
    <w:rsid w:val="005E400D"/>
    <w:rsid w:val="005E4434"/>
    <w:rsid w:val="005E5268"/>
    <w:rsid w:val="005E5304"/>
    <w:rsid w:val="005E5622"/>
    <w:rsid w:val="005E57D7"/>
    <w:rsid w:val="005F0FB4"/>
    <w:rsid w:val="005F129A"/>
    <w:rsid w:val="005F1D00"/>
    <w:rsid w:val="005F2307"/>
    <w:rsid w:val="005F2621"/>
    <w:rsid w:val="005F338F"/>
    <w:rsid w:val="005F36C6"/>
    <w:rsid w:val="005F4371"/>
    <w:rsid w:val="005F43C4"/>
    <w:rsid w:val="005F4606"/>
    <w:rsid w:val="005F4CE2"/>
    <w:rsid w:val="005F549D"/>
    <w:rsid w:val="005F664D"/>
    <w:rsid w:val="005F7FC9"/>
    <w:rsid w:val="0060061F"/>
    <w:rsid w:val="006009AA"/>
    <w:rsid w:val="006011FD"/>
    <w:rsid w:val="0060158E"/>
    <w:rsid w:val="00601743"/>
    <w:rsid w:val="006028FE"/>
    <w:rsid w:val="006031A3"/>
    <w:rsid w:val="00603DC9"/>
    <w:rsid w:val="00603EDF"/>
    <w:rsid w:val="006040E0"/>
    <w:rsid w:val="00605442"/>
    <w:rsid w:val="00605881"/>
    <w:rsid w:val="00605C4A"/>
    <w:rsid w:val="00605D4B"/>
    <w:rsid w:val="00605FCD"/>
    <w:rsid w:val="00606497"/>
    <w:rsid w:val="006067A0"/>
    <w:rsid w:val="00610030"/>
    <w:rsid w:val="00611077"/>
    <w:rsid w:val="006112C4"/>
    <w:rsid w:val="006119EA"/>
    <w:rsid w:val="006123E6"/>
    <w:rsid w:val="006124D5"/>
    <w:rsid w:val="00612994"/>
    <w:rsid w:val="00612E1F"/>
    <w:rsid w:val="006137BA"/>
    <w:rsid w:val="006148FC"/>
    <w:rsid w:val="00615146"/>
    <w:rsid w:val="006154E6"/>
    <w:rsid w:val="00615823"/>
    <w:rsid w:val="00615CC8"/>
    <w:rsid w:val="006160A6"/>
    <w:rsid w:val="0061639A"/>
    <w:rsid w:val="00616AEF"/>
    <w:rsid w:val="00616DAC"/>
    <w:rsid w:val="00617159"/>
    <w:rsid w:val="0061752F"/>
    <w:rsid w:val="00617CB0"/>
    <w:rsid w:val="00620742"/>
    <w:rsid w:val="00621F3E"/>
    <w:rsid w:val="00622DAB"/>
    <w:rsid w:val="00622ED5"/>
    <w:rsid w:val="00624055"/>
    <w:rsid w:val="0062429E"/>
    <w:rsid w:val="00624776"/>
    <w:rsid w:val="00624968"/>
    <w:rsid w:val="00624B20"/>
    <w:rsid w:val="00624CBE"/>
    <w:rsid w:val="00624CE1"/>
    <w:rsid w:val="00625379"/>
    <w:rsid w:val="006269EC"/>
    <w:rsid w:val="00626C7D"/>
    <w:rsid w:val="006273DB"/>
    <w:rsid w:val="0062751C"/>
    <w:rsid w:val="00627601"/>
    <w:rsid w:val="00627A30"/>
    <w:rsid w:val="00627CB8"/>
    <w:rsid w:val="00627DD8"/>
    <w:rsid w:val="00627E2F"/>
    <w:rsid w:val="0063060E"/>
    <w:rsid w:val="006307A4"/>
    <w:rsid w:val="0063376D"/>
    <w:rsid w:val="00633974"/>
    <w:rsid w:val="00633A0A"/>
    <w:rsid w:val="00633BEE"/>
    <w:rsid w:val="00633FEC"/>
    <w:rsid w:val="00634D09"/>
    <w:rsid w:val="0063533C"/>
    <w:rsid w:val="006353C8"/>
    <w:rsid w:val="0063567B"/>
    <w:rsid w:val="00635F5F"/>
    <w:rsid w:val="00636914"/>
    <w:rsid w:val="006376A3"/>
    <w:rsid w:val="00637C66"/>
    <w:rsid w:val="00640569"/>
    <w:rsid w:val="006416FD"/>
    <w:rsid w:val="00641E80"/>
    <w:rsid w:val="006437DD"/>
    <w:rsid w:val="00643905"/>
    <w:rsid w:val="00644817"/>
    <w:rsid w:val="00644D1B"/>
    <w:rsid w:val="006458D3"/>
    <w:rsid w:val="0064721A"/>
    <w:rsid w:val="00647E1E"/>
    <w:rsid w:val="00651384"/>
    <w:rsid w:val="00651971"/>
    <w:rsid w:val="00651C30"/>
    <w:rsid w:val="00652B85"/>
    <w:rsid w:val="00652F53"/>
    <w:rsid w:val="00652FBA"/>
    <w:rsid w:val="0065309E"/>
    <w:rsid w:val="006537CD"/>
    <w:rsid w:val="00653B37"/>
    <w:rsid w:val="00653B45"/>
    <w:rsid w:val="006548D4"/>
    <w:rsid w:val="0065505B"/>
    <w:rsid w:val="006551BC"/>
    <w:rsid w:val="00655519"/>
    <w:rsid w:val="00655B8A"/>
    <w:rsid w:val="00655BEC"/>
    <w:rsid w:val="00655E73"/>
    <w:rsid w:val="006567AF"/>
    <w:rsid w:val="00657097"/>
    <w:rsid w:val="00657C0F"/>
    <w:rsid w:val="00657EB8"/>
    <w:rsid w:val="00657EF2"/>
    <w:rsid w:val="00660AF1"/>
    <w:rsid w:val="00660C56"/>
    <w:rsid w:val="00661513"/>
    <w:rsid w:val="00661AC1"/>
    <w:rsid w:val="0066295B"/>
    <w:rsid w:val="00662BD9"/>
    <w:rsid w:val="00662E6F"/>
    <w:rsid w:val="0066342D"/>
    <w:rsid w:val="0066357D"/>
    <w:rsid w:val="0066461A"/>
    <w:rsid w:val="00664656"/>
    <w:rsid w:val="00666186"/>
    <w:rsid w:val="0066634A"/>
    <w:rsid w:val="00666D24"/>
    <w:rsid w:val="00666FEA"/>
    <w:rsid w:val="00667A76"/>
    <w:rsid w:val="0067038F"/>
    <w:rsid w:val="00670870"/>
    <w:rsid w:val="006714D5"/>
    <w:rsid w:val="0067186D"/>
    <w:rsid w:val="006719DE"/>
    <w:rsid w:val="00672394"/>
    <w:rsid w:val="006727CE"/>
    <w:rsid w:val="00672A45"/>
    <w:rsid w:val="00672B42"/>
    <w:rsid w:val="00673105"/>
    <w:rsid w:val="00673362"/>
    <w:rsid w:val="006744A0"/>
    <w:rsid w:val="006745A7"/>
    <w:rsid w:val="00675C1B"/>
    <w:rsid w:val="00675D98"/>
    <w:rsid w:val="0067771F"/>
    <w:rsid w:val="00680D98"/>
    <w:rsid w:val="00682CDE"/>
    <w:rsid w:val="006838CC"/>
    <w:rsid w:val="006844A2"/>
    <w:rsid w:val="006849E9"/>
    <w:rsid w:val="00684F50"/>
    <w:rsid w:val="0068593D"/>
    <w:rsid w:val="00685C54"/>
    <w:rsid w:val="00685D46"/>
    <w:rsid w:val="0068637C"/>
    <w:rsid w:val="00686567"/>
    <w:rsid w:val="00686C17"/>
    <w:rsid w:val="00687E34"/>
    <w:rsid w:val="00690F4C"/>
    <w:rsid w:val="006917D3"/>
    <w:rsid w:val="00691B95"/>
    <w:rsid w:val="0069285F"/>
    <w:rsid w:val="006937B5"/>
    <w:rsid w:val="00693AE9"/>
    <w:rsid w:val="006945F8"/>
    <w:rsid w:val="0069470C"/>
    <w:rsid w:val="00695397"/>
    <w:rsid w:val="006954FA"/>
    <w:rsid w:val="00695978"/>
    <w:rsid w:val="006963F7"/>
    <w:rsid w:val="006A0814"/>
    <w:rsid w:val="006A0F8D"/>
    <w:rsid w:val="006A11D2"/>
    <w:rsid w:val="006A123B"/>
    <w:rsid w:val="006A13FA"/>
    <w:rsid w:val="006A15DF"/>
    <w:rsid w:val="006A19E2"/>
    <w:rsid w:val="006A30F0"/>
    <w:rsid w:val="006A3439"/>
    <w:rsid w:val="006A41E7"/>
    <w:rsid w:val="006A4393"/>
    <w:rsid w:val="006A46D9"/>
    <w:rsid w:val="006A4E34"/>
    <w:rsid w:val="006A62F2"/>
    <w:rsid w:val="006A7563"/>
    <w:rsid w:val="006B06EC"/>
    <w:rsid w:val="006B07C7"/>
    <w:rsid w:val="006B07DD"/>
    <w:rsid w:val="006B0A92"/>
    <w:rsid w:val="006B1274"/>
    <w:rsid w:val="006B161C"/>
    <w:rsid w:val="006B21A4"/>
    <w:rsid w:val="006B21BE"/>
    <w:rsid w:val="006B242D"/>
    <w:rsid w:val="006B264B"/>
    <w:rsid w:val="006B2C7B"/>
    <w:rsid w:val="006B3460"/>
    <w:rsid w:val="006B34A2"/>
    <w:rsid w:val="006B37E2"/>
    <w:rsid w:val="006B3E07"/>
    <w:rsid w:val="006B4955"/>
    <w:rsid w:val="006B5499"/>
    <w:rsid w:val="006B63D6"/>
    <w:rsid w:val="006B6A08"/>
    <w:rsid w:val="006B6BAD"/>
    <w:rsid w:val="006B73D2"/>
    <w:rsid w:val="006B7B0E"/>
    <w:rsid w:val="006C0354"/>
    <w:rsid w:val="006C10E3"/>
    <w:rsid w:val="006C11B6"/>
    <w:rsid w:val="006C1955"/>
    <w:rsid w:val="006C1BDE"/>
    <w:rsid w:val="006C2896"/>
    <w:rsid w:val="006C321A"/>
    <w:rsid w:val="006C37C1"/>
    <w:rsid w:val="006C3FA6"/>
    <w:rsid w:val="006C44F5"/>
    <w:rsid w:val="006C4F46"/>
    <w:rsid w:val="006C53E3"/>
    <w:rsid w:val="006C54A2"/>
    <w:rsid w:val="006C5527"/>
    <w:rsid w:val="006C55B0"/>
    <w:rsid w:val="006C5B5E"/>
    <w:rsid w:val="006C61BD"/>
    <w:rsid w:val="006C63E7"/>
    <w:rsid w:val="006C6621"/>
    <w:rsid w:val="006C6C40"/>
    <w:rsid w:val="006D0408"/>
    <w:rsid w:val="006D0BF4"/>
    <w:rsid w:val="006D168D"/>
    <w:rsid w:val="006D1C44"/>
    <w:rsid w:val="006D2443"/>
    <w:rsid w:val="006D2678"/>
    <w:rsid w:val="006D35E5"/>
    <w:rsid w:val="006D386F"/>
    <w:rsid w:val="006D3E0A"/>
    <w:rsid w:val="006D400F"/>
    <w:rsid w:val="006D4D7F"/>
    <w:rsid w:val="006D4DBF"/>
    <w:rsid w:val="006D4EF0"/>
    <w:rsid w:val="006D5037"/>
    <w:rsid w:val="006D55E4"/>
    <w:rsid w:val="006D5919"/>
    <w:rsid w:val="006D6179"/>
    <w:rsid w:val="006D6E28"/>
    <w:rsid w:val="006D76C8"/>
    <w:rsid w:val="006D7C6E"/>
    <w:rsid w:val="006E01BA"/>
    <w:rsid w:val="006E0E80"/>
    <w:rsid w:val="006E0EB9"/>
    <w:rsid w:val="006E1967"/>
    <w:rsid w:val="006E270D"/>
    <w:rsid w:val="006E292C"/>
    <w:rsid w:val="006E298D"/>
    <w:rsid w:val="006E3355"/>
    <w:rsid w:val="006E346D"/>
    <w:rsid w:val="006E4343"/>
    <w:rsid w:val="006E59A8"/>
    <w:rsid w:val="006E5B90"/>
    <w:rsid w:val="006E5D24"/>
    <w:rsid w:val="006E6B6F"/>
    <w:rsid w:val="006E6DF8"/>
    <w:rsid w:val="006E7941"/>
    <w:rsid w:val="006E7B9F"/>
    <w:rsid w:val="006F008E"/>
    <w:rsid w:val="006F0094"/>
    <w:rsid w:val="006F00B0"/>
    <w:rsid w:val="006F0630"/>
    <w:rsid w:val="006F19D5"/>
    <w:rsid w:val="006F32CA"/>
    <w:rsid w:val="006F36FA"/>
    <w:rsid w:val="006F3758"/>
    <w:rsid w:val="006F3C4E"/>
    <w:rsid w:val="006F4332"/>
    <w:rsid w:val="006F4C27"/>
    <w:rsid w:val="006F4DF4"/>
    <w:rsid w:val="006F5AEE"/>
    <w:rsid w:val="006F619E"/>
    <w:rsid w:val="006F66CF"/>
    <w:rsid w:val="006F68FF"/>
    <w:rsid w:val="006F78D1"/>
    <w:rsid w:val="006F7CE4"/>
    <w:rsid w:val="006F7CE8"/>
    <w:rsid w:val="007018AE"/>
    <w:rsid w:val="00701B11"/>
    <w:rsid w:val="0070242C"/>
    <w:rsid w:val="007028C2"/>
    <w:rsid w:val="00702AFC"/>
    <w:rsid w:val="00703B60"/>
    <w:rsid w:val="00703F7A"/>
    <w:rsid w:val="007051E8"/>
    <w:rsid w:val="007055D4"/>
    <w:rsid w:val="007076DB"/>
    <w:rsid w:val="00710F25"/>
    <w:rsid w:val="0071245A"/>
    <w:rsid w:val="00712CF4"/>
    <w:rsid w:val="00712DC7"/>
    <w:rsid w:val="00712EE6"/>
    <w:rsid w:val="007135E1"/>
    <w:rsid w:val="00713CD0"/>
    <w:rsid w:val="0071539F"/>
    <w:rsid w:val="007154EA"/>
    <w:rsid w:val="00715A9A"/>
    <w:rsid w:val="00716B39"/>
    <w:rsid w:val="00717AF1"/>
    <w:rsid w:val="00720693"/>
    <w:rsid w:val="007215BE"/>
    <w:rsid w:val="007223DB"/>
    <w:rsid w:val="00723618"/>
    <w:rsid w:val="0072486D"/>
    <w:rsid w:val="00724EFE"/>
    <w:rsid w:val="00725306"/>
    <w:rsid w:val="0072574B"/>
    <w:rsid w:val="00725B98"/>
    <w:rsid w:val="00726557"/>
    <w:rsid w:val="00726984"/>
    <w:rsid w:val="00727053"/>
    <w:rsid w:val="007272F9"/>
    <w:rsid w:val="00727DC5"/>
    <w:rsid w:val="0073091E"/>
    <w:rsid w:val="0073330D"/>
    <w:rsid w:val="00733705"/>
    <w:rsid w:val="00734BC8"/>
    <w:rsid w:val="00735945"/>
    <w:rsid w:val="00735B4A"/>
    <w:rsid w:val="007366A1"/>
    <w:rsid w:val="00736FEF"/>
    <w:rsid w:val="0073739F"/>
    <w:rsid w:val="00737D59"/>
    <w:rsid w:val="00740076"/>
    <w:rsid w:val="00741171"/>
    <w:rsid w:val="007414C5"/>
    <w:rsid w:val="00741876"/>
    <w:rsid w:val="0074198C"/>
    <w:rsid w:val="00742652"/>
    <w:rsid w:val="00742C97"/>
    <w:rsid w:val="007433AF"/>
    <w:rsid w:val="00743404"/>
    <w:rsid w:val="00743446"/>
    <w:rsid w:val="00743619"/>
    <w:rsid w:val="00744651"/>
    <w:rsid w:val="00744C6A"/>
    <w:rsid w:val="00744FF5"/>
    <w:rsid w:val="0074536F"/>
    <w:rsid w:val="007456BA"/>
    <w:rsid w:val="00745C04"/>
    <w:rsid w:val="0074720F"/>
    <w:rsid w:val="007472CF"/>
    <w:rsid w:val="007506F5"/>
    <w:rsid w:val="007508A7"/>
    <w:rsid w:val="007508C2"/>
    <w:rsid w:val="00751168"/>
    <w:rsid w:val="00751EEC"/>
    <w:rsid w:val="007520CA"/>
    <w:rsid w:val="00753AEE"/>
    <w:rsid w:val="00753B04"/>
    <w:rsid w:val="0075481A"/>
    <w:rsid w:val="007549EB"/>
    <w:rsid w:val="00754D12"/>
    <w:rsid w:val="00755465"/>
    <w:rsid w:val="007554D2"/>
    <w:rsid w:val="00755AA9"/>
    <w:rsid w:val="00755C50"/>
    <w:rsid w:val="00755FAD"/>
    <w:rsid w:val="00757238"/>
    <w:rsid w:val="00757E2A"/>
    <w:rsid w:val="00760006"/>
    <w:rsid w:val="00760A51"/>
    <w:rsid w:val="00760DA0"/>
    <w:rsid w:val="007610C5"/>
    <w:rsid w:val="007612AF"/>
    <w:rsid w:val="007631B9"/>
    <w:rsid w:val="00763CC2"/>
    <w:rsid w:val="00764201"/>
    <w:rsid w:val="007644AC"/>
    <w:rsid w:val="00765F60"/>
    <w:rsid w:val="00765F95"/>
    <w:rsid w:val="0076606B"/>
    <w:rsid w:val="0076610B"/>
    <w:rsid w:val="007666C2"/>
    <w:rsid w:val="00766833"/>
    <w:rsid w:val="00766EB7"/>
    <w:rsid w:val="00766F8E"/>
    <w:rsid w:val="00766FEE"/>
    <w:rsid w:val="00771047"/>
    <w:rsid w:val="00771F29"/>
    <w:rsid w:val="00772375"/>
    <w:rsid w:val="0077265F"/>
    <w:rsid w:val="007727C2"/>
    <w:rsid w:val="00772A33"/>
    <w:rsid w:val="00773487"/>
    <w:rsid w:val="00773CE0"/>
    <w:rsid w:val="00773CF3"/>
    <w:rsid w:val="0077449C"/>
    <w:rsid w:val="00774B39"/>
    <w:rsid w:val="007763A8"/>
    <w:rsid w:val="007775CE"/>
    <w:rsid w:val="00777C8F"/>
    <w:rsid w:val="0078094C"/>
    <w:rsid w:val="0078107C"/>
    <w:rsid w:val="007825A9"/>
    <w:rsid w:val="007827E6"/>
    <w:rsid w:val="00782ABF"/>
    <w:rsid w:val="00782C40"/>
    <w:rsid w:val="00782CFB"/>
    <w:rsid w:val="007836F6"/>
    <w:rsid w:val="00783BD4"/>
    <w:rsid w:val="00784198"/>
    <w:rsid w:val="00784791"/>
    <w:rsid w:val="007848E9"/>
    <w:rsid w:val="00785029"/>
    <w:rsid w:val="00785201"/>
    <w:rsid w:val="00787033"/>
    <w:rsid w:val="00787553"/>
    <w:rsid w:val="00787564"/>
    <w:rsid w:val="00790165"/>
    <w:rsid w:val="007906DE"/>
    <w:rsid w:val="007910E3"/>
    <w:rsid w:val="007911F2"/>
    <w:rsid w:val="007919D0"/>
    <w:rsid w:val="007921C8"/>
    <w:rsid w:val="00792522"/>
    <w:rsid w:val="0079290F"/>
    <w:rsid w:val="007932EC"/>
    <w:rsid w:val="00793C3F"/>
    <w:rsid w:val="0079496C"/>
    <w:rsid w:val="00794A92"/>
    <w:rsid w:val="00794B04"/>
    <w:rsid w:val="007950F9"/>
    <w:rsid w:val="00795278"/>
    <w:rsid w:val="0079614D"/>
    <w:rsid w:val="007968AE"/>
    <w:rsid w:val="0079753E"/>
    <w:rsid w:val="007978A4"/>
    <w:rsid w:val="00797FF0"/>
    <w:rsid w:val="007A0134"/>
    <w:rsid w:val="007A03FD"/>
    <w:rsid w:val="007A166B"/>
    <w:rsid w:val="007A2142"/>
    <w:rsid w:val="007A2BA7"/>
    <w:rsid w:val="007A2C14"/>
    <w:rsid w:val="007A3B0C"/>
    <w:rsid w:val="007A4133"/>
    <w:rsid w:val="007A43D0"/>
    <w:rsid w:val="007A4CC9"/>
    <w:rsid w:val="007A4CFF"/>
    <w:rsid w:val="007A6444"/>
    <w:rsid w:val="007A6ADD"/>
    <w:rsid w:val="007A6B7F"/>
    <w:rsid w:val="007A6CFF"/>
    <w:rsid w:val="007B0135"/>
    <w:rsid w:val="007B0B8B"/>
    <w:rsid w:val="007B2056"/>
    <w:rsid w:val="007B493A"/>
    <w:rsid w:val="007B4A5E"/>
    <w:rsid w:val="007B4E08"/>
    <w:rsid w:val="007B51A7"/>
    <w:rsid w:val="007B5804"/>
    <w:rsid w:val="007B5960"/>
    <w:rsid w:val="007B62B4"/>
    <w:rsid w:val="007B6395"/>
    <w:rsid w:val="007B6BC3"/>
    <w:rsid w:val="007C0520"/>
    <w:rsid w:val="007C0802"/>
    <w:rsid w:val="007C179E"/>
    <w:rsid w:val="007C1B1C"/>
    <w:rsid w:val="007C283B"/>
    <w:rsid w:val="007C3633"/>
    <w:rsid w:val="007C614C"/>
    <w:rsid w:val="007C6390"/>
    <w:rsid w:val="007C7DCD"/>
    <w:rsid w:val="007D00F2"/>
    <w:rsid w:val="007D0BAA"/>
    <w:rsid w:val="007D172A"/>
    <w:rsid w:val="007D2193"/>
    <w:rsid w:val="007D2804"/>
    <w:rsid w:val="007D2EDD"/>
    <w:rsid w:val="007D35E5"/>
    <w:rsid w:val="007D3B2B"/>
    <w:rsid w:val="007D3BEA"/>
    <w:rsid w:val="007D4AF3"/>
    <w:rsid w:val="007D56F8"/>
    <w:rsid w:val="007D60A4"/>
    <w:rsid w:val="007D663A"/>
    <w:rsid w:val="007D6858"/>
    <w:rsid w:val="007D70C8"/>
    <w:rsid w:val="007D7657"/>
    <w:rsid w:val="007D780F"/>
    <w:rsid w:val="007D7A40"/>
    <w:rsid w:val="007E0248"/>
    <w:rsid w:val="007E041C"/>
    <w:rsid w:val="007E1248"/>
    <w:rsid w:val="007E18BA"/>
    <w:rsid w:val="007E24F8"/>
    <w:rsid w:val="007E3173"/>
    <w:rsid w:val="007E345A"/>
    <w:rsid w:val="007E34DE"/>
    <w:rsid w:val="007E3DEA"/>
    <w:rsid w:val="007E49A8"/>
    <w:rsid w:val="007E4C39"/>
    <w:rsid w:val="007E6A43"/>
    <w:rsid w:val="007E6C09"/>
    <w:rsid w:val="007F10C0"/>
    <w:rsid w:val="007F212B"/>
    <w:rsid w:val="007F2944"/>
    <w:rsid w:val="007F2C63"/>
    <w:rsid w:val="007F2C70"/>
    <w:rsid w:val="007F2F2C"/>
    <w:rsid w:val="007F37C2"/>
    <w:rsid w:val="007F48D6"/>
    <w:rsid w:val="007F4963"/>
    <w:rsid w:val="007F4B03"/>
    <w:rsid w:val="007F4BBC"/>
    <w:rsid w:val="007F510E"/>
    <w:rsid w:val="007F511D"/>
    <w:rsid w:val="007F60F4"/>
    <w:rsid w:val="007F78C2"/>
    <w:rsid w:val="00800DA1"/>
    <w:rsid w:val="008025D3"/>
    <w:rsid w:val="00804252"/>
    <w:rsid w:val="008047DB"/>
    <w:rsid w:val="00804B3B"/>
    <w:rsid w:val="00804CC5"/>
    <w:rsid w:val="0080525A"/>
    <w:rsid w:val="00805A11"/>
    <w:rsid w:val="00805FF1"/>
    <w:rsid w:val="008062E3"/>
    <w:rsid w:val="00806EFE"/>
    <w:rsid w:val="00806F21"/>
    <w:rsid w:val="008070A8"/>
    <w:rsid w:val="00807278"/>
    <w:rsid w:val="0080769B"/>
    <w:rsid w:val="00807952"/>
    <w:rsid w:val="00807CAB"/>
    <w:rsid w:val="008101A4"/>
    <w:rsid w:val="008108BD"/>
    <w:rsid w:val="008128E9"/>
    <w:rsid w:val="00812921"/>
    <w:rsid w:val="00812CE1"/>
    <w:rsid w:val="00812D18"/>
    <w:rsid w:val="008131B9"/>
    <w:rsid w:val="008132DC"/>
    <w:rsid w:val="0081421D"/>
    <w:rsid w:val="00815C94"/>
    <w:rsid w:val="00816ABE"/>
    <w:rsid w:val="00816E3E"/>
    <w:rsid w:val="008175BB"/>
    <w:rsid w:val="00817E45"/>
    <w:rsid w:val="00822AD6"/>
    <w:rsid w:val="00822F82"/>
    <w:rsid w:val="00822FD6"/>
    <w:rsid w:val="00823B2E"/>
    <w:rsid w:val="00823D06"/>
    <w:rsid w:val="0082406A"/>
    <w:rsid w:val="008244DF"/>
    <w:rsid w:val="00824B87"/>
    <w:rsid w:val="00825250"/>
    <w:rsid w:val="00826131"/>
    <w:rsid w:val="0082619B"/>
    <w:rsid w:val="008267AC"/>
    <w:rsid w:val="00826DA4"/>
    <w:rsid w:val="00827E69"/>
    <w:rsid w:val="00827F99"/>
    <w:rsid w:val="008303FD"/>
    <w:rsid w:val="0083121C"/>
    <w:rsid w:val="008331DF"/>
    <w:rsid w:val="008342E3"/>
    <w:rsid w:val="008346AF"/>
    <w:rsid w:val="00834A6D"/>
    <w:rsid w:val="00834C0D"/>
    <w:rsid w:val="00835042"/>
    <w:rsid w:val="0083583A"/>
    <w:rsid w:val="00835EB2"/>
    <w:rsid w:val="0083637A"/>
    <w:rsid w:val="00836824"/>
    <w:rsid w:val="00836B78"/>
    <w:rsid w:val="00836F3B"/>
    <w:rsid w:val="00840114"/>
    <w:rsid w:val="0084080B"/>
    <w:rsid w:val="008412EA"/>
    <w:rsid w:val="00841870"/>
    <w:rsid w:val="008423BC"/>
    <w:rsid w:val="0084351F"/>
    <w:rsid w:val="00844B91"/>
    <w:rsid w:val="00845161"/>
    <w:rsid w:val="00845CC8"/>
    <w:rsid w:val="008462D7"/>
    <w:rsid w:val="00846973"/>
    <w:rsid w:val="00846ABF"/>
    <w:rsid w:val="00846EAD"/>
    <w:rsid w:val="008476C6"/>
    <w:rsid w:val="008504DF"/>
    <w:rsid w:val="00850787"/>
    <w:rsid w:val="00850C6C"/>
    <w:rsid w:val="00851A79"/>
    <w:rsid w:val="008523D1"/>
    <w:rsid w:val="0085243F"/>
    <w:rsid w:val="00852979"/>
    <w:rsid w:val="00852ACE"/>
    <w:rsid w:val="0085332D"/>
    <w:rsid w:val="00855433"/>
    <w:rsid w:val="008556C8"/>
    <w:rsid w:val="00855C88"/>
    <w:rsid w:val="00855CA0"/>
    <w:rsid w:val="008565AB"/>
    <w:rsid w:val="00856D88"/>
    <w:rsid w:val="00857678"/>
    <w:rsid w:val="00860479"/>
    <w:rsid w:val="0086174F"/>
    <w:rsid w:val="00862B25"/>
    <w:rsid w:val="008630C9"/>
    <w:rsid w:val="008631EB"/>
    <w:rsid w:val="008633F9"/>
    <w:rsid w:val="00863D40"/>
    <w:rsid w:val="00864430"/>
    <w:rsid w:val="00864B29"/>
    <w:rsid w:val="0086526C"/>
    <w:rsid w:val="0086676F"/>
    <w:rsid w:val="00866E3C"/>
    <w:rsid w:val="00867074"/>
    <w:rsid w:val="008701A6"/>
    <w:rsid w:val="00870C3C"/>
    <w:rsid w:val="00871495"/>
    <w:rsid w:val="008722B1"/>
    <w:rsid w:val="008722CE"/>
    <w:rsid w:val="00872EDF"/>
    <w:rsid w:val="00873018"/>
    <w:rsid w:val="008730A2"/>
    <w:rsid w:val="008738BF"/>
    <w:rsid w:val="008740C2"/>
    <w:rsid w:val="0087435D"/>
    <w:rsid w:val="0087442B"/>
    <w:rsid w:val="00875D9B"/>
    <w:rsid w:val="00876876"/>
    <w:rsid w:val="00876BAF"/>
    <w:rsid w:val="0087788F"/>
    <w:rsid w:val="00877AE9"/>
    <w:rsid w:val="00877CFB"/>
    <w:rsid w:val="00877FF7"/>
    <w:rsid w:val="00880216"/>
    <w:rsid w:val="008805DB"/>
    <w:rsid w:val="00880D29"/>
    <w:rsid w:val="00880EB4"/>
    <w:rsid w:val="008814AD"/>
    <w:rsid w:val="00884756"/>
    <w:rsid w:val="00884856"/>
    <w:rsid w:val="00884CD3"/>
    <w:rsid w:val="00885101"/>
    <w:rsid w:val="00885106"/>
    <w:rsid w:val="00885A1D"/>
    <w:rsid w:val="00885E16"/>
    <w:rsid w:val="008861B3"/>
    <w:rsid w:val="00890D4F"/>
    <w:rsid w:val="00891141"/>
    <w:rsid w:val="00891776"/>
    <w:rsid w:val="00891C20"/>
    <w:rsid w:val="00891FA2"/>
    <w:rsid w:val="008927A9"/>
    <w:rsid w:val="00893396"/>
    <w:rsid w:val="0089462B"/>
    <w:rsid w:val="008957E9"/>
    <w:rsid w:val="00895B26"/>
    <w:rsid w:val="008965E2"/>
    <w:rsid w:val="0089691A"/>
    <w:rsid w:val="008A0FA0"/>
    <w:rsid w:val="008A19F7"/>
    <w:rsid w:val="008A23C6"/>
    <w:rsid w:val="008A34B8"/>
    <w:rsid w:val="008A3DCB"/>
    <w:rsid w:val="008A46D3"/>
    <w:rsid w:val="008A51B8"/>
    <w:rsid w:val="008A5423"/>
    <w:rsid w:val="008A65DE"/>
    <w:rsid w:val="008A6961"/>
    <w:rsid w:val="008A7828"/>
    <w:rsid w:val="008B0629"/>
    <w:rsid w:val="008B10E3"/>
    <w:rsid w:val="008B11A9"/>
    <w:rsid w:val="008B11C3"/>
    <w:rsid w:val="008B24CD"/>
    <w:rsid w:val="008B3B09"/>
    <w:rsid w:val="008B3BD3"/>
    <w:rsid w:val="008B4565"/>
    <w:rsid w:val="008B50DB"/>
    <w:rsid w:val="008B5B03"/>
    <w:rsid w:val="008B674B"/>
    <w:rsid w:val="008B6CAF"/>
    <w:rsid w:val="008B71E4"/>
    <w:rsid w:val="008B7461"/>
    <w:rsid w:val="008C0D85"/>
    <w:rsid w:val="008C18A6"/>
    <w:rsid w:val="008C18B6"/>
    <w:rsid w:val="008C1F11"/>
    <w:rsid w:val="008C27E9"/>
    <w:rsid w:val="008C2B92"/>
    <w:rsid w:val="008C2EA1"/>
    <w:rsid w:val="008C31F3"/>
    <w:rsid w:val="008C492E"/>
    <w:rsid w:val="008C49D7"/>
    <w:rsid w:val="008C61AC"/>
    <w:rsid w:val="008C72FB"/>
    <w:rsid w:val="008C75B8"/>
    <w:rsid w:val="008C7BEB"/>
    <w:rsid w:val="008C7DC0"/>
    <w:rsid w:val="008D13EF"/>
    <w:rsid w:val="008D1F9D"/>
    <w:rsid w:val="008D2516"/>
    <w:rsid w:val="008D2913"/>
    <w:rsid w:val="008D2A0F"/>
    <w:rsid w:val="008D2B7E"/>
    <w:rsid w:val="008D3090"/>
    <w:rsid w:val="008D413B"/>
    <w:rsid w:val="008D472C"/>
    <w:rsid w:val="008D5702"/>
    <w:rsid w:val="008D5E54"/>
    <w:rsid w:val="008D63E4"/>
    <w:rsid w:val="008D65C6"/>
    <w:rsid w:val="008D67EA"/>
    <w:rsid w:val="008E0500"/>
    <w:rsid w:val="008E2353"/>
    <w:rsid w:val="008E3EFD"/>
    <w:rsid w:val="008E42C8"/>
    <w:rsid w:val="008E5012"/>
    <w:rsid w:val="008E50DC"/>
    <w:rsid w:val="008E5356"/>
    <w:rsid w:val="008E7ABC"/>
    <w:rsid w:val="008E7BFA"/>
    <w:rsid w:val="008F0089"/>
    <w:rsid w:val="008F0093"/>
    <w:rsid w:val="008F1168"/>
    <w:rsid w:val="008F1A54"/>
    <w:rsid w:val="008F1C4E"/>
    <w:rsid w:val="008F1FF2"/>
    <w:rsid w:val="008F233C"/>
    <w:rsid w:val="008F2A20"/>
    <w:rsid w:val="008F2C42"/>
    <w:rsid w:val="008F3D0D"/>
    <w:rsid w:val="008F457F"/>
    <w:rsid w:val="008F4A43"/>
    <w:rsid w:val="008F4BC8"/>
    <w:rsid w:val="008F5AEB"/>
    <w:rsid w:val="008F5DDD"/>
    <w:rsid w:val="008F5DFC"/>
    <w:rsid w:val="008F61A8"/>
    <w:rsid w:val="008F621B"/>
    <w:rsid w:val="008F6FD6"/>
    <w:rsid w:val="00900AFC"/>
    <w:rsid w:val="00900B41"/>
    <w:rsid w:val="009016FE"/>
    <w:rsid w:val="00901A7D"/>
    <w:rsid w:val="00901EE7"/>
    <w:rsid w:val="0090208B"/>
    <w:rsid w:val="0090243F"/>
    <w:rsid w:val="00903184"/>
    <w:rsid w:val="00903705"/>
    <w:rsid w:val="009037F6"/>
    <w:rsid w:val="00904030"/>
    <w:rsid w:val="00904590"/>
    <w:rsid w:val="00904BE2"/>
    <w:rsid w:val="00904D18"/>
    <w:rsid w:val="009056AD"/>
    <w:rsid w:val="0090599E"/>
    <w:rsid w:val="0090719F"/>
    <w:rsid w:val="00907244"/>
    <w:rsid w:val="00907D46"/>
    <w:rsid w:val="00910454"/>
    <w:rsid w:val="009109FD"/>
    <w:rsid w:val="00910F18"/>
    <w:rsid w:val="00912754"/>
    <w:rsid w:val="00912CD0"/>
    <w:rsid w:val="00912DE3"/>
    <w:rsid w:val="00912EF0"/>
    <w:rsid w:val="00913105"/>
    <w:rsid w:val="0091434E"/>
    <w:rsid w:val="009147B4"/>
    <w:rsid w:val="009150BA"/>
    <w:rsid w:val="00915648"/>
    <w:rsid w:val="00915E58"/>
    <w:rsid w:val="00915F79"/>
    <w:rsid w:val="009163F3"/>
    <w:rsid w:val="009166DC"/>
    <w:rsid w:val="00916DD0"/>
    <w:rsid w:val="009176EF"/>
    <w:rsid w:val="00917ACC"/>
    <w:rsid w:val="009200AF"/>
    <w:rsid w:val="0092045E"/>
    <w:rsid w:val="00920EBD"/>
    <w:rsid w:val="00923348"/>
    <w:rsid w:val="009235C9"/>
    <w:rsid w:val="00924A8E"/>
    <w:rsid w:val="00924FC4"/>
    <w:rsid w:val="009257A0"/>
    <w:rsid w:val="009269AC"/>
    <w:rsid w:val="00926ADC"/>
    <w:rsid w:val="00926D8F"/>
    <w:rsid w:val="009276F9"/>
    <w:rsid w:val="009277DD"/>
    <w:rsid w:val="00927907"/>
    <w:rsid w:val="0093011A"/>
    <w:rsid w:val="00930725"/>
    <w:rsid w:val="009307F0"/>
    <w:rsid w:val="00930B34"/>
    <w:rsid w:val="00930B9A"/>
    <w:rsid w:val="009313E8"/>
    <w:rsid w:val="00931FD4"/>
    <w:rsid w:val="0093277D"/>
    <w:rsid w:val="00932E8E"/>
    <w:rsid w:val="009333D0"/>
    <w:rsid w:val="00935334"/>
    <w:rsid w:val="00935844"/>
    <w:rsid w:val="009367E6"/>
    <w:rsid w:val="009418C7"/>
    <w:rsid w:val="00941EAE"/>
    <w:rsid w:val="00943B0D"/>
    <w:rsid w:val="00943BC1"/>
    <w:rsid w:val="00944D37"/>
    <w:rsid w:val="00946B27"/>
    <w:rsid w:val="00947267"/>
    <w:rsid w:val="009473F2"/>
    <w:rsid w:val="00947D6A"/>
    <w:rsid w:val="00950584"/>
    <w:rsid w:val="009508AA"/>
    <w:rsid w:val="00950F4F"/>
    <w:rsid w:val="009519A2"/>
    <w:rsid w:val="00952157"/>
    <w:rsid w:val="009527FC"/>
    <w:rsid w:val="00952932"/>
    <w:rsid w:val="00952AF3"/>
    <w:rsid w:val="00952D7D"/>
    <w:rsid w:val="009536A4"/>
    <w:rsid w:val="00953EB6"/>
    <w:rsid w:val="009548F5"/>
    <w:rsid w:val="009553AF"/>
    <w:rsid w:val="00955B72"/>
    <w:rsid w:val="00956253"/>
    <w:rsid w:val="00956A73"/>
    <w:rsid w:val="0095763F"/>
    <w:rsid w:val="009606E8"/>
    <w:rsid w:val="00961794"/>
    <w:rsid w:val="00962D20"/>
    <w:rsid w:val="009630C5"/>
    <w:rsid w:val="009639DC"/>
    <w:rsid w:val="00963AEB"/>
    <w:rsid w:val="00963C70"/>
    <w:rsid w:val="00964212"/>
    <w:rsid w:val="00964E45"/>
    <w:rsid w:val="00965504"/>
    <w:rsid w:val="00966065"/>
    <w:rsid w:val="00966336"/>
    <w:rsid w:val="00966471"/>
    <w:rsid w:val="009669D5"/>
    <w:rsid w:val="0096728D"/>
    <w:rsid w:val="00967829"/>
    <w:rsid w:val="00967BA7"/>
    <w:rsid w:val="009708D6"/>
    <w:rsid w:val="00970BC2"/>
    <w:rsid w:val="00973F0B"/>
    <w:rsid w:val="00974E35"/>
    <w:rsid w:val="00974F2F"/>
    <w:rsid w:val="00975C8A"/>
    <w:rsid w:val="009761C0"/>
    <w:rsid w:val="00976907"/>
    <w:rsid w:val="00976A3C"/>
    <w:rsid w:val="00977143"/>
    <w:rsid w:val="00977198"/>
    <w:rsid w:val="00977A7F"/>
    <w:rsid w:val="00980159"/>
    <w:rsid w:val="00980451"/>
    <w:rsid w:val="009805F0"/>
    <w:rsid w:val="00981965"/>
    <w:rsid w:val="00982F3D"/>
    <w:rsid w:val="0098323C"/>
    <w:rsid w:val="00983A3C"/>
    <w:rsid w:val="00984793"/>
    <w:rsid w:val="00985530"/>
    <w:rsid w:val="009858DE"/>
    <w:rsid w:val="00986F49"/>
    <w:rsid w:val="009874C9"/>
    <w:rsid w:val="009901C6"/>
    <w:rsid w:val="0099049D"/>
    <w:rsid w:val="009911E5"/>
    <w:rsid w:val="009914BD"/>
    <w:rsid w:val="00991A26"/>
    <w:rsid w:val="00992C90"/>
    <w:rsid w:val="00992D4E"/>
    <w:rsid w:val="0099398E"/>
    <w:rsid w:val="00993A6D"/>
    <w:rsid w:val="00993E92"/>
    <w:rsid w:val="00993FC3"/>
    <w:rsid w:val="009946CD"/>
    <w:rsid w:val="00996AFB"/>
    <w:rsid w:val="00997415"/>
    <w:rsid w:val="009A08D7"/>
    <w:rsid w:val="009A0C86"/>
    <w:rsid w:val="009A120F"/>
    <w:rsid w:val="009A1ABC"/>
    <w:rsid w:val="009A2468"/>
    <w:rsid w:val="009A25B2"/>
    <w:rsid w:val="009A39E7"/>
    <w:rsid w:val="009A41B5"/>
    <w:rsid w:val="009A440D"/>
    <w:rsid w:val="009A489C"/>
    <w:rsid w:val="009A5761"/>
    <w:rsid w:val="009A678A"/>
    <w:rsid w:val="009A7718"/>
    <w:rsid w:val="009A7938"/>
    <w:rsid w:val="009A7FD8"/>
    <w:rsid w:val="009B005A"/>
    <w:rsid w:val="009B0AEF"/>
    <w:rsid w:val="009B3512"/>
    <w:rsid w:val="009B3AEA"/>
    <w:rsid w:val="009B441C"/>
    <w:rsid w:val="009B54B6"/>
    <w:rsid w:val="009B5CFE"/>
    <w:rsid w:val="009B5D00"/>
    <w:rsid w:val="009B613E"/>
    <w:rsid w:val="009B6195"/>
    <w:rsid w:val="009B707B"/>
    <w:rsid w:val="009B71C3"/>
    <w:rsid w:val="009C0540"/>
    <w:rsid w:val="009C138F"/>
    <w:rsid w:val="009C19B8"/>
    <w:rsid w:val="009C2449"/>
    <w:rsid w:val="009C3034"/>
    <w:rsid w:val="009C30B0"/>
    <w:rsid w:val="009C3496"/>
    <w:rsid w:val="009C3563"/>
    <w:rsid w:val="009C4C7C"/>
    <w:rsid w:val="009C5542"/>
    <w:rsid w:val="009C5BE2"/>
    <w:rsid w:val="009C6C37"/>
    <w:rsid w:val="009C6ECE"/>
    <w:rsid w:val="009C73B0"/>
    <w:rsid w:val="009C75FB"/>
    <w:rsid w:val="009C7BB3"/>
    <w:rsid w:val="009C7C03"/>
    <w:rsid w:val="009C7E92"/>
    <w:rsid w:val="009D0264"/>
    <w:rsid w:val="009D0EF3"/>
    <w:rsid w:val="009D1739"/>
    <w:rsid w:val="009D242D"/>
    <w:rsid w:val="009D3469"/>
    <w:rsid w:val="009D3816"/>
    <w:rsid w:val="009D43E5"/>
    <w:rsid w:val="009D456D"/>
    <w:rsid w:val="009D4595"/>
    <w:rsid w:val="009D6231"/>
    <w:rsid w:val="009D6A8E"/>
    <w:rsid w:val="009D723D"/>
    <w:rsid w:val="009D7241"/>
    <w:rsid w:val="009E0518"/>
    <w:rsid w:val="009E0C9C"/>
    <w:rsid w:val="009E13F0"/>
    <w:rsid w:val="009E1739"/>
    <w:rsid w:val="009E1D07"/>
    <w:rsid w:val="009E254B"/>
    <w:rsid w:val="009E29F1"/>
    <w:rsid w:val="009E3A55"/>
    <w:rsid w:val="009E408D"/>
    <w:rsid w:val="009E4F13"/>
    <w:rsid w:val="009E752D"/>
    <w:rsid w:val="009E7A88"/>
    <w:rsid w:val="009E7F6D"/>
    <w:rsid w:val="009F087C"/>
    <w:rsid w:val="009F1418"/>
    <w:rsid w:val="009F20D8"/>
    <w:rsid w:val="009F23AF"/>
    <w:rsid w:val="009F41CE"/>
    <w:rsid w:val="009F482A"/>
    <w:rsid w:val="009F5109"/>
    <w:rsid w:val="009F55C8"/>
    <w:rsid w:val="009F56E7"/>
    <w:rsid w:val="009F586E"/>
    <w:rsid w:val="009F5C0D"/>
    <w:rsid w:val="009F6AB8"/>
    <w:rsid w:val="009F6CA1"/>
    <w:rsid w:val="009F70EE"/>
    <w:rsid w:val="009F76CC"/>
    <w:rsid w:val="009F7E0F"/>
    <w:rsid w:val="00A003A8"/>
    <w:rsid w:val="00A01549"/>
    <w:rsid w:val="00A0175F"/>
    <w:rsid w:val="00A02A6F"/>
    <w:rsid w:val="00A037B1"/>
    <w:rsid w:val="00A03848"/>
    <w:rsid w:val="00A052BC"/>
    <w:rsid w:val="00A05A51"/>
    <w:rsid w:val="00A06BFE"/>
    <w:rsid w:val="00A077D9"/>
    <w:rsid w:val="00A10743"/>
    <w:rsid w:val="00A11421"/>
    <w:rsid w:val="00A11573"/>
    <w:rsid w:val="00A11F2B"/>
    <w:rsid w:val="00A12B0F"/>
    <w:rsid w:val="00A168B5"/>
    <w:rsid w:val="00A16ECD"/>
    <w:rsid w:val="00A16EE2"/>
    <w:rsid w:val="00A171ED"/>
    <w:rsid w:val="00A205AD"/>
    <w:rsid w:val="00A21890"/>
    <w:rsid w:val="00A21CFA"/>
    <w:rsid w:val="00A23898"/>
    <w:rsid w:val="00A238A3"/>
    <w:rsid w:val="00A2478D"/>
    <w:rsid w:val="00A251E0"/>
    <w:rsid w:val="00A252B7"/>
    <w:rsid w:val="00A26675"/>
    <w:rsid w:val="00A267EF"/>
    <w:rsid w:val="00A26830"/>
    <w:rsid w:val="00A271F9"/>
    <w:rsid w:val="00A27707"/>
    <w:rsid w:val="00A27744"/>
    <w:rsid w:val="00A27C9A"/>
    <w:rsid w:val="00A301EA"/>
    <w:rsid w:val="00A3078D"/>
    <w:rsid w:val="00A30AC5"/>
    <w:rsid w:val="00A30FBC"/>
    <w:rsid w:val="00A3117D"/>
    <w:rsid w:val="00A33C64"/>
    <w:rsid w:val="00A33E49"/>
    <w:rsid w:val="00A347B5"/>
    <w:rsid w:val="00A35170"/>
    <w:rsid w:val="00A35799"/>
    <w:rsid w:val="00A3729D"/>
    <w:rsid w:val="00A37A4E"/>
    <w:rsid w:val="00A400AC"/>
    <w:rsid w:val="00A40705"/>
    <w:rsid w:val="00A41069"/>
    <w:rsid w:val="00A414D2"/>
    <w:rsid w:val="00A41A63"/>
    <w:rsid w:val="00A4206B"/>
    <w:rsid w:val="00A42C28"/>
    <w:rsid w:val="00A431FA"/>
    <w:rsid w:val="00A434CC"/>
    <w:rsid w:val="00A4376C"/>
    <w:rsid w:val="00A43E50"/>
    <w:rsid w:val="00A44B77"/>
    <w:rsid w:val="00A44F26"/>
    <w:rsid w:val="00A45404"/>
    <w:rsid w:val="00A458D9"/>
    <w:rsid w:val="00A460A4"/>
    <w:rsid w:val="00A47537"/>
    <w:rsid w:val="00A47D59"/>
    <w:rsid w:val="00A47F02"/>
    <w:rsid w:val="00A51916"/>
    <w:rsid w:val="00A51C16"/>
    <w:rsid w:val="00A52062"/>
    <w:rsid w:val="00A520C8"/>
    <w:rsid w:val="00A5236A"/>
    <w:rsid w:val="00A52F55"/>
    <w:rsid w:val="00A53553"/>
    <w:rsid w:val="00A537E7"/>
    <w:rsid w:val="00A5394A"/>
    <w:rsid w:val="00A53B94"/>
    <w:rsid w:val="00A542CB"/>
    <w:rsid w:val="00A5451A"/>
    <w:rsid w:val="00A54739"/>
    <w:rsid w:val="00A55DC3"/>
    <w:rsid w:val="00A56495"/>
    <w:rsid w:val="00A5699B"/>
    <w:rsid w:val="00A57920"/>
    <w:rsid w:val="00A57CAB"/>
    <w:rsid w:val="00A605BF"/>
    <w:rsid w:val="00A611B5"/>
    <w:rsid w:val="00A611CD"/>
    <w:rsid w:val="00A6137F"/>
    <w:rsid w:val="00A61C2E"/>
    <w:rsid w:val="00A62E7F"/>
    <w:rsid w:val="00A62EDB"/>
    <w:rsid w:val="00A63062"/>
    <w:rsid w:val="00A64DB3"/>
    <w:rsid w:val="00A6511B"/>
    <w:rsid w:val="00A6669F"/>
    <w:rsid w:val="00A666CA"/>
    <w:rsid w:val="00A674E8"/>
    <w:rsid w:val="00A679E4"/>
    <w:rsid w:val="00A71818"/>
    <w:rsid w:val="00A719A8"/>
    <w:rsid w:val="00A722C0"/>
    <w:rsid w:val="00A72307"/>
    <w:rsid w:val="00A731D8"/>
    <w:rsid w:val="00A74A66"/>
    <w:rsid w:val="00A74F95"/>
    <w:rsid w:val="00A75E7B"/>
    <w:rsid w:val="00A7621F"/>
    <w:rsid w:val="00A76BE9"/>
    <w:rsid w:val="00A76D8E"/>
    <w:rsid w:val="00A7777B"/>
    <w:rsid w:val="00A778D7"/>
    <w:rsid w:val="00A77DAD"/>
    <w:rsid w:val="00A80C1E"/>
    <w:rsid w:val="00A812DB"/>
    <w:rsid w:val="00A81300"/>
    <w:rsid w:val="00A81495"/>
    <w:rsid w:val="00A81B59"/>
    <w:rsid w:val="00A82377"/>
    <w:rsid w:val="00A82D31"/>
    <w:rsid w:val="00A83850"/>
    <w:rsid w:val="00A84742"/>
    <w:rsid w:val="00A85659"/>
    <w:rsid w:val="00A86F30"/>
    <w:rsid w:val="00A90711"/>
    <w:rsid w:val="00A90F4C"/>
    <w:rsid w:val="00A92412"/>
    <w:rsid w:val="00A92552"/>
    <w:rsid w:val="00A94549"/>
    <w:rsid w:val="00A9696C"/>
    <w:rsid w:val="00A96B95"/>
    <w:rsid w:val="00AA0625"/>
    <w:rsid w:val="00AA1176"/>
    <w:rsid w:val="00AA1FC9"/>
    <w:rsid w:val="00AA22EC"/>
    <w:rsid w:val="00AA22F9"/>
    <w:rsid w:val="00AA2CF1"/>
    <w:rsid w:val="00AA2F0B"/>
    <w:rsid w:val="00AA39EE"/>
    <w:rsid w:val="00AA3F55"/>
    <w:rsid w:val="00AA48D0"/>
    <w:rsid w:val="00AA5151"/>
    <w:rsid w:val="00AA51C0"/>
    <w:rsid w:val="00AA586F"/>
    <w:rsid w:val="00AA62E4"/>
    <w:rsid w:val="00AA7687"/>
    <w:rsid w:val="00AB006F"/>
    <w:rsid w:val="00AB1186"/>
    <w:rsid w:val="00AB1643"/>
    <w:rsid w:val="00AB3438"/>
    <w:rsid w:val="00AB3A02"/>
    <w:rsid w:val="00AB4828"/>
    <w:rsid w:val="00AB49B9"/>
    <w:rsid w:val="00AB4DA9"/>
    <w:rsid w:val="00AB527E"/>
    <w:rsid w:val="00AB5FE6"/>
    <w:rsid w:val="00AB64E1"/>
    <w:rsid w:val="00AB6676"/>
    <w:rsid w:val="00AB7765"/>
    <w:rsid w:val="00AB7B8C"/>
    <w:rsid w:val="00AC0D97"/>
    <w:rsid w:val="00AC2B8F"/>
    <w:rsid w:val="00AC305A"/>
    <w:rsid w:val="00AC3CF8"/>
    <w:rsid w:val="00AC493D"/>
    <w:rsid w:val="00AC5B2E"/>
    <w:rsid w:val="00AC69ED"/>
    <w:rsid w:val="00AC736F"/>
    <w:rsid w:val="00AD005D"/>
    <w:rsid w:val="00AD0CBE"/>
    <w:rsid w:val="00AD117E"/>
    <w:rsid w:val="00AD1C8E"/>
    <w:rsid w:val="00AD254B"/>
    <w:rsid w:val="00AD36C4"/>
    <w:rsid w:val="00AD52CF"/>
    <w:rsid w:val="00AD52E6"/>
    <w:rsid w:val="00AD5584"/>
    <w:rsid w:val="00AD588D"/>
    <w:rsid w:val="00AD61D5"/>
    <w:rsid w:val="00AD6F45"/>
    <w:rsid w:val="00AD6F87"/>
    <w:rsid w:val="00AD78CD"/>
    <w:rsid w:val="00AE01F7"/>
    <w:rsid w:val="00AE3123"/>
    <w:rsid w:val="00AE3BC7"/>
    <w:rsid w:val="00AE3EC6"/>
    <w:rsid w:val="00AE53A3"/>
    <w:rsid w:val="00AE5696"/>
    <w:rsid w:val="00AE70D3"/>
    <w:rsid w:val="00AE71B9"/>
    <w:rsid w:val="00AE7C59"/>
    <w:rsid w:val="00AF08AC"/>
    <w:rsid w:val="00AF096A"/>
    <w:rsid w:val="00AF12C6"/>
    <w:rsid w:val="00AF18F0"/>
    <w:rsid w:val="00AF1E3C"/>
    <w:rsid w:val="00AF3C6B"/>
    <w:rsid w:val="00AF4BEB"/>
    <w:rsid w:val="00AF4D39"/>
    <w:rsid w:val="00AF5499"/>
    <w:rsid w:val="00AF57C8"/>
    <w:rsid w:val="00AF5840"/>
    <w:rsid w:val="00AF6109"/>
    <w:rsid w:val="00AF6D17"/>
    <w:rsid w:val="00AF75D4"/>
    <w:rsid w:val="00AF776C"/>
    <w:rsid w:val="00AF7E5C"/>
    <w:rsid w:val="00B002B4"/>
    <w:rsid w:val="00B00969"/>
    <w:rsid w:val="00B011BA"/>
    <w:rsid w:val="00B0120B"/>
    <w:rsid w:val="00B01975"/>
    <w:rsid w:val="00B02ABD"/>
    <w:rsid w:val="00B02B88"/>
    <w:rsid w:val="00B03137"/>
    <w:rsid w:val="00B04052"/>
    <w:rsid w:val="00B049C5"/>
    <w:rsid w:val="00B04D1F"/>
    <w:rsid w:val="00B05F81"/>
    <w:rsid w:val="00B06876"/>
    <w:rsid w:val="00B100F1"/>
    <w:rsid w:val="00B1029E"/>
    <w:rsid w:val="00B12004"/>
    <w:rsid w:val="00B12986"/>
    <w:rsid w:val="00B13248"/>
    <w:rsid w:val="00B133E4"/>
    <w:rsid w:val="00B13596"/>
    <w:rsid w:val="00B1367B"/>
    <w:rsid w:val="00B13730"/>
    <w:rsid w:val="00B14011"/>
    <w:rsid w:val="00B15497"/>
    <w:rsid w:val="00B15DFD"/>
    <w:rsid w:val="00B16B8D"/>
    <w:rsid w:val="00B17118"/>
    <w:rsid w:val="00B178B8"/>
    <w:rsid w:val="00B20526"/>
    <w:rsid w:val="00B206B2"/>
    <w:rsid w:val="00B21BC6"/>
    <w:rsid w:val="00B21C9B"/>
    <w:rsid w:val="00B224A9"/>
    <w:rsid w:val="00B22739"/>
    <w:rsid w:val="00B227DB"/>
    <w:rsid w:val="00B23C15"/>
    <w:rsid w:val="00B2646F"/>
    <w:rsid w:val="00B26669"/>
    <w:rsid w:val="00B266C2"/>
    <w:rsid w:val="00B26F68"/>
    <w:rsid w:val="00B307AC"/>
    <w:rsid w:val="00B30E73"/>
    <w:rsid w:val="00B30FFC"/>
    <w:rsid w:val="00B31D7F"/>
    <w:rsid w:val="00B3239E"/>
    <w:rsid w:val="00B3308E"/>
    <w:rsid w:val="00B337A3"/>
    <w:rsid w:val="00B34763"/>
    <w:rsid w:val="00B3483C"/>
    <w:rsid w:val="00B34D8D"/>
    <w:rsid w:val="00B35320"/>
    <w:rsid w:val="00B36142"/>
    <w:rsid w:val="00B36343"/>
    <w:rsid w:val="00B3688E"/>
    <w:rsid w:val="00B368FB"/>
    <w:rsid w:val="00B370A3"/>
    <w:rsid w:val="00B37D67"/>
    <w:rsid w:val="00B40592"/>
    <w:rsid w:val="00B41090"/>
    <w:rsid w:val="00B413DC"/>
    <w:rsid w:val="00B41651"/>
    <w:rsid w:val="00B4165A"/>
    <w:rsid w:val="00B41C12"/>
    <w:rsid w:val="00B41E85"/>
    <w:rsid w:val="00B4231D"/>
    <w:rsid w:val="00B42CA6"/>
    <w:rsid w:val="00B4308B"/>
    <w:rsid w:val="00B43194"/>
    <w:rsid w:val="00B43D7C"/>
    <w:rsid w:val="00B44CCA"/>
    <w:rsid w:val="00B44D6B"/>
    <w:rsid w:val="00B45142"/>
    <w:rsid w:val="00B45BBF"/>
    <w:rsid w:val="00B47749"/>
    <w:rsid w:val="00B47C02"/>
    <w:rsid w:val="00B50638"/>
    <w:rsid w:val="00B50E10"/>
    <w:rsid w:val="00B510A6"/>
    <w:rsid w:val="00B51610"/>
    <w:rsid w:val="00B51956"/>
    <w:rsid w:val="00B51D3B"/>
    <w:rsid w:val="00B52B71"/>
    <w:rsid w:val="00B536F7"/>
    <w:rsid w:val="00B53900"/>
    <w:rsid w:val="00B53DD0"/>
    <w:rsid w:val="00B549DE"/>
    <w:rsid w:val="00B5538D"/>
    <w:rsid w:val="00B5553C"/>
    <w:rsid w:val="00B56491"/>
    <w:rsid w:val="00B5657E"/>
    <w:rsid w:val="00B5756A"/>
    <w:rsid w:val="00B5791D"/>
    <w:rsid w:val="00B610A6"/>
    <w:rsid w:val="00B612BF"/>
    <w:rsid w:val="00B615D9"/>
    <w:rsid w:val="00B61ED9"/>
    <w:rsid w:val="00B63654"/>
    <w:rsid w:val="00B638A5"/>
    <w:rsid w:val="00B645C2"/>
    <w:rsid w:val="00B64F16"/>
    <w:rsid w:val="00B65F20"/>
    <w:rsid w:val="00B66147"/>
    <w:rsid w:val="00B6619A"/>
    <w:rsid w:val="00B663AA"/>
    <w:rsid w:val="00B66541"/>
    <w:rsid w:val="00B66BED"/>
    <w:rsid w:val="00B6711B"/>
    <w:rsid w:val="00B67681"/>
    <w:rsid w:val="00B67802"/>
    <w:rsid w:val="00B67ABD"/>
    <w:rsid w:val="00B70CAA"/>
    <w:rsid w:val="00B711AE"/>
    <w:rsid w:val="00B7120D"/>
    <w:rsid w:val="00B71EF9"/>
    <w:rsid w:val="00B722A0"/>
    <w:rsid w:val="00B72575"/>
    <w:rsid w:val="00B7381B"/>
    <w:rsid w:val="00B73E30"/>
    <w:rsid w:val="00B747E3"/>
    <w:rsid w:val="00B77546"/>
    <w:rsid w:val="00B77971"/>
    <w:rsid w:val="00B77BE5"/>
    <w:rsid w:val="00B77F16"/>
    <w:rsid w:val="00B8032E"/>
    <w:rsid w:val="00B80DEC"/>
    <w:rsid w:val="00B81221"/>
    <w:rsid w:val="00B8171A"/>
    <w:rsid w:val="00B82077"/>
    <w:rsid w:val="00B8277A"/>
    <w:rsid w:val="00B828C6"/>
    <w:rsid w:val="00B829F2"/>
    <w:rsid w:val="00B82D96"/>
    <w:rsid w:val="00B82EC2"/>
    <w:rsid w:val="00B83EA7"/>
    <w:rsid w:val="00B855E4"/>
    <w:rsid w:val="00B85BEB"/>
    <w:rsid w:val="00B868E8"/>
    <w:rsid w:val="00B879DB"/>
    <w:rsid w:val="00B87C24"/>
    <w:rsid w:val="00B90815"/>
    <w:rsid w:val="00B912ED"/>
    <w:rsid w:val="00B9156F"/>
    <w:rsid w:val="00B91DAD"/>
    <w:rsid w:val="00B927D0"/>
    <w:rsid w:val="00B92B6B"/>
    <w:rsid w:val="00B92EEA"/>
    <w:rsid w:val="00B940E7"/>
    <w:rsid w:val="00B94D30"/>
    <w:rsid w:val="00B95AF2"/>
    <w:rsid w:val="00B96761"/>
    <w:rsid w:val="00B96AD2"/>
    <w:rsid w:val="00BA0755"/>
    <w:rsid w:val="00BA0CDF"/>
    <w:rsid w:val="00BA280D"/>
    <w:rsid w:val="00BA2DA2"/>
    <w:rsid w:val="00BA38BA"/>
    <w:rsid w:val="00BA423F"/>
    <w:rsid w:val="00BA5246"/>
    <w:rsid w:val="00BA5419"/>
    <w:rsid w:val="00BA562D"/>
    <w:rsid w:val="00BA5E7F"/>
    <w:rsid w:val="00BA6DE2"/>
    <w:rsid w:val="00BA71BE"/>
    <w:rsid w:val="00BB218A"/>
    <w:rsid w:val="00BB22E8"/>
    <w:rsid w:val="00BB2833"/>
    <w:rsid w:val="00BB2B91"/>
    <w:rsid w:val="00BB3024"/>
    <w:rsid w:val="00BB3084"/>
    <w:rsid w:val="00BB3203"/>
    <w:rsid w:val="00BB3491"/>
    <w:rsid w:val="00BB3A88"/>
    <w:rsid w:val="00BB4E6A"/>
    <w:rsid w:val="00BB50F0"/>
    <w:rsid w:val="00BB55AC"/>
    <w:rsid w:val="00BB5820"/>
    <w:rsid w:val="00BB60C7"/>
    <w:rsid w:val="00BB6E24"/>
    <w:rsid w:val="00BC0CFC"/>
    <w:rsid w:val="00BC1318"/>
    <w:rsid w:val="00BC1543"/>
    <w:rsid w:val="00BC1950"/>
    <w:rsid w:val="00BC1AED"/>
    <w:rsid w:val="00BC2CAC"/>
    <w:rsid w:val="00BC3002"/>
    <w:rsid w:val="00BC3B10"/>
    <w:rsid w:val="00BC4668"/>
    <w:rsid w:val="00BC6489"/>
    <w:rsid w:val="00BD158D"/>
    <w:rsid w:val="00BD165F"/>
    <w:rsid w:val="00BD1BD1"/>
    <w:rsid w:val="00BD249C"/>
    <w:rsid w:val="00BD28A4"/>
    <w:rsid w:val="00BD29F3"/>
    <w:rsid w:val="00BD3370"/>
    <w:rsid w:val="00BD3B1C"/>
    <w:rsid w:val="00BD4065"/>
    <w:rsid w:val="00BD419B"/>
    <w:rsid w:val="00BD50CA"/>
    <w:rsid w:val="00BD6193"/>
    <w:rsid w:val="00BD68F3"/>
    <w:rsid w:val="00BD6987"/>
    <w:rsid w:val="00BD78B4"/>
    <w:rsid w:val="00BE0607"/>
    <w:rsid w:val="00BE0BFD"/>
    <w:rsid w:val="00BE1233"/>
    <w:rsid w:val="00BE3C3F"/>
    <w:rsid w:val="00BE3DD9"/>
    <w:rsid w:val="00BE3F8D"/>
    <w:rsid w:val="00BE57C5"/>
    <w:rsid w:val="00BE6051"/>
    <w:rsid w:val="00BE630E"/>
    <w:rsid w:val="00BE7645"/>
    <w:rsid w:val="00BE7CA4"/>
    <w:rsid w:val="00BE7F67"/>
    <w:rsid w:val="00BF1265"/>
    <w:rsid w:val="00BF1C02"/>
    <w:rsid w:val="00BF1F68"/>
    <w:rsid w:val="00BF228E"/>
    <w:rsid w:val="00BF324C"/>
    <w:rsid w:val="00BF3766"/>
    <w:rsid w:val="00BF4D91"/>
    <w:rsid w:val="00BF63AD"/>
    <w:rsid w:val="00BF6BB8"/>
    <w:rsid w:val="00BF6CEE"/>
    <w:rsid w:val="00BF7BF7"/>
    <w:rsid w:val="00C00433"/>
    <w:rsid w:val="00C0043A"/>
    <w:rsid w:val="00C0083E"/>
    <w:rsid w:val="00C01237"/>
    <w:rsid w:val="00C02F23"/>
    <w:rsid w:val="00C03785"/>
    <w:rsid w:val="00C05164"/>
    <w:rsid w:val="00C05685"/>
    <w:rsid w:val="00C07039"/>
    <w:rsid w:val="00C07C93"/>
    <w:rsid w:val="00C1064A"/>
    <w:rsid w:val="00C106ED"/>
    <w:rsid w:val="00C107C1"/>
    <w:rsid w:val="00C122D6"/>
    <w:rsid w:val="00C126BA"/>
    <w:rsid w:val="00C128B7"/>
    <w:rsid w:val="00C12DF2"/>
    <w:rsid w:val="00C13051"/>
    <w:rsid w:val="00C1342D"/>
    <w:rsid w:val="00C13944"/>
    <w:rsid w:val="00C13F80"/>
    <w:rsid w:val="00C15202"/>
    <w:rsid w:val="00C1552D"/>
    <w:rsid w:val="00C16043"/>
    <w:rsid w:val="00C16092"/>
    <w:rsid w:val="00C16223"/>
    <w:rsid w:val="00C16307"/>
    <w:rsid w:val="00C16599"/>
    <w:rsid w:val="00C16858"/>
    <w:rsid w:val="00C16D27"/>
    <w:rsid w:val="00C170B9"/>
    <w:rsid w:val="00C1722C"/>
    <w:rsid w:val="00C17567"/>
    <w:rsid w:val="00C215C0"/>
    <w:rsid w:val="00C221E2"/>
    <w:rsid w:val="00C22650"/>
    <w:rsid w:val="00C236EA"/>
    <w:rsid w:val="00C23A66"/>
    <w:rsid w:val="00C23FFC"/>
    <w:rsid w:val="00C243C3"/>
    <w:rsid w:val="00C25613"/>
    <w:rsid w:val="00C25D71"/>
    <w:rsid w:val="00C26860"/>
    <w:rsid w:val="00C26B0B"/>
    <w:rsid w:val="00C26F45"/>
    <w:rsid w:val="00C30288"/>
    <w:rsid w:val="00C30406"/>
    <w:rsid w:val="00C31412"/>
    <w:rsid w:val="00C32314"/>
    <w:rsid w:val="00C32FB7"/>
    <w:rsid w:val="00C3335E"/>
    <w:rsid w:val="00C34C61"/>
    <w:rsid w:val="00C350D1"/>
    <w:rsid w:val="00C3596C"/>
    <w:rsid w:val="00C35C56"/>
    <w:rsid w:val="00C365EA"/>
    <w:rsid w:val="00C36694"/>
    <w:rsid w:val="00C36F53"/>
    <w:rsid w:val="00C37000"/>
    <w:rsid w:val="00C3748A"/>
    <w:rsid w:val="00C37FD8"/>
    <w:rsid w:val="00C4036E"/>
    <w:rsid w:val="00C41AFD"/>
    <w:rsid w:val="00C41DCD"/>
    <w:rsid w:val="00C4369E"/>
    <w:rsid w:val="00C43E72"/>
    <w:rsid w:val="00C446CC"/>
    <w:rsid w:val="00C44BD5"/>
    <w:rsid w:val="00C45BF4"/>
    <w:rsid w:val="00C4666F"/>
    <w:rsid w:val="00C46866"/>
    <w:rsid w:val="00C4725E"/>
    <w:rsid w:val="00C47833"/>
    <w:rsid w:val="00C47D24"/>
    <w:rsid w:val="00C5028A"/>
    <w:rsid w:val="00C5096C"/>
    <w:rsid w:val="00C50AB0"/>
    <w:rsid w:val="00C50CF4"/>
    <w:rsid w:val="00C50EAF"/>
    <w:rsid w:val="00C51045"/>
    <w:rsid w:val="00C510C6"/>
    <w:rsid w:val="00C51BE8"/>
    <w:rsid w:val="00C5490A"/>
    <w:rsid w:val="00C5504C"/>
    <w:rsid w:val="00C55861"/>
    <w:rsid w:val="00C56E5F"/>
    <w:rsid w:val="00C56EF5"/>
    <w:rsid w:val="00C61213"/>
    <w:rsid w:val="00C616EF"/>
    <w:rsid w:val="00C619AA"/>
    <w:rsid w:val="00C62270"/>
    <w:rsid w:val="00C622E0"/>
    <w:rsid w:val="00C62976"/>
    <w:rsid w:val="00C6387E"/>
    <w:rsid w:val="00C6398C"/>
    <w:rsid w:val="00C63A5F"/>
    <w:rsid w:val="00C63B40"/>
    <w:rsid w:val="00C640C7"/>
    <w:rsid w:val="00C6487C"/>
    <w:rsid w:val="00C65361"/>
    <w:rsid w:val="00C65A1B"/>
    <w:rsid w:val="00C66A7E"/>
    <w:rsid w:val="00C67417"/>
    <w:rsid w:val="00C70378"/>
    <w:rsid w:val="00C70426"/>
    <w:rsid w:val="00C7144A"/>
    <w:rsid w:val="00C71515"/>
    <w:rsid w:val="00C7208D"/>
    <w:rsid w:val="00C723B4"/>
    <w:rsid w:val="00C7259A"/>
    <w:rsid w:val="00C726A8"/>
    <w:rsid w:val="00C73F02"/>
    <w:rsid w:val="00C74AF5"/>
    <w:rsid w:val="00C75599"/>
    <w:rsid w:val="00C7572C"/>
    <w:rsid w:val="00C75AB0"/>
    <w:rsid w:val="00C76544"/>
    <w:rsid w:val="00C76F1B"/>
    <w:rsid w:val="00C772D9"/>
    <w:rsid w:val="00C772F9"/>
    <w:rsid w:val="00C80E24"/>
    <w:rsid w:val="00C8115B"/>
    <w:rsid w:val="00C81255"/>
    <w:rsid w:val="00C814DB"/>
    <w:rsid w:val="00C81D08"/>
    <w:rsid w:val="00C825DC"/>
    <w:rsid w:val="00C82CE4"/>
    <w:rsid w:val="00C83718"/>
    <w:rsid w:val="00C83C13"/>
    <w:rsid w:val="00C8480A"/>
    <w:rsid w:val="00C84DD8"/>
    <w:rsid w:val="00C84E22"/>
    <w:rsid w:val="00C85E7B"/>
    <w:rsid w:val="00C91B7E"/>
    <w:rsid w:val="00C91E99"/>
    <w:rsid w:val="00C9203C"/>
    <w:rsid w:val="00C92074"/>
    <w:rsid w:val="00C94183"/>
    <w:rsid w:val="00C9468D"/>
    <w:rsid w:val="00C95612"/>
    <w:rsid w:val="00C96FA5"/>
    <w:rsid w:val="00C977F6"/>
    <w:rsid w:val="00C979D6"/>
    <w:rsid w:val="00C979F4"/>
    <w:rsid w:val="00CA00CE"/>
    <w:rsid w:val="00CA0A6C"/>
    <w:rsid w:val="00CA0F97"/>
    <w:rsid w:val="00CA1106"/>
    <w:rsid w:val="00CA22C1"/>
    <w:rsid w:val="00CA2680"/>
    <w:rsid w:val="00CA39B5"/>
    <w:rsid w:val="00CA4156"/>
    <w:rsid w:val="00CA464C"/>
    <w:rsid w:val="00CA4A4F"/>
    <w:rsid w:val="00CA50D7"/>
    <w:rsid w:val="00CA5AC2"/>
    <w:rsid w:val="00CA6759"/>
    <w:rsid w:val="00CA716C"/>
    <w:rsid w:val="00CA73F4"/>
    <w:rsid w:val="00CA7798"/>
    <w:rsid w:val="00CA7D1D"/>
    <w:rsid w:val="00CB0224"/>
    <w:rsid w:val="00CB09A0"/>
    <w:rsid w:val="00CB0B84"/>
    <w:rsid w:val="00CB26CC"/>
    <w:rsid w:val="00CB35CC"/>
    <w:rsid w:val="00CB5007"/>
    <w:rsid w:val="00CB5909"/>
    <w:rsid w:val="00CB5CA2"/>
    <w:rsid w:val="00CB5E2E"/>
    <w:rsid w:val="00CB5EB8"/>
    <w:rsid w:val="00CB6006"/>
    <w:rsid w:val="00CB6BA5"/>
    <w:rsid w:val="00CB729D"/>
    <w:rsid w:val="00CB78A9"/>
    <w:rsid w:val="00CB7B73"/>
    <w:rsid w:val="00CC176B"/>
    <w:rsid w:val="00CC1ACE"/>
    <w:rsid w:val="00CC2D20"/>
    <w:rsid w:val="00CC34B3"/>
    <w:rsid w:val="00CC35DD"/>
    <w:rsid w:val="00CC4432"/>
    <w:rsid w:val="00CC4C00"/>
    <w:rsid w:val="00CC4FA1"/>
    <w:rsid w:val="00CC5822"/>
    <w:rsid w:val="00CC5B49"/>
    <w:rsid w:val="00CC5FF6"/>
    <w:rsid w:val="00CC6987"/>
    <w:rsid w:val="00CC6EFC"/>
    <w:rsid w:val="00CC72EE"/>
    <w:rsid w:val="00CC7438"/>
    <w:rsid w:val="00CC7B9B"/>
    <w:rsid w:val="00CC7D49"/>
    <w:rsid w:val="00CD0181"/>
    <w:rsid w:val="00CD0247"/>
    <w:rsid w:val="00CD15D7"/>
    <w:rsid w:val="00CD1B68"/>
    <w:rsid w:val="00CD2379"/>
    <w:rsid w:val="00CD26B7"/>
    <w:rsid w:val="00CD3B0E"/>
    <w:rsid w:val="00CD3F32"/>
    <w:rsid w:val="00CD41E1"/>
    <w:rsid w:val="00CD4437"/>
    <w:rsid w:val="00CD46A9"/>
    <w:rsid w:val="00CD504B"/>
    <w:rsid w:val="00CD5B46"/>
    <w:rsid w:val="00CD6210"/>
    <w:rsid w:val="00CD69DD"/>
    <w:rsid w:val="00CD79C8"/>
    <w:rsid w:val="00CE03E0"/>
    <w:rsid w:val="00CE19AA"/>
    <w:rsid w:val="00CE1B07"/>
    <w:rsid w:val="00CE2329"/>
    <w:rsid w:val="00CE294E"/>
    <w:rsid w:val="00CE43FE"/>
    <w:rsid w:val="00CE57AB"/>
    <w:rsid w:val="00CE588E"/>
    <w:rsid w:val="00CF099C"/>
    <w:rsid w:val="00CF0E6B"/>
    <w:rsid w:val="00CF12D3"/>
    <w:rsid w:val="00CF1536"/>
    <w:rsid w:val="00CF1B7D"/>
    <w:rsid w:val="00CF23B8"/>
    <w:rsid w:val="00CF26B4"/>
    <w:rsid w:val="00CF2714"/>
    <w:rsid w:val="00CF3307"/>
    <w:rsid w:val="00CF5190"/>
    <w:rsid w:val="00CF5652"/>
    <w:rsid w:val="00CF56C3"/>
    <w:rsid w:val="00CF57E3"/>
    <w:rsid w:val="00CF6237"/>
    <w:rsid w:val="00CF77D6"/>
    <w:rsid w:val="00CF7922"/>
    <w:rsid w:val="00CF7CC6"/>
    <w:rsid w:val="00CF7DB5"/>
    <w:rsid w:val="00D011A4"/>
    <w:rsid w:val="00D0179B"/>
    <w:rsid w:val="00D01F66"/>
    <w:rsid w:val="00D02673"/>
    <w:rsid w:val="00D02F6A"/>
    <w:rsid w:val="00D03022"/>
    <w:rsid w:val="00D04343"/>
    <w:rsid w:val="00D043CC"/>
    <w:rsid w:val="00D04824"/>
    <w:rsid w:val="00D04E89"/>
    <w:rsid w:val="00D04F29"/>
    <w:rsid w:val="00D052AD"/>
    <w:rsid w:val="00D054BC"/>
    <w:rsid w:val="00D05846"/>
    <w:rsid w:val="00D059B0"/>
    <w:rsid w:val="00D06111"/>
    <w:rsid w:val="00D0646F"/>
    <w:rsid w:val="00D06A51"/>
    <w:rsid w:val="00D0762E"/>
    <w:rsid w:val="00D0797F"/>
    <w:rsid w:val="00D07A91"/>
    <w:rsid w:val="00D07C8F"/>
    <w:rsid w:val="00D103CA"/>
    <w:rsid w:val="00D1067B"/>
    <w:rsid w:val="00D10FFA"/>
    <w:rsid w:val="00D1115A"/>
    <w:rsid w:val="00D11798"/>
    <w:rsid w:val="00D11CA2"/>
    <w:rsid w:val="00D11EA2"/>
    <w:rsid w:val="00D148F9"/>
    <w:rsid w:val="00D153DA"/>
    <w:rsid w:val="00D16B6D"/>
    <w:rsid w:val="00D201A7"/>
    <w:rsid w:val="00D20DF3"/>
    <w:rsid w:val="00D21988"/>
    <w:rsid w:val="00D22D93"/>
    <w:rsid w:val="00D23503"/>
    <w:rsid w:val="00D23A89"/>
    <w:rsid w:val="00D240D1"/>
    <w:rsid w:val="00D246E7"/>
    <w:rsid w:val="00D256F7"/>
    <w:rsid w:val="00D25737"/>
    <w:rsid w:val="00D2599F"/>
    <w:rsid w:val="00D26490"/>
    <w:rsid w:val="00D30ADB"/>
    <w:rsid w:val="00D30DC9"/>
    <w:rsid w:val="00D3186D"/>
    <w:rsid w:val="00D327DA"/>
    <w:rsid w:val="00D32A8D"/>
    <w:rsid w:val="00D34326"/>
    <w:rsid w:val="00D35040"/>
    <w:rsid w:val="00D35A4E"/>
    <w:rsid w:val="00D35CFC"/>
    <w:rsid w:val="00D35EE9"/>
    <w:rsid w:val="00D35F7D"/>
    <w:rsid w:val="00D3609F"/>
    <w:rsid w:val="00D361D1"/>
    <w:rsid w:val="00D362B0"/>
    <w:rsid w:val="00D36DFD"/>
    <w:rsid w:val="00D3701C"/>
    <w:rsid w:val="00D37AAF"/>
    <w:rsid w:val="00D4009A"/>
    <w:rsid w:val="00D40785"/>
    <w:rsid w:val="00D40AE4"/>
    <w:rsid w:val="00D4163D"/>
    <w:rsid w:val="00D41922"/>
    <w:rsid w:val="00D4286E"/>
    <w:rsid w:val="00D42A65"/>
    <w:rsid w:val="00D43257"/>
    <w:rsid w:val="00D43729"/>
    <w:rsid w:val="00D446B8"/>
    <w:rsid w:val="00D45D72"/>
    <w:rsid w:val="00D4636F"/>
    <w:rsid w:val="00D466B5"/>
    <w:rsid w:val="00D46E57"/>
    <w:rsid w:val="00D52685"/>
    <w:rsid w:val="00D52B47"/>
    <w:rsid w:val="00D53DA7"/>
    <w:rsid w:val="00D547B0"/>
    <w:rsid w:val="00D54DCA"/>
    <w:rsid w:val="00D54E3A"/>
    <w:rsid w:val="00D560E3"/>
    <w:rsid w:val="00D56234"/>
    <w:rsid w:val="00D566F1"/>
    <w:rsid w:val="00D5703B"/>
    <w:rsid w:val="00D60B02"/>
    <w:rsid w:val="00D60D61"/>
    <w:rsid w:val="00D612E8"/>
    <w:rsid w:val="00D6323F"/>
    <w:rsid w:val="00D63DE1"/>
    <w:rsid w:val="00D64968"/>
    <w:rsid w:val="00D64AAB"/>
    <w:rsid w:val="00D65064"/>
    <w:rsid w:val="00D67C89"/>
    <w:rsid w:val="00D7000D"/>
    <w:rsid w:val="00D71EF3"/>
    <w:rsid w:val="00D72B6E"/>
    <w:rsid w:val="00D743AB"/>
    <w:rsid w:val="00D748B7"/>
    <w:rsid w:val="00D748C7"/>
    <w:rsid w:val="00D752D7"/>
    <w:rsid w:val="00D7540D"/>
    <w:rsid w:val="00D76544"/>
    <w:rsid w:val="00D76709"/>
    <w:rsid w:val="00D76D4B"/>
    <w:rsid w:val="00D77B54"/>
    <w:rsid w:val="00D77C41"/>
    <w:rsid w:val="00D77D2F"/>
    <w:rsid w:val="00D77FD6"/>
    <w:rsid w:val="00D8002F"/>
    <w:rsid w:val="00D80108"/>
    <w:rsid w:val="00D80C63"/>
    <w:rsid w:val="00D80FAF"/>
    <w:rsid w:val="00D810BD"/>
    <w:rsid w:val="00D81316"/>
    <w:rsid w:val="00D81F71"/>
    <w:rsid w:val="00D822A9"/>
    <w:rsid w:val="00D82FBB"/>
    <w:rsid w:val="00D832CB"/>
    <w:rsid w:val="00D83F1F"/>
    <w:rsid w:val="00D84BAB"/>
    <w:rsid w:val="00D84F70"/>
    <w:rsid w:val="00D85E36"/>
    <w:rsid w:val="00D8734C"/>
    <w:rsid w:val="00D87E98"/>
    <w:rsid w:val="00D90834"/>
    <w:rsid w:val="00D9095E"/>
    <w:rsid w:val="00D9138F"/>
    <w:rsid w:val="00D915AD"/>
    <w:rsid w:val="00D91E84"/>
    <w:rsid w:val="00D9226A"/>
    <w:rsid w:val="00D949BB"/>
    <w:rsid w:val="00D952C4"/>
    <w:rsid w:val="00D95BE1"/>
    <w:rsid w:val="00DA1A43"/>
    <w:rsid w:val="00DA2B2D"/>
    <w:rsid w:val="00DA363C"/>
    <w:rsid w:val="00DA3730"/>
    <w:rsid w:val="00DA3A55"/>
    <w:rsid w:val="00DA640B"/>
    <w:rsid w:val="00DA6F35"/>
    <w:rsid w:val="00DA74CC"/>
    <w:rsid w:val="00DB209F"/>
    <w:rsid w:val="00DB2631"/>
    <w:rsid w:val="00DB2990"/>
    <w:rsid w:val="00DB2BC0"/>
    <w:rsid w:val="00DB5B0A"/>
    <w:rsid w:val="00DB5E17"/>
    <w:rsid w:val="00DB6B3E"/>
    <w:rsid w:val="00DB7969"/>
    <w:rsid w:val="00DB7CA2"/>
    <w:rsid w:val="00DC0981"/>
    <w:rsid w:val="00DC0E56"/>
    <w:rsid w:val="00DC17B4"/>
    <w:rsid w:val="00DC2209"/>
    <w:rsid w:val="00DC27BD"/>
    <w:rsid w:val="00DC3646"/>
    <w:rsid w:val="00DC7408"/>
    <w:rsid w:val="00DD03EA"/>
    <w:rsid w:val="00DD07EA"/>
    <w:rsid w:val="00DD0AB0"/>
    <w:rsid w:val="00DD0FAF"/>
    <w:rsid w:val="00DD3783"/>
    <w:rsid w:val="00DD378C"/>
    <w:rsid w:val="00DD40F9"/>
    <w:rsid w:val="00DD4730"/>
    <w:rsid w:val="00DE1542"/>
    <w:rsid w:val="00DE15AB"/>
    <w:rsid w:val="00DE1600"/>
    <w:rsid w:val="00DE1967"/>
    <w:rsid w:val="00DE20FC"/>
    <w:rsid w:val="00DE292D"/>
    <w:rsid w:val="00DE2E4A"/>
    <w:rsid w:val="00DE41D3"/>
    <w:rsid w:val="00DE4468"/>
    <w:rsid w:val="00DE497F"/>
    <w:rsid w:val="00DE4FB0"/>
    <w:rsid w:val="00DE7224"/>
    <w:rsid w:val="00DE7CD0"/>
    <w:rsid w:val="00DF02B6"/>
    <w:rsid w:val="00DF10A5"/>
    <w:rsid w:val="00DF17B7"/>
    <w:rsid w:val="00DF1893"/>
    <w:rsid w:val="00DF1DE8"/>
    <w:rsid w:val="00DF1F54"/>
    <w:rsid w:val="00DF31EE"/>
    <w:rsid w:val="00DF3D38"/>
    <w:rsid w:val="00DF3E5F"/>
    <w:rsid w:val="00DF409F"/>
    <w:rsid w:val="00DF5443"/>
    <w:rsid w:val="00DF571C"/>
    <w:rsid w:val="00DF5B6D"/>
    <w:rsid w:val="00DF6315"/>
    <w:rsid w:val="00DF77B1"/>
    <w:rsid w:val="00DF7CEB"/>
    <w:rsid w:val="00DF7D04"/>
    <w:rsid w:val="00DF7ED0"/>
    <w:rsid w:val="00E0180C"/>
    <w:rsid w:val="00E024FE"/>
    <w:rsid w:val="00E028EA"/>
    <w:rsid w:val="00E02A45"/>
    <w:rsid w:val="00E02CF3"/>
    <w:rsid w:val="00E03793"/>
    <w:rsid w:val="00E03C62"/>
    <w:rsid w:val="00E04C1E"/>
    <w:rsid w:val="00E05971"/>
    <w:rsid w:val="00E05E7F"/>
    <w:rsid w:val="00E05FD3"/>
    <w:rsid w:val="00E06A7B"/>
    <w:rsid w:val="00E07B03"/>
    <w:rsid w:val="00E07DF0"/>
    <w:rsid w:val="00E112C6"/>
    <w:rsid w:val="00E11357"/>
    <w:rsid w:val="00E118F1"/>
    <w:rsid w:val="00E11E20"/>
    <w:rsid w:val="00E11E24"/>
    <w:rsid w:val="00E123AF"/>
    <w:rsid w:val="00E12948"/>
    <w:rsid w:val="00E12B07"/>
    <w:rsid w:val="00E12C2E"/>
    <w:rsid w:val="00E1410F"/>
    <w:rsid w:val="00E14195"/>
    <w:rsid w:val="00E141F8"/>
    <w:rsid w:val="00E1475A"/>
    <w:rsid w:val="00E1549A"/>
    <w:rsid w:val="00E16B75"/>
    <w:rsid w:val="00E17985"/>
    <w:rsid w:val="00E17EBF"/>
    <w:rsid w:val="00E2047E"/>
    <w:rsid w:val="00E209DC"/>
    <w:rsid w:val="00E212A0"/>
    <w:rsid w:val="00E2132D"/>
    <w:rsid w:val="00E218DE"/>
    <w:rsid w:val="00E21C9C"/>
    <w:rsid w:val="00E2219A"/>
    <w:rsid w:val="00E2279E"/>
    <w:rsid w:val="00E22E0A"/>
    <w:rsid w:val="00E2319F"/>
    <w:rsid w:val="00E23C62"/>
    <w:rsid w:val="00E25C7F"/>
    <w:rsid w:val="00E2645D"/>
    <w:rsid w:val="00E26C52"/>
    <w:rsid w:val="00E304D9"/>
    <w:rsid w:val="00E31C88"/>
    <w:rsid w:val="00E3232A"/>
    <w:rsid w:val="00E324B1"/>
    <w:rsid w:val="00E32ED5"/>
    <w:rsid w:val="00E3312F"/>
    <w:rsid w:val="00E34202"/>
    <w:rsid w:val="00E366D8"/>
    <w:rsid w:val="00E3711F"/>
    <w:rsid w:val="00E37930"/>
    <w:rsid w:val="00E37DBB"/>
    <w:rsid w:val="00E4059E"/>
    <w:rsid w:val="00E42446"/>
    <w:rsid w:val="00E429AE"/>
    <w:rsid w:val="00E432B9"/>
    <w:rsid w:val="00E43764"/>
    <w:rsid w:val="00E45489"/>
    <w:rsid w:val="00E47123"/>
    <w:rsid w:val="00E47587"/>
    <w:rsid w:val="00E5017F"/>
    <w:rsid w:val="00E50D50"/>
    <w:rsid w:val="00E518F0"/>
    <w:rsid w:val="00E53030"/>
    <w:rsid w:val="00E536EF"/>
    <w:rsid w:val="00E53EAC"/>
    <w:rsid w:val="00E542BB"/>
    <w:rsid w:val="00E54EB4"/>
    <w:rsid w:val="00E559DE"/>
    <w:rsid w:val="00E56E22"/>
    <w:rsid w:val="00E60519"/>
    <w:rsid w:val="00E61266"/>
    <w:rsid w:val="00E612BA"/>
    <w:rsid w:val="00E61D36"/>
    <w:rsid w:val="00E61EAA"/>
    <w:rsid w:val="00E62331"/>
    <w:rsid w:val="00E6244F"/>
    <w:rsid w:val="00E637F1"/>
    <w:rsid w:val="00E6424E"/>
    <w:rsid w:val="00E6427A"/>
    <w:rsid w:val="00E6436A"/>
    <w:rsid w:val="00E645DD"/>
    <w:rsid w:val="00E64FB4"/>
    <w:rsid w:val="00E659DC"/>
    <w:rsid w:val="00E65D8B"/>
    <w:rsid w:val="00E66B1B"/>
    <w:rsid w:val="00E66CA1"/>
    <w:rsid w:val="00E67B29"/>
    <w:rsid w:val="00E67C82"/>
    <w:rsid w:val="00E7218A"/>
    <w:rsid w:val="00E724FC"/>
    <w:rsid w:val="00E7295F"/>
    <w:rsid w:val="00E72ED3"/>
    <w:rsid w:val="00E73AFC"/>
    <w:rsid w:val="00E73FEF"/>
    <w:rsid w:val="00E74431"/>
    <w:rsid w:val="00E761A5"/>
    <w:rsid w:val="00E76E94"/>
    <w:rsid w:val="00E77523"/>
    <w:rsid w:val="00E8021F"/>
    <w:rsid w:val="00E802E1"/>
    <w:rsid w:val="00E804AB"/>
    <w:rsid w:val="00E81066"/>
    <w:rsid w:val="00E82084"/>
    <w:rsid w:val="00E832D8"/>
    <w:rsid w:val="00E837A5"/>
    <w:rsid w:val="00E83A04"/>
    <w:rsid w:val="00E83D50"/>
    <w:rsid w:val="00E83FE8"/>
    <w:rsid w:val="00E846A1"/>
    <w:rsid w:val="00E859FB"/>
    <w:rsid w:val="00E860D9"/>
    <w:rsid w:val="00E86636"/>
    <w:rsid w:val="00E86CD3"/>
    <w:rsid w:val="00E872A2"/>
    <w:rsid w:val="00E878E8"/>
    <w:rsid w:val="00E903F0"/>
    <w:rsid w:val="00E90D0E"/>
    <w:rsid w:val="00E90D9F"/>
    <w:rsid w:val="00E90F98"/>
    <w:rsid w:val="00E91335"/>
    <w:rsid w:val="00E928A3"/>
    <w:rsid w:val="00E93A51"/>
    <w:rsid w:val="00E93E14"/>
    <w:rsid w:val="00E940BA"/>
    <w:rsid w:val="00E94644"/>
    <w:rsid w:val="00E9467A"/>
    <w:rsid w:val="00E948B1"/>
    <w:rsid w:val="00E94CB3"/>
    <w:rsid w:val="00E950E4"/>
    <w:rsid w:val="00E954FE"/>
    <w:rsid w:val="00E95E8D"/>
    <w:rsid w:val="00E96AEF"/>
    <w:rsid w:val="00E96D47"/>
    <w:rsid w:val="00E97E04"/>
    <w:rsid w:val="00EA0122"/>
    <w:rsid w:val="00EA0294"/>
    <w:rsid w:val="00EA0440"/>
    <w:rsid w:val="00EA06E8"/>
    <w:rsid w:val="00EA168E"/>
    <w:rsid w:val="00EA3490"/>
    <w:rsid w:val="00EA35CB"/>
    <w:rsid w:val="00EA3646"/>
    <w:rsid w:val="00EA3C43"/>
    <w:rsid w:val="00EA3EFF"/>
    <w:rsid w:val="00EA42BC"/>
    <w:rsid w:val="00EA6552"/>
    <w:rsid w:val="00EA7C33"/>
    <w:rsid w:val="00EA7D8E"/>
    <w:rsid w:val="00EB0768"/>
    <w:rsid w:val="00EB22B6"/>
    <w:rsid w:val="00EB24D4"/>
    <w:rsid w:val="00EB3FB9"/>
    <w:rsid w:val="00EB489D"/>
    <w:rsid w:val="00EB5609"/>
    <w:rsid w:val="00EB586D"/>
    <w:rsid w:val="00EB5DB6"/>
    <w:rsid w:val="00EB6CEC"/>
    <w:rsid w:val="00EB6D44"/>
    <w:rsid w:val="00EC18AB"/>
    <w:rsid w:val="00EC2207"/>
    <w:rsid w:val="00EC29D2"/>
    <w:rsid w:val="00EC2AA1"/>
    <w:rsid w:val="00EC2AB4"/>
    <w:rsid w:val="00EC39B1"/>
    <w:rsid w:val="00EC41C9"/>
    <w:rsid w:val="00EC4283"/>
    <w:rsid w:val="00EC4D5B"/>
    <w:rsid w:val="00EC551B"/>
    <w:rsid w:val="00EC58A6"/>
    <w:rsid w:val="00EC5EEB"/>
    <w:rsid w:val="00EC6104"/>
    <w:rsid w:val="00EC7818"/>
    <w:rsid w:val="00ED08D4"/>
    <w:rsid w:val="00ED0B04"/>
    <w:rsid w:val="00ED255E"/>
    <w:rsid w:val="00ED2689"/>
    <w:rsid w:val="00ED4020"/>
    <w:rsid w:val="00ED664F"/>
    <w:rsid w:val="00ED7982"/>
    <w:rsid w:val="00ED79D2"/>
    <w:rsid w:val="00EE027A"/>
    <w:rsid w:val="00EE03A3"/>
    <w:rsid w:val="00EE1768"/>
    <w:rsid w:val="00EE1A11"/>
    <w:rsid w:val="00EE1F5C"/>
    <w:rsid w:val="00EE2F64"/>
    <w:rsid w:val="00EE2F90"/>
    <w:rsid w:val="00EE32F1"/>
    <w:rsid w:val="00EE3521"/>
    <w:rsid w:val="00EE471E"/>
    <w:rsid w:val="00EE5EBC"/>
    <w:rsid w:val="00EE5EDC"/>
    <w:rsid w:val="00EE62CC"/>
    <w:rsid w:val="00EF0E91"/>
    <w:rsid w:val="00EF0F3D"/>
    <w:rsid w:val="00EF1149"/>
    <w:rsid w:val="00EF1408"/>
    <w:rsid w:val="00EF1449"/>
    <w:rsid w:val="00EF144A"/>
    <w:rsid w:val="00EF1AD8"/>
    <w:rsid w:val="00EF2958"/>
    <w:rsid w:val="00EF3A06"/>
    <w:rsid w:val="00EF3A6F"/>
    <w:rsid w:val="00EF43E6"/>
    <w:rsid w:val="00EF4448"/>
    <w:rsid w:val="00EF573A"/>
    <w:rsid w:val="00EF64E2"/>
    <w:rsid w:val="00EF6B8C"/>
    <w:rsid w:val="00EF6DDF"/>
    <w:rsid w:val="00EF7613"/>
    <w:rsid w:val="00EF7D07"/>
    <w:rsid w:val="00EF7EDD"/>
    <w:rsid w:val="00F014C7"/>
    <w:rsid w:val="00F0215E"/>
    <w:rsid w:val="00F021B1"/>
    <w:rsid w:val="00F024F2"/>
    <w:rsid w:val="00F033C0"/>
    <w:rsid w:val="00F039A1"/>
    <w:rsid w:val="00F052B7"/>
    <w:rsid w:val="00F053B7"/>
    <w:rsid w:val="00F05730"/>
    <w:rsid w:val="00F05F90"/>
    <w:rsid w:val="00F062A7"/>
    <w:rsid w:val="00F06365"/>
    <w:rsid w:val="00F066DB"/>
    <w:rsid w:val="00F06D16"/>
    <w:rsid w:val="00F07DE4"/>
    <w:rsid w:val="00F1077A"/>
    <w:rsid w:val="00F10F5B"/>
    <w:rsid w:val="00F11F03"/>
    <w:rsid w:val="00F12CD9"/>
    <w:rsid w:val="00F13B6B"/>
    <w:rsid w:val="00F13B91"/>
    <w:rsid w:val="00F14C41"/>
    <w:rsid w:val="00F15100"/>
    <w:rsid w:val="00F156EB"/>
    <w:rsid w:val="00F15ABD"/>
    <w:rsid w:val="00F15DF0"/>
    <w:rsid w:val="00F15EE4"/>
    <w:rsid w:val="00F16572"/>
    <w:rsid w:val="00F16BB5"/>
    <w:rsid w:val="00F172F5"/>
    <w:rsid w:val="00F20239"/>
    <w:rsid w:val="00F20AFA"/>
    <w:rsid w:val="00F20D97"/>
    <w:rsid w:val="00F20DD5"/>
    <w:rsid w:val="00F215C2"/>
    <w:rsid w:val="00F21E2B"/>
    <w:rsid w:val="00F21E94"/>
    <w:rsid w:val="00F222AC"/>
    <w:rsid w:val="00F223FC"/>
    <w:rsid w:val="00F22B3F"/>
    <w:rsid w:val="00F22C19"/>
    <w:rsid w:val="00F22C5B"/>
    <w:rsid w:val="00F23987"/>
    <w:rsid w:val="00F248D8"/>
    <w:rsid w:val="00F25C2D"/>
    <w:rsid w:val="00F25DB7"/>
    <w:rsid w:val="00F264B9"/>
    <w:rsid w:val="00F26948"/>
    <w:rsid w:val="00F26DDA"/>
    <w:rsid w:val="00F26E09"/>
    <w:rsid w:val="00F26EBE"/>
    <w:rsid w:val="00F270B4"/>
    <w:rsid w:val="00F274B6"/>
    <w:rsid w:val="00F27EEF"/>
    <w:rsid w:val="00F3005C"/>
    <w:rsid w:val="00F31619"/>
    <w:rsid w:val="00F3178D"/>
    <w:rsid w:val="00F322CA"/>
    <w:rsid w:val="00F328D0"/>
    <w:rsid w:val="00F329F1"/>
    <w:rsid w:val="00F331E9"/>
    <w:rsid w:val="00F341BB"/>
    <w:rsid w:val="00F349DF"/>
    <w:rsid w:val="00F34BC3"/>
    <w:rsid w:val="00F3523D"/>
    <w:rsid w:val="00F3552C"/>
    <w:rsid w:val="00F35905"/>
    <w:rsid w:val="00F35FE5"/>
    <w:rsid w:val="00F36281"/>
    <w:rsid w:val="00F363D6"/>
    <w:rsid w:val="00F3670B"/>
    <w:rsid w:val="00F36FC8"/>
    <w:rsid w:val="00F376B1"/>
    <w:rsid w:val="00F378F4"/>
    <w:rsid w:val="00F40029"/>
    <w:rsid w:val="00F40A70"/>
    <w:rsid w:val="00F410C3"/>
    <w:rsid w:val="00F415AE"/>
    <w:rsid w:val="00F41C1C"/>
    <w:rsid w:val="00F42033"/>
    <w:rsid w:val="00F42644"/>
    <w:rsid w:val="00F42DBE"/>
    <w:rsid w:val="00F43166"/>
    <w:rsid w:val="00F432C8"/>
    <w:rsid w:val="00F43B28"/>
    <w:rsid w:val="00F44FB6"/>
    <w:rsid w:val="00F45517"/>
    <w:rsid w:val="00F4573A"/>
    <w:rsid w:val="00F464F4"/>
    <w:rsid w:val="00F46E3C"/>
    <w:rsid w:val="00F473CD"/>
    <w:rsid w:val="00F477A1"/>
    <w:rsid w:val="00F47C76"/>
    <w:rsid w:val="00F47C86"/>
    <w:rsid w:val="00F5011D"/>
    <w:rsid w:val="00F504B5"/>
    <w:rsid w:val="00F50841"/>
    <w:rsid w:val="00F50EE1"/>
    <w:rsid w:val="00F50F49"/>
    <w:rsid w:val="00F5177C"/>
    <w:rsid w:val="00F5197E"/>
    <w:rsid w:val="00F5220F"/>
    <w:rsid w:val="00F52627"/>
    <w:rsid w:val="00F5293A"/>
    <w:rsid w:val="00F53461"/>
    <w:rsid w:val="00F534EB"/>
    <w:rsid w:val="00F53663"/>
    <w:rsid w:val="00F54175"/>
    <w:rsid w:val="00F55481"/>
    <w:rsid w:val="00F5556D"/>
    <w:rsid w:val="00F5561B"/>
    <w:rsid w:val="00F55A0B"/>
    <w:rsid w:val="00F55BF2"/>
    <w:rsid w:val="00F55D66"/>
    <w:rsid w:val="00F60094"/>
    <w:rsid w:val="00F600D5"/>
    <w:rsid w:val="00F60B5F"/>
    <w:rsid w:val="00F617B1"/>
    <w:rsid w:val="00F631DD"/>
    <w:rsid w:val="00F63B90"/>
    <w:rsid w:val="00F63E2A"/>
    <w:rsid w:val="00F65046"/>
    <w:rsid w:val="00F6505B"/>
    <w:rsid w:val="00F65774"/>
    <w:rsid w:val="00F662B3"/>
    <w:rsid w:val="00F67668"/>
    <w:rsid w:val="00F67E0B"/>
    <w:rsid w:val="00F70BCC"/>
    <w:rsid w:val="00F7157B"/>
    <w:rsid w:val="00F715A3"/>
    <w:rsid w:val="00F71F4E"/>
    <w:rsid w:val="00F720AB"/>
    <w:rsid w:val="00F72C95"/>
    <w:rsid w:val="00F73C6A"/>
    <w:rsid w:val="00F7445A"/>
    <w:rsid w:val="00F7454D"/>
    <w:rsid w:val="00F748AF"/>
    <w:rsid w:val="00F76FA8"/>
    <w:rsid w:val="00F8007E"/>
    <w:rsid w:val="00F80229"/>
    <w:rsid w:val="00F803B8"/>
    <w:rsid w:val="00F809BA"/>
    <w:rsid w:val="00F80FE0"/>
    <w:rsid w:val="00F81386"/>
    <w:rsid w:val="00F8166E"/>
    <w:rsid w:val="00F82F88"/>
    <w:rsid w:val="00F841FB"/>
    <w:rsid w:val="00F84E22"/>
    <w:rsid w:val="00F851A6"/>
    <w:rsid w:val="00F85880"/>
    <w:rsid w:val="00F85E0B"/>
    <w:rsid w:val="00F87225"/>
    <w:rsid w:val="00F90673"/>
    <w:rsid w:val="00F90AFB"/>
    <w:rsid w:val="00F90ECE"/>
    <w:rsid w:val="00F91923"/>
    <w:rsid w:val="00F91BA6"/>
    <w:rsid w:val="00F928CA"/>
    <w:rsid w:val="00F931A5"/>
    <w:rsid w:val="00F93B97"/>
    <w:rsid w:val="00F948AC"/>
    <w:rsid w:val="00F96185"/>
    <w:rsid w:val="00F9619A"/>
    <w:rsid w:val="00F97A8E"/>
    <w:rsid w:val="00FA31C8"/>
    <w:rsid w:val="00FA3787"/>
    <w:rsid w:val="00FA4507"/>
    <w:rsid w:val="00FA464B"/>
    <w:rsid w:val="00FA4FBD"/>
    <w:rsid w:val="00FA5285"/>
    <w:rsid w:val="00FA5466"/>
    <w:rsid w:val="00FA5985"/>
    <w:rsid w:val="00FA5FBE"/>
    <w:rsid w:val="00FA6082"/>
    <w:rsid w:val="00FA62D4"/>
    <w:rsid w:val="00FA6589"/>
    <w:rsid w:val="00FA6A8A"/>
    <w:rsid w:val="00FA6C91"/>
    <w:rsid w:val="00FA7481"/>
    <w:rsid w:val="00FB0B71"/>
    <w:rsid w:val="00FB1A1A"/>
    <w:rsid w:val="00FB1D7A"/>
    <w:rsid w:val="00FB1FF9"/>
    <w:rsid w:val="00FB2133"/>
    <w:rsid w:val="00FB25F5"/>
    <w:rsid w:val="00FB2F5D"/>
    <w:rsid w:val="00FB3728"/>
    <w:rsid w:val="00FB3E08"/>
    <w:rsid w:val="00FB4547"/>
    <w:rsid w:val="00FB5F5F"/>
    <w:rsid w:val="00FB705C"/>
    <w:rsid w:val="00FB718C"/>
    <w:rsid w:val="00FB7816"/>
    <w:rsid w:val="00FB7E07"/>
    <w:rsid w:val="00FB7EB2"/>
    <w:rsid w:val="00FC0880"/>
    <w:rsid w:val="00FC0999"/>
    <w:rsid w:val="00FC0B58"/>
    <w:rsid w:val="00FC16BF"/>
    <w:rsid w:val="00FC210A"/>
    <w:rsid w:val="00FC39AB"/>
    <w:rsid w:val="00FC408E"/>
    <w:rsid w:val="00FC40E2"/>
    <w:rsid w:val="00FC4A8E"/>
    <w:rsid w:val="00FC5267"/>
    <w:rsid w:val="00FC6A6E"/>
    <w:rsid w:val="00FC735B"/>
    <w:rsid w:val="00FC7823"/>
    <w:rsid w:val="00FC7984"/>
    <w:rsid w:val="00FD0898"/>
    <w:rsid w:val="00FD1301"/>
    <w:rsid w:val="00FD1CE8"/>
    <w:rsid w:val="00FD2633"/>
    <w:rsid w:val="00FD2CB8"/>
    <w:rsid w:val="00FD2E13"/>
    <w:rsid w:val="00FD3047"/>
    <w:rsid w:val="00FD3781"/>
    <w:rsid w:val="00FD48BB"/>
    <w:rsid w:val="00FD5D32"/>
    <w:rsid w:val="00FD5F7F"/>
    <w:rsid w:val="00FD5F89"/>
    <w:rsid w:val="00FD6A49"/>
    <w:rsid w:val="00FD6CD3"/>
    <w:rsid w:val="00FD6D19"/>
    <w:rsid w:val="00FD7532"/>
    <w:rsid w:val="00FD7C5F"/>
    <w:rsid w:val="00FE0069"/>
    <w:rsid w:val="00FE0637"/>
    <w:rsid w:val="00FE14EF"/>
    <w:rsid w:val="00FE1873"/>
    <w:rsid w:val="00FE1F5A"/>
    <w:rsid w:val="00FE2112"/>
    <w:rsid w:val="00FE365D"/>
    <w:rsid w:val="00FE39E2"/>
    <w:rsid w:val="00FE3C4E"/>
    <w:rsid w:val="00FE454E"/>
    <w:rsid w:val="00FE4B03"/>
    <w:rsid w:val="00FE607F"/>
    <w:rsid w:val="00FE644A"/>
    <w:rsid w:val="00FE6E40"/>
    <w:rsid w:val="00FF023A"/>
    <w:rsid w:val="00FF062B"/>
    <w:rsid w:val="00FF0B98"/>
    <w:rsid w:val="00FF1C5A"/>
    <w:rsid w:val="00FF1EAA"/>
    <w:rsid w:val="00FF265F"/>
    <w:rsid w:val="00FF30C6"/>
    <w:rsid w:val="00FF3DEC"/>
    <w:rsid w:val="00FF3EC1"/>
    <w:rsid w:val="00FF3F2D"/>
    <w:rsid w:val="00FF4C71"/>
    <w:rsid w:val="00FF4CD0"/>
    <w:rsid w:val="00FF4F0E"/>
    <w:rsid w:val="00FF6B59"/>
    <w:rsid w:val="00FF79AB"/>
    <w:rsid w:val="00FF7E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A5F9D"/>
  <w15:docId w15:val="{4CA71715-B729-4CA7-8153-042C4183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112C6"/>
    <w:pPr>
      <w:spacing w:after="160" w:line="259" w:lineRule="auto"/>
    </w:pPr>
    <w:rPr>
      <w:rFonts w:ascii="Arial Narrow" w:eastAsia="MS ??" w:hAnsi="Arial Narrow" w:cs="Arial"/>
      <w:b/>
      <w:kern w:val="2"/>
      <w:sz w:val="24"/>
      <w:lang w:eastAsia="ja-JP"/>
    </w:rPr>
  </w:style>
  <w:style w:type="paragraph" w:styleId="Titre1">
    <w:name w:val="heading 1"/>
    <w:basedOn w:val="Normal"/>
    <w:next w:val="Normal"/>
    <w:link w:val="Titre1Car"/>
    <w:uiPriority w:val="99"/>
    <w:qFormat/>
    <w:rsid w:val="00E94CB3"/>
    <w:pPr>
      <w:keepNext/>
      <w:overflowPunct w:val="0"/>
      <w:outlineLvl w:val="0"/>
    </w:pPr>
    <w:rPr>
      <w:rFonts w:eastAsia="Times New Roman" w:cs="Times New Roman"/>
      <w:kern w:val="0"/>
      <w:lang w:eastAsia="fr-FR"/>
    </w:rPr>
  </w:style>
  <w:style w:type="paragraph" w:styleId="Titre2">
    <w:name w:val="heading 2"/>
    <w:basedOn w:val="Normal"/>
    <w:next w:val="Normal"/>
    <w:link w:val="Titre2Car"/>
    <w:uiPriority w:val="9"/>
    <w:unhideWhenUsed/>
    <w:qFormat/>
    <w:rsid w:val="00E94CB3"/>
    <w:pPr>
      <w:keepNext/>
      <w:keepLines/>
      <w:spacing w:before="200"/>
      <w:outlineLvl w:val="1"/>
    </w:pPr>
    <w:rPr>
      <w:rFonts w:asciiTheme="majorHAnsi" w:eastAsiaTheme="majorEastAsia" w:hAnsiTheme="majorHAnsi" w:cstheme="majorBidi"/>
      <w:bCs/>
      <w:color w:val="B71E42" w:themeColor="accent1"/>
      <w:sz w:val="26"/>
      <w:szCs w:val="26"/>
    </w:rPr>
  </w:style>
  <w:style w:type="paragraph" w:styleId="Titre3">
    <w:name w:val="heading 3"/>
    <w:basedOn w:val="Normal"/>
    <w:next w:val="Normal"/>
    <w:link w:val="Titre3Car"/>
    <w:uiPriority w:val="9"/>
    <w:semiHidden/>
    <w:unhideWhenUsed/>
    <w:qFormat/>
    <w:rsid w:val="004B0F31"/>
    <w:pPr>
      <w:keepNext/>
      <w:keepLines/>
      <w:spacing w:before="200" w:after="0"/>
      <w:outlineLvl w:val="2"/>
    </w:pPr>
    <w:rPr>
      <w:rFonts w:asciiTheme="majorHAnsi" w:eastAsiaTheme="majorEastAsia" w:hAnsiTheme="majorHAnsi" w:cstheme="majorBidi"/>
      <w:b w:val="0"/>
      <w:bCs/>
      <w:color w:val="B71E42" w:themeColor="accent1"/>
    </w:rPr>
  </w:style>
  <w:style w:type="paragraph" w:styleId="Titre4">
    <w:name w:val="heading 4"/>
    <w:basedOn w:val="Normal"/>
    <w:next w:val="Normal"/>
    <w:link w:val="Titre4Car"/>
    <w:uiPriority w:val="99"/>
    <w:unhideWhenUsed/>
    <w:qFormat/>
    <w:rsid w:val="00E94CB3"/>
    <w:pPr>
      <w:keepNext/>
      <w:spacing w:before="240" w:after="60"/>
      <w:outlineLvl w:val="3"/>
    </w:pPr>
    <w:rPr>
      <w:rFonts w:ascii="Times New Roman" w:eastAsia="Calibri" w:hAnsi="Times New Roman"/>
      <w:bCs/>
      <w:kern w:val="0"/>
      <w:lang w:eastAsia="en-US"/>
    </w:rPr>
  </w:style>
  <w:style w:type="paragraph" w:styleId="Titre5">
    <w:name w:val="heading 5"/>
    <w:basedOn w:val="Normal"/>
    <w:next w:val="Normal"/>
    <w:link w:val="Titre5Car"/>
    <w:uiPriority w:val="99"/>
    <w:unhideWhenUsed/>
    <w:qFormat/>
    <w:rsid w:val="00E94CB3"/>
    <w:pPr>
      <w:keepNext/>
      <w:overflowPunct w:val="0"/>
      <w:outlineLvl w:val="4"/>
    </w:pPr>
    <w:rPr>
      <w:rFonts w:ascii="Times New Roman" w:eastAsia="Times New Roman" w:hAnsi="Times New Roman" w:cs="Times New Roman"/>
      <w:bCs/>
      <w:i/>
      <w:iCs/>
      <w:kern w:val="0"/>
      <w:lang w:eastAsia="fr-FR"/>
    </w:rPr>
  </w:style>
  <w:style w:type="paragraph" w:styleId="Titre6">
    <w:name w:val="heading 6"/>
    <w:basedOn w:val="Normal"/>
    <w:next w:val="Normal"/>
    <w:link w:val="Titre6Car"/>
    <w:uiPriority w:val="99"/>
    <w:unhideWhenUsed/>
    <w:qFormat/>
    <w:rsid w:val="00E94CB3"/>
    <w:pPr>
      <w:keepNext/>
      <w:keepLines/>
      <w:spacing w:before="200"/>
      <w:outlineLvl w:val="5"/>
    </w:pPr>
    <w:rPr>
      <w:rFonts w:asciiTheme="majorHAnsi" w:eastAsiaTheme="majorEastAsia" w:hAnsiTheme="majorHAnsi" w:cstheme="majorBidi"/>
      <w:i/>
      <w:iCs/>
      <w:color w:val="5B0F20" w:themeColor="accent1" w:themeShade="7F"/>
    </w:rPr>
  </w:style>
  <w:style w:type="paragraph" w:styleId="Titre7">
    <w:name w:val="heading 7"/>
    <w:basedOn w:val="Normal"/>
    <w:next w:val="Normal"/>
    <w:link w:val="Titre7Car"/>
    <w:uiPriority w:val="9"/>
    <w:unhideWhenUsed/>
    <w:qFormat/>
    <w:rsid w:val="00F5293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9">
    <w:name w:val="heading 9"/>
    <w:basedOn w:val="Normal"/>
    <w:next w:val="Normal"/>
    <w:link w:val="Titre9Car"/>
    <w:uiPriority w:val="9"/>
    <w:semiHidden/>
    <w:unhideWhenUsed/>
    <w:qFormat/>
    <w:rsid w:val="00E94CB3"/>
    <w:pPr>
      <w:keepNext/>
      <w:keepLines/>
      <w:spacing w:before="200"/>
      <w:outlineLvl w:val="8"/>
    </w:pPr>
    <w:rPr>
      <w:rFonts w:asciiTheme="majorHAnsi" w:eastAsiaTheme="majorEastAsia" w:hAnsiTheme="majorHAnsi" w:cstheme="majorBidi"/>
      <w:b w:val="0"/>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E94CB3"/>
    <w:rPr>
      <w:rFonts w:ascii="Arial Narrow" w:eastAsia="Times New Roman" w:hAnsi="Arial Narrow" w:cs="Times New Roman"/>
      <w:b/>
      <w:sz w:val="24"/>
      <w:lang w:eastAsia="fr-FR"/>
    </w:rPr>
  </w:style>
  <w:style w:type="character" w:customStyle="1" w:styleId="Titre2Car">
    <w:name w:val="Titre 2 Car"/>
    <w:basedOn w:val="Policepardfaut"/>
    <w:link w:val="Titre2"/>
    <w:uiPriority w:val="9"/>
    <w:rsid w:val="00E94CB3"/>
    <w:rPr>
      <w:rFonts w:asciiTheme="majorHAnsi" w:eastAsiaTheme="majorEastAsia" w:hAnsiTheme="majorHAnsi" w:cstheme="majorBidi"/>
      <w:b/>
      <w:bCs/>
      <w:color w:val="B71E42" w:themeColor="accent1"/>
      <w:kern w:val="2"/>
      <w:sz w:val="26"/>
      <w:szCs w:val="26"/>
      <w:lang w:eastAsia="ja-JP"/>
    </w:rPr>
  </w:style>
  <w:style w:type="character" w:customStyle="1" w:styleId="Titre4Car">
    <w:name w:val="Titre 4 Car"/>
    <w:basedOn w:val="Policepardfaut"/>
    <w:link w:val="Titre4"/>
    <w:uiPriority w:val="99"/>
    <w:rsid w:val="00E94CB3"/>
    <w:rPr>
      <w:rFonts w:ascii="Times New Roman" w:eastAsia="Calibri" w:hAnsi="Times New Roman" w:cs="Arial"/>
      <w:b/>
      <w:bCs/>
      <w:sz w:val="24"/>
    </w:rPr>
  </w:style>
  <w:style w:type="character" w:customStyle="1" w:styleId="Titre5Car">
    <w:name w:val="Titre 5 Car"/>
    <w:basedOn w:val="Policepardfaut"/>
    <w:link w:val="Titre5"/>
    <w:uiPriority w:val="99"/>
    <w:rsid w:val="00E94CB3"/>
    <w:rPr>
      <w:rFonts w:ascii="Times New Roman" w:eastAsia="Times New Roman" w:hAnsi="Times New Roman" w:cs="Times New Roman"/>
      <w:b/>
      <w:bCs/>
      <w:i/>
      <w:iCs/>
      <w:sz w:val="24"/>
      <w:lang w:eastAsia="fr-FR"/>
    </w:rPr>
  </w:style>
  <w:style w:type="character" w:customStyle="1" w:styleId="Titre6Car">
    <w:name w:val="Titre 6 Car"/>
    <w:basedOn w:val="Policepardfaut"/>
    <w:link w:val="Titre6"/>
    <w:uiPriority w:val="99"/>
    <w:rsid w:val="00E94CB3"/>
    <w:rPr>
      <w:rFonts w:asciiTheme="majorHAnsi" w:eastAsiaTheme="majorEastAsia" w:hAnsiTheme="majorHAnsi" w:cstheme="majorBidi"/>
      <w:b/>
      <w:i/>
      <w:iCs/>
      <w:color w:val="5B0F20" w:themeColor="accent1" w:themeShade="7F"/>
      <w:kern w:val="2"/>
      <w:sz w:val="24"/>
      <w:lang w:eastAsia="ja-JP"/>
    </w:rPr>
  </w:style>
  <w:style w:type="character" w:customStyle="1" w:styleId="Titre9Car">
    <w:name w:val="Titre 9 Car"/>
    <w:basedOn w:val="Policepardfaut"/>
    <w:link w:val="Titre9"/>
    <w:uiPriority w:val="9"/>
    <w:semiHidden/>
    <w:rsid w:val="00E94CB3"/>
    <w:rPr>
      <w:rFonts w:asciiTheme="majorHAnsi" w:eastAsiaTheme="majorEastAsia" w:hAnsiTheme="majorHAnsi" w:cstheme="majorBidi"/>
      <w:i/>
      <w:iCs/>
      <w:color w:val="404040" w:themeColor="text1" w:themeTint="BF"/>
      <w:kern w:val="2"/>
      <w:sz w:val="20"/>
      <w:szCs w:val="20"/>
      <w:lang w:eastAsia="ja-JP"/>
    </w:rPr>
  </w:style>
  <w:style w:type="character" w:styleId="Lienhypertexte">
    <w:name w:val="Hyperlink"/>
    <w:basedOn w:val="Policepardfaut"/>
    <w:unhideWhenUsed/>
    <w:rsid w:val="00E94CB3"/>
    <w:rPr>
      <w:color w:val="0000FF"/>
      <w:u w:val="single"/>
    </w:rPr>
  </w:style>
  <w:style w:type="character" w:styleId="Lienhypertextesuivivisit">
    <w:name w:val="FollowedHyperlink"/>
    <w:basedOn w:val="Policepardfaut"/>
    <w:uiPriority w:val="99"/>
    <w:semiHidden/>
    <w:unhideWhenUsed/>
    <w:rsid w:val="00E94CB3"/>
    <w:rPr>
      <w:color w:val="BC658E" w:themeColor="followedHyperlink"/>
      <w:u w:val="single"/>
    </w:rPr>
  </w:style>
  <w:style w:type="paragraph" w:styleId="PrformatHTML">
    <w:name w:val="HTML Preformatted"/>
    <w:basedOn w:val="Normal"/>
    <w:link w:val="PrformatHTMLCar"/>
    <w:uiPriority w:val="99"/>
    <w:unhideWhenUsed/>
    <w:rsid w:val="00E94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b w:val="0"/>
      <w:kern w:val="0"/>
      <w:sz w:val="20"/>
      <w:szCs w:val="20"/>
      <w:lang w:eastAsia="en-US"/>
    </w:rPr>
  </w:style>
  <w:style w:type="character" w:customStyle="1" w:styleId="PrformatHTMLCar">
    <w:name w:val="Préformaté HTML Car"/>
    <w:basedOn w:val="Policepardfaut"/>
    <w:link w:val="PrformatHTML"/>
    <w:uiPriority w:val="99"/>
    <w:rsid w:val="00E94CB3"/>
    <w:rPr>
      <w:rFonts w:ascii="Courier New" w:eastAsia="Times New Roman" w:hAnsi="Courier New" w:cs="Times New Roman"/>
      <w:sz w:val="20"/>
      <w:szCs w:val="20"/>
    </w:rPr>
  </w:style>
  <w:style w:type="paragraph" w:styleId="En-tte">
    <w:name w:val="header"/>
    <w:basedOn w:val="Normal"/>
    <w:link w:val="En-tteCar"/>
    <w:uiPriority w:val="99"/>
    <w:unhideWhenUsed/>
    <w:rsid w:val="00E94CB3"/>
    <w:pPr>
      <w:tabs>
        <w:tab w:val="center" w:pos="4536"/>
        <w:tab w:val="right" w:pos="9072"/>
      </w:tabs>
      <w:overflowPunct w:val="0"/>
    </w:pPr>
    <w:rPr>
      <w:rFonts w:ascii="Times New Roman" w:eastAsia="Times New Roman" w:hAnsi="Times New Roman" w:cs="Times New Roman"/>
      <w:b w:val="0"/>
      <w:kern w:val="0"/>
      <w:sz w:val="20"/>
      <w:szCs w:val="20"/>
      <w:lang w:eastAsia="en-US"/>
    </w:rPr>
  </w:style>
  <w:style w:type="character" w:customStyle="1" w:styleId="En-tteCar">
    <w:name w:val="En-tête Car"/>
    <w:basedOn w:val="Policepardfaut"/>
    <w:link w:val="En-tte"/>
    <w:uiPriority w:val="99"/>
    <w:rsid w:val="00E94CB3"/>
    <w:rPr>
      <w:rFonts w:ascii="Times New Roman" w:eastAsia="Times New Roman" w:hAnsi="Times New Roman" w:cs="Times New Roman"/>
      <w:sz w:val="20"/>
      <w:szCs w:val="20"/>
    </w:rPr>
  </w:style>
  <w:style w:type="paragraph" w:styleId="Pieddepage">
    <w:name w:val="footer"/>
    <w:basedOn w:val="Normal"/>
    <w:link w:val="PieddepageCar"/>
    <w:uiPriority w:val="99"/>
    <w:unhideWhenUsed/>
    <w:rsid w:val="00E94CB3"/>
    <w:pPr>
      <w:tabs>
        <w:tab w:val="center" w:pos="4536"/>
        <w:tab w:val="right" w:pos="9072"/>
      </w:tabs>
      <w:overflowPunct w:val="0"/>
    </w:pPr>
    <w:rPr>
      <w:rFonts w:ascii="Footlight MT Light" w:eastAsia="Times New Roman" w:hAnsi="Footlight MT Light" w:cs="Times New Roman"/>
      <w:kern w:val="0"/>
      <w:lang w:eastAsia="fr-FR"/>
    </w:rPr>
  </w:style>
  <w:style w:type="character" w:customStyle="1" w:styleId="PieddepageCar">
    <w:name w:val="Pied de page Car"/>
    <w:basedOn w:val="Policepardfaut"/>
    <w:link w:val="Pieddepage"/>
    <w:uiPriority w:val="99"/>
    <w:rsid w:val="00E94CB3"/>
    <w:rPr>
      <w:rFonts w:ascii="Footlight MT Light" w:eastAsia="Times New Roman" w:hAnsi="Footlight MT Light" w:cs="Times New Roman"/>
      <w:b/>
      <w:sz w:val="24"/>
      <w:lang w:eastAsia="fr-FR"/>
    </w:rPr>
  </w:style>
  <w:style w:type="paragraph" w:styleId="Titre">
    <w:name w:val="Title"/>
    <w:basedOn w:val="Normal"/>
    <w:link w:val="TitreCar"/>
    <w:uiPriority w:val="99"/>
    <w:qFormat/>
    <w:rsid w:val="00E94CB3"/>
    <w:rPr>
      <w:rFonts w:ascii="Times New Roman" w:eastAsia="Times New Roman" w:hAnsi="Times New Roman"/>
      <w:kern w:val="0"/>
      <w:szCs w:val="20"/>
      <w:lang w:eastAsia="fr-FR"/>
    </w:rPr>
  </w:style>
  <w:style w:type="character" w:customStyle="1" w:styleId="TitreCar">
    <w:name w:val="Titre Car"/>
    <w:basedOn w:val="Policepardfaut"/>
    <w:link w:val="Titre"/>
    <w:uiPriority w:val="99"/>
    <w:rsid w:val="00E94CB3"/>
    <w:rPr>
      <w:rFonts w:ascii="Times New Roman" w:eastAsia="Times New Roman" w:hAnsi="Times New Roman" w:cs="Arial"/>
      <w:b/>
      <w:sz w:val="24"/>
      <w:szCs w:val="20"/>
      <w:lang w:eastAsia="fr-FR"/>
    </w:rPr>
  </w:style>
  <w:style w:type="paragraph" w:styleId="Textedebulles">
    <w:name w:val="Balloon Text"/>
    <w:basedOn w:val="Normal"/>
    <w:link w:val="TextedebullesCar"/>
    <w:uiPriority w:val="99"/>
    <w:semiHidden/>
    <w:unhideWhenUsed/>
    <w:rsid w:val="00E94CB3"/>
    <w:rPr>
      <w:rFonts w:ascii="Tahoma" w:hAnsi="Tahoma" w:cs="Tahoma"/>
      <w:sz w:val="16"/>
      <w:szCs w:val="16"/>
    </w:rPr>
  </w:style>
  <w:style w:type="character" w:customStyle="1" w:styleId="TextedebullesCar">
    <w:name w:val="Texte de bulles Car"/>
    <w:basedOn w:val="Policepardfaut"/>
    <w:link w:val="Textedebulles"/>
    <w:uiPriority w:val="99"/>
    <w:semiHidden/>
    <w:rsid w:val="00E94CB3"/>
    <w:rPr>
      <w:rFonts w:ascii="Tahoma" w:eastAsia="MS ??" w:hAnsi="Tahoma" w:cs="Tahoma"/>
      <w:b/>
      <w:kern w:val="2"/>
      <w:sz w:val="16"/>
      <w:szCs w:val="16"/>
      <w:lang w:eastAsia="ja-JP"/>
    </w:rPr>
  </w:style>
  <w:style w:type="paragraph" w:styleId="Sansinterligne">
    <w:name w:val="No Spacing"/>
    <w:link w:val="SansinterligneCar"/>
    <w:uiPriority w:val="1"/>
    <w:qFormat/>
    <w:rsid w:val="00E94CB3"/>
    <w:pPr>
      <w:spacing w:after="0" w:line="240" w:lineRule="auto"/>
    </w:pPr>
    <w:rPr>
      <w:rFonts w:ascii="Calibri" w:eastAsia="Calibri" w:hAnsi="Calibri" w:cs="Times New Roman"/>
    </w:rPr>
  </w:style>
  <w:style w:type="paragraph" w:styleId="Paragraphedeliste">
    <w:name w:val="List Paragraph"/>
    <w:basedOn w:val="Normal"/>
    <w:uiPriority w:val="34"/>
    <w:qFormat/>
    <w:rsid w:val="00E94CB3"/>
    <w:pPr>
      <w:suppressAutoHyphens/>
      <w:ind w:left="720"/>
      <w:contextualSpacing/>
    </w:pPr>
    <w:rPr>
      <w:rFonts w:eastAsia="Droid Sans Fallback" w:cs="Times New Roman"/>
      <w:color w:val="00000A"/>
      <w:kern w:val="0"/>
      <w:lang w:eastAsia="fr-FR"/>
    </w:rPr>
  </w:style>
  <w:style w:type="paragraph" w:customStyle="1" w:styleId="Corps">
    <w:name w:val="Corps"/>
    <w:rsid w:val="00E94CB3"/>
    <w:pPr>
      <w:spacing w:after="0" w:line="240" w:lineRule="auto"/>
    </w:pPr>
    <w:rPr>
      <w:rFonts w:ascii="Helvetica" w:eastAsia="Calibri" w:hAnsi="Helvetica" w:cs="Times New Roman"/>
      <w:color w:val="000000"/>
      <w:sz w:val="24"/>
      <w:szCs w:val="20"/>
      <w:lang w:eastAsia="fr-FR"/>
    </w:rPr>
  </w:style>
  <w:style w:type="paragraph" w:customStyle="1" w:styleId="En-tte1">
    <w:name w:val="En-tête 1"/>
    <w:next w:val="Corps"/>
    <w:rsid w:val="00E94CB3"/>
    <w:pPr>
      <w:keepNext/>
      <w:spacing w:after="0" w:line="240" w:lineRule="auto"/>
      <w:outlineLvl w:val="0"/>
    </w:pPr>
    <w:rPr>
      <w:rFonts w:ascii="Helvetica" w:eastAsia="Calibri" w:hAnsi="Helvetica" w:cs="Times New Roman"/>
      <w:b/>
      <w:color w:val="000000"/>
      <w:sz w:val="36"/>
      <w:szCs w:val="20"/>
      <w:lang w:eastAsia="fr-FR"/>
    </w:rPr>
  </w:style>
  <w:style w:type="character" w:customStyle="1" w:styleId="PrformatHTMLCar1">
    <w:name w:val="Préformaté HTML Car1"/>
    <w:basedOn w:val="Policepardfaut"/>
    <w:uiPriority w:val="99"/>
    <w:semiHidden/>
    <w:rsid w:val="00E94CB3"/>
    <w:rPr>
      <w:rFonts w:ascii="Consolas" w:eastAsia="MS ??" w:hAnsi="Consolas" w:cs="Consolas" w:hint="default"/>
      <w:b/>
      <w:bCs w:val="0"/>
      <w:kern w:val="2"/>
      <w:sz w:val="20"/>
      <w:szCs w:val="20"/>
      <w:lang w:eastAsia="ja-JP"/>
    </w:rPr>
  </w:style>
  <w:style w:type="character" w:customStyle="1" w:styleId="En-tteCar1">
    <w:name w:val="En-tête Car1"/>
    <w:basedOn w:val="Policepardfaut"/>
    <w:uiPriority w:val="99"/>
    <w:semiHidden/>
    <w:rsid w:val="00E94CB3"/>
    <w:rPr>
      <w:rFonts w:ascii="Arial Narrow" w:eastAsia="MS ??" w:hAnsi="Arial Narrow" w:cs="Arial" w:hint="default"/>
      <w:b/>
      <w:bCs w:val="0"/>
      <w:kern w:val="2"/>
      <w:lang w:eastAsia="ja-JP"/>
    </w:rPr>
  </w:style>
  <w:style w:type="table" w:styleId="Grilledutableau">
    <w:name w:val="Table Grid"/>
    <w:basedOn w:val="TableauNormal"/>
    <w:uiPriority w:val="59"/>
    <w:rsid w:val="00E94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
    <w:name w:val="Biblio"/>
    <w:basedOn w:val="Normal"/>
    <w:rsid w:val="00E94CB3"/>
    <w:pPr>
      <w:spacing w:line="260" w:lineRule="exact"/>
      <w:ind w:left="851" w:hanging="567"/>
    </w:pPr>
    <w:rPr>
      <w:rFonts w:ascii="Babel" w:hAnsi="Babel"/>
      <w:b w:val="0"/>
      <w:kern w:val="0"/>
      <w:sz w:val="20"/>
      <w:szCs w:val="20"/>
      <w:lang w:eastAsia="fr-FR"/>
    </w:rPr>
  </w:style>
  <w:style w:type="paragraph" w:styleId="Bibliographie">
    <w:name w:val="Bibliography"/>
    <w:basedOn w:val="Normal"/>
    <w:next w:val="Normal"/>
    <w:uiPriority w:val="37"/>
    <w:rsid w:val="00E94CB3"/>
    <w:rPr>
      <w:rFonts w:ascii="Arial" w:hAnsi="Arial"/>
      <w:b w:val="0"/>
      <w:szCs w:val="24"/>
    </w:rPr>
  </w:style>
  <w:style w:type="paragraph" w:customStyle="1" w:styleId="Sansinterligne1">
    <w:name w:val="Sans interligne1"/>
    <w:rsid w:val="00E94CB3"/>
    <w:pPr>
      <w:suppressAutoHyphens/>
      <w:spacing w:after="0" w:line="240" w:lineRule="auto"/>
    </w:pPr>
    <w:rPr>
      <w:rFonts w:ascii="Calibri" w:eastAsia="Calibri" w:hAnsi="Calibri" w:cs="Times New Roman"/>
      <w:kern w:val="1"/>
      <w:lang w:eastAsia="ar-SA"/>
    </w:rPr>
  </w:style>
  <w:style w:type="paragraph" w:styleId="NormalWeb">
    <w:name w:val="Normal (Web)"/>
    <w:basedOn w:val="Normal"/>
    <w:uiPriority w:val="99"/>
    <w:rsid w:val="00E94CB3"/>
    <w:pPr>
      <w:spacing w:before="100" w:beforeAutospacing="1" w:after="100" w:afterAutospacing="1"/>
    </w:pPr>
    <w:rPr>
      <w:rFonts w:ascii="Times New Roman" w:eastAsia="Times New Roman" w:hAnsi="Times New Roman"/>
      <w:b w:val="0"/>
      <w:kern w:val="0"/>
      <w:szCs w:val="24"/>
      <w:lang w:eastAsia="fr-FR"/>
    </w:rPr>
  </w:style>
  <w:style w:type="character" w:styleId="Accentuation">
    <w:name w:val="Emphasis"/>
    <w:uiPriority w:val="20"/>
    <w:qFormat/>
    <w:rsid w:val="00E94CB3"/>
    <w:rPr>
      <w:i/>
      <w:iCs/>
    </w:rPr>
  </w:style>
  <w:style w:type="paragraph" w:customStyle="1" w:styleId="Contenuducadre">
    <w:name w:val="Contenu du cadre"/>
    <w:basedOn w:val="Corpsdetexte"/>
    <w:rsid w:val="00E94CB3"/>
    <w:pPr>
      <w:suppressAutoHyphens/>
    </w:pPr>
    <w:rPr>
      <w:rFonts w:ascii="Times New Roman" w:eastAsia="Times New Roman" w:hAnsi="Times New Roman"/>
      <w:kern w:val="1"/>
      <w:lang w:eastAsia="fr-FR"/>
    </w:rPr>
  </w:style>
  <w:style w:type="paragraph" w:styleId="Corpsdetexte">
    <w:name w:val="Body Text"/>
    <w:basedOn w:val="Normal"/>
    <w:link w:val="CorpsdetexteCar"/>
    <w:uiPriority w:val="99"/>
    <w:unhideWhenUsed/>
    <w:rsid w:val="00E94CB3"/>
    <w:pPr>
      <w:spacing w:after="120"/>
    </w:pPr>
    <w:rPr>
      <w:rFonts w:ascii="Arial" w:hAnsi="Arial"/>
      <w:b w:val="0"/>
      <w:szCs w:val="24"/>
    </w:rPr>
  </w:style>
  <w:style w:type="character" w:customStyle="1" w:styleId="CorpsdetexteCar">
    <w:name w:val="Corps de texte Car"/>
    <w:basedOn w:val="Policepardfaut"/>
    <w:link w:val="Corpsdetexte"/>
    <w:uiPriority w:val="99"/>
    <w:rsid w:val="00E94CB3"/>
    <w:rPr>
      <w:rFonts w:ascii="Arial" w:eastAsia="MS ??" w:hAnsi="Arial" w:cs="Arial"/>
      <w:kern w:val="2"/>
      <w:sz w:val="24"/>
      <w:szCs w:val="24"/>
      <w:lang w:eastAsia="ja-JP"/>
    </w:rPr>
  </w:style>
  <w:style w:type="paragraph" w:styleId="Notedebasdepage">
    <w:name w:val="footnote text"/>
    <w:basedOn w:val="Normal"/>
    <w:link w:val="NotedebasdepageCar"/>
    <w:rsid w:val="00E94CB3"/>
    <w:rPr>
      <w:rFonts w:ascii="Times New Roman" w:eastAsia="Times New Roman" w:hAnsi="Times New Roman"/>
      <w:b w:val="0"/>
      <w:kern w:val="0"/>
      <w:sz w:val="20"/>
      <w:szCs w:val="20"/>
      <w:lang w:eastAsia="fr-FR"/>
    </w:rPr>
  </w:style>
  <w:style w:type="character" w:customStyle="1" w:styleId="NotedebasdepageCar">
    <w:name w:val="Note de bas de page Car"/>
    <w:basedOn w:val="Policepardfaut"/>
    <w:link w:val="Notedebasdepage"/>
    <w:rsid w:val="00E94CB3"/>
    <w:rPr>
      <w:rFonts w:ascii="Times New Roman" w:eastAsia="Times New Roman" w:hAnsi="Times New Roman" w:cs="Arial"/>
      <w:sz w:val="20"/>
      <w:szCs w:val="20"/>
      <w:lang w:eastAsia="fr-FR"/>
    </w:rPr>
  </w:style>
  <w:style w:type="character" w:customStyle="1" w:styleId="Schn">
    <w:name w:val="Schön"/>
    <w:rsid w:val="00E94CB3"/>
    <w:rPr>
      <w:rFonts w:ascii="CG Times" w:hAnsi="CG Times"/>
      <w:noProof w:val="0"/>
      <w:sz w:val="22"/>
      <w:lang w:val="en-US"/>
    </w:rPr>
  </w:style>
  <w:style w:type="character" w:customStyle="1" w:styleId="trebuchet">
    <w:name w:val="trebuchet"/>
    <w:rsid w:val="00E94CB3"/>
  </w:style>
  <w:style w:type="character" w:customStyle="1" w:styleId="sup">
    <w:name w:val="sup"/>
    <w:rsid w:val="00E94CB3"/>
  </w:style>
  <w:style w:type="paragraph" w:customStyle="1" w:styleId="HTMLBody">
    <w:name w:val="HTML Body"/>
    <w:rsid w:val="00E94CB3"/>
    <w:pPr>
      <w:spacing w:after="0" w:line="240" w:lineRule="auto"/>
    </w:pPr>
    <w:rPr>
      <w:rFonts w:ascii="Footlight MT Light" w:eastAsia="Times New Roman" w:hAnsi="Footlight MT Light" w:cs="Times New Roman"/>
      <w:sz w:val="24"/>
      <w:szCs w:val="20"/>
      <w:lang w:eastAsia="fr-FR"/>
    </w:rPr>
  </w:style>
  <w:style w:type="character" w:styleId="CitationHTML">
    <w:name w:val="HTML Cite"/>
    <w:uiPriority w:val="99"/>
    <w:semiHidden/>
    <w:unhideWhenUsed/>
    <w:rsid w:val="00E94CB3"/>
    <w:rPr>
      <w:i/>
      <w:iCs/>
    </w:rPr>
  </w:style>
  <w:style w:type="paragraph" w:customStyle="1" w:styleId="En-tte2">
    <w:name w:val="En-tête 2"/>
    <w:next w:val="Corps"/>
    <w:rsid w:val="00E94CB3"/>
    <w:pPr>
      <w:keepNext/>
      <w:pBdr>
        <w:top w:val="nil"/>
        <w:left w:val="nil"/>
        <w:bottom w:val="nil"/>
        <w:right w:val="nil"/>
        <w:between w:val="nil"/>
        <w:bar w:val="nil"/>
      </w:pBdr>
      <w:spacing w:after="0" w:line="240" w:lineRule="auto"/>
      <w:outlineLvl w:val="1"/>
    </w:pPr>
    <w:rPr>
      <w:rFonts w:ascii="Arial Unicode MS" w:eastAsia="Arial Unicode MS" w:hAnsi="Helvetica" w:cs="Arial Unicode MS"/>
      <w:b/>
      <w:bCs/>
      <w:color w:val="000000"/>
      <w:sz w:val="24"/>
      <w:szCs w:val="24"/>
      <w:bdr w:val="nil"/>
      <w:lang w:eastAsia="fr-FR"/>
    </w:rPr>
  </w:style>
  <w:style w:type="paragraph" w:customStyle="1" w:styleId="Formatlibre">
    <w:name w:val="Format libre"/>
    <w:rsid w:val="00E94CB3"/>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bdr w:val="nil"/>
      <w:lang w:eastAsia="fr-FR"/>
    </w:rPr>
  </w:style>
  <w:style w:type="paragraph" w:customStyle="1" w:styleId="Standard">
    <w:name w:val="Standard"/>
    <w:rsid w:val="00E94CB3"/>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Style1">
    <w:name w:val="Style1"/>
    <w:basedOn w:val="Normal"/>
    <w:link w:val="Style1Car"/>
    <w:autoRedefine/>
    <w:qFormat/>
    <w:rsid w:val="00E94CB3"/>
    <w:rPr>
      <w:rFonts w:ascii="Arial" w:hAnsi="Arial"/>
      <w:szCs w:val="24"/>
    </w:rPr>
  </w:style>
  <w:style w:type="paragraph" w:customStyle="1" w:styleId="Style2">
    <w:name w:val="Style2"/>
    <w:basedOn w:val="Normal"/>
    <w:link w:val="Style2Car"/>
    <w:autoRedefine/>
    <w:qFormat/>
    <w:rsid w:val="00E94CB3"/>
    <w:rPr>
      <w:rFonts w:ascii="Arial" w:hAnsi="Arial"/>
      <w:szCs w:val="24"/>
    </w:rPr>
  </w:style>
  <w:style w:type="character" w:customStyle="1" w:styleId="Style1Car">
    <w:name w:val="Style1 Car"/>
    <w:basedOn w:val="Policepardfaut"/>
    <w:link w:val="Style1"/>
    <w:rsid w:val="00E94CB3"/>
    <w:rPr>
      <w:rFonts w:ascii="Arial" w:eastAsia="MS ??" w:hAnsi="Arial" w:cs="Arial"/>
      <w:b/>
      <w:kern w:val="2"/>
      <w:sz w:val="24"/>
      <w:szCs w:val="24"/>
      <w:lang w:eastAsia="ja-JP"/>
    </w:rPr>
  </w:style>
  <w:style w:type="character" w:customStyle="1" w:styleId="Style2Car">
    <w:name w:val="Style2 Car"/>
    <w:basedOn w:val="Policepardfaut"/>
    <w:link w:val="Style2"/>
    <w:rsid w:val="00E94CB3"/>
    <w:rPr>
      <w:rFonts w:ascii="Arial" w:eastAsia="MS ??" w:hAnsi="Arial" w:cs="Arial"/>
      <w:b/>
      <w:kern w:val="2"/>
      <w:sz w:val="24"/>
      <w:szCs w:val="24"/>
      <w:lang w:eastAsia="ja-JP"/>
    </w:rPr>
  </w:style>
  <w:style w:type="character" w:customStyle="1" w:styleId="StyleGaramond">
    <w:name w:val="Style Garamond"/>
    <w:basedOn w:val="Policepardfaut"/>
    <w:rsid w:val="00E94CB3"/>
    <w:rPr>
      <w:rFonts w:ascii="Garamond" w:hAnsi="Garamond"/>
    </w:rPr>
  </w:style>
  <w:style w:type="character" w:customStyle="1" w:styleId="ktoolbox">
    <w:name w:val="ktoolbox"/>
    <w:rsid w:val="00E94CB3"/>
  </w:style>
  <w:style w:type="paragraph" w:styleId="Liste">
    <w:name w:val="List"/>
    <w:basedOn w:val="Corpsdetexte"/>
    <w:semiHidden/>
    <w:rsid w:val="00E94CB3"/>
    <w:pPr>
      <w:suppressAutoHyphens/>
    </w:pPr>
    <w:rPr>
      <w:rFonts w:ascii="Liberation Sans" w:eastAsia="Lucida Sans Unicode" w:hAnsi="Liberation Sans" w:cs="Lucida Sans Unicode"/>
      <w:kern w:val="1"/>
      <w:lang w:eastAsia="hi-IN" w:bidi="hi-IN"/>
    </w:rPr>
  </w:style>
  <w:style w:type="character" w:customStyle="1" w:styleId="text">
    <w:name w:val="text"/>
    <w:basedOn w:val="Policepardfaut"/>
    <w:rsid w:val="00E94CB3"/>
  </w:style>
  <w:style w:type="paragraph" w:styleId="Commentaire">
    <w:name w:val="annotation text"/>
    <w:basedOn w:val="Normal"/>
    <w:link w:val="CommentaireCar"/>
    <w:semiHidden/>
    <w:rsid w:val="00E94CB3"/>
    <w:pPr>
      <w:overflowPunct w:val="0"/>
      <w:textAlignment w:val="baseline"/>
    </w:pPr>
    <w:rPr>
      <w:rFonts w:ascii="Arial" w:eastAsia="Times New Roman" w:hAnsi="Arial" w:cs="Times New Roman"/>
      <w:b w:val="0"/>
      <w:kern w:val="0"/>
      <w:sz w:val="20"/>
      <w:szCs w:val="20"/>
    </w:rPr>
  </w:style>
  <w:style w:type="character" w:customStyle="1" w:styleId="CommentaireCar">
    <w:name w:val="Commentaire Car"/>
    <w:basedOn w:val="Policepardfaut"/>
    <w:link w:val="Commentaire"/>
    <w:semiHidden/>
    <w:rsid w:val="00E94CB3"/>
    <w:rPr>
      <w:rFonts w:ascii="Arial" w:eastAsia="Times New Roman" w:hAnsi="Arial" w:cs="Times New Roman"/>
      <w:sz w:val="20"/>
      <w:szCs w:val="20"/>
      <w:lang w:eastAsia="ja-JP"/>
    </w:rPr>
  </w:style>
  <w:style w:type="paragraph" w:customStyle="1" w:styleId="Titre22">
    <w:name w:val="Titre 2.2"/>
    <w:basedOn w:val="Normal"/>
    <w:next w:val="Normal"/>
    <w:rsid w:val="00E94CB3"/>
    <w:pPr>
      <w:overflowPunct w:val="0"/>
      <w:spacing w:before="260" w:after="140" w:line="-259" w:lineRule="auto"/>
    </w:pPr>
    <w:rPr>
      <w:rFonts w:ascii="Mari" w:eastAsia="Times New Roman" w:hAnsi="Mari" w:cs="Times New Roman"/>
      <w:bCs/>
      <w:caps/>
      <w:kern w:val="0"/>
      <w:sz w:val="20"/>
      <w:szCs w:val="20"/>
      <w:lang w:eastAsia="fr-FR"/>
    </w:rPr>
  </w:style>
  <w:style w:type="character" w:styleId="Numrodepage">
    <w:name w:val="page number"/>
    <w:uiPriority w:val="99"/>
    <w:semiHidden/>
    <w:rsid w:val="00E94CB3"/>
    <w:rPr>
      <w:rFonts w:cs="Times New Roman"/>
    </w:rPr>
  </w:style>
  <w:style w:type="character" w:customStyle="1" w:styleId="citation1">
    <w:name w:val="citation1"/>
    <w:basedOn w:val="Policepardfaut"/>
    <w:rsid w:val="00E94CB3"/>
  </w:style>
  <w:style w:type="character" w:styleId="lev">
    <w:name w:val="Strong"/>
    <w:basedOn w:val="Policepardfaut"/>
    <w:uiPriority w:val="22"/>
    <w:qFormat/>
    <w:rsid w:val="00E94CB3"/>
    <w:rPr>
      <w:b/>
      <w:bCs/>
    </w:rPr>
  </w:style>
  <w:style w:type="character" w:customStyle="1" w:styleId="il">
    <w:name w:val="il"/>
    <w:rsid w:val="00E94CB3"/>
  </w:style>
  <w:style w:type="paragraph" w:styleId="Sous-titre">
    <w:name w:val="Subtitle"/>
    <w:basedOn w:val="Normal"/>
    <w:next w:val="Normal"/>
    <w:link w:val="Sous-titreCar"/>
    <w:qFormat/>
    <w:rsid w:val="00E94CB3"/>
    <w:rPr>
      <w:rFonts w:ascii="Times New Roman" w:eastAsia="Times New Roman" w:hAnsi="Times New Roman" w:cs="Times New Roman"/>
      <w:color w:val="800000"/>
      <w:kern w:val="0"/>
      <w:sz w:val="40"/>
      <w:szCs w:val="40"/>
      <w:lang w:eastAsia="fr-FR"/>
    </w:rPr>
  </w:style>
  <w:style w:type="character" w:customStyle="1" w:styleId="Sous-titreCar">
    <w:name w:val="Sous-titre Car"/>
    <w:basedOn w:val="Policepardfaut"/>
    <w:link w:val="Sous-titre"/>
    <w:rsid w:val="00E94CB3"/>
    <w:rPr>
      <w:rFonts w:ascii="Times New Roman" w:eastAsia="Times New Roman" w:hAnsi="Times New Roman" w:cs="Times New Roman"/>
      <w:b/>
      <w:color w:val="800000"/>
      <w:sz w:val="40"/>
      <w:szCs w:val="40"/>
      <w:lang w:eastAsia="fr-FR"/>
    </w:rPr>
  </w:style>
  <w:style w:type="character" w:customStyle="1" w:styleId="title4">
    <w:name w:val="title4"/>
    <w:rsid w:val="00E94CB3"/>
    <w:rPr>
      <w:rFonts w:ascii="Georgia" w:hAnsi="Georgia" w:hint="default"/>
      <w:b/>
      <w:bCs/>
      <w:sz w:val="21"/>
      <w:szCs w:val="21"/>
    </w:rPr>
  </w:style>
  <w:style w:type="paragraph" w:styleId="Notedefin">
    <w:name w:val="endnote text"/>
    <w:basedOn w:val="Normal"/>
    <w:link w:val="NotedefinCar"/>
    <w:rsid w:val="00E94CB3"/>
    <w:pPr>
      <w:spacing w:line="240" w:lineRule="auto"/>
      <w:jc w:val="both"/>
    </w:pPr>
    <w:rPr>
      <w:rFonts w:ascii="Times New Roman" w:eastAsia="Times New Roman" w:hAnsi="Times New Roman" w:cs="Times New Roman"/>
      <w:b w:val="0"/>
      <w:kern w:val="0"/>
      <w:szCs w:val="24"/>
      <w:lang w:eastAsia="fr-FR"/>
    </w:rPr>
  </w:style>
  <w:style w:type="character" w:customStyle="1" w:styleId="NotedefinCar">
    <w:name w:val="Note de fin Car"/>
    <w:basedOn w:val="Policepardfaut"/>
    <w:link w:val="Notedefin"/>
    <w:rsid w:val="00E94CB3"/>
    <w:rPr>
      <w:rFonts w:ascii="Times New Roman" w:eastAsia="Times New Roman" w:hAnsi="Times New Roman" w:cs="Times New Roman"/>
      <w:sz w:val="24"/>
      <w:szCs w:val="24"/>
      <w:lang w:eastAsia="fr-FR"/>
    </w:rPr>
  </w:style>
  <w:style w:type="character" w:customStyle="1" w:styleId="a">
    <w:name w:val="a"/>
    <w:basedOn w:val="Policepardfaut"/>
    <w:rsid w:val="00E94CB3"/>
  </w:style>
  <w:style w:type="character" w:customStyle="1" w:styleId="l6">
    <w:name w:val="l6"/>
    <w:basedOn w:val="Policepardfaut"/>
    <w:rsid w:val="00E94CB3"/>
  </w:style>
  <w:style w:type="character" w:customStyle="1" w:styleId="l10">
    <w:name w:val="l10"/>
    <w:basedOn w:val="Policepardfaut"/>
    <w:rsid w:val="00E94CB3"/>
  </w:style>
  <w:style w:type="character" w:customStyle="1" w:styleId="l7">
    <w:name w:val="l7"/>
    <w:basedOn w:val="Policepardfaut"/>
    <w:rsid w:val="00E94CB3"/>
  </w:style>
  <w:style w:type="character" w:customStyle="1" w:styleId="l8">
    <w:name w:val="l8"/>
    <w:basedOn w:val="Policepardfaut"/>
    <w:rsid w:val="00E94CB3"/>
  </w:style>
  <w:style w:type="character" w:customStyle="1" w:styleId="texteCar">
    <w:name w:val="texte Car"/>
    <w:basedOn w:val="Policepardfaut"/>
    <w:rsid w:val="00E94CB3"/>
    <w:rPr>
      <w:noProof w:val="0"/>
      <w:sz w:val="24"/>
      <w:szCs w:val="24"/>
      <w:lang w:val="fr-FR" w:eastAsia="fr-FR" w:bidi="ar-SA"/>
    </w:rPr>
  </w:style>
  <w:style w:type="paragraph" w:customStyle="1" w:styleId="Default">
    <w:name w:val="Default"/>
    <w:rsid w:val="00E94CB3"/>
    <w:pPr>
      <w:autoSpaceDE w:val="0"/>
      <w:autoSpaceDN w:val="0"/>
      <w:adjustRightInd w:val="0"/>
      <w:spacing w:after="0" w:line="240" w:lineRule="auto"/>
    </w:pPr>
    <w:rPr>
      <w:rFonts w:ascii="Garamond" w:eastAsia="Calibri" w:hAnsi="Garamond" w:cs="Garamond"/>
      <w:color w:val="000000"/>
      <w:sz w:val="24"/>
      <w:szCs w:val="24"/>
      <w:lang w:eastAsia="fr-FR"/>
    </w:rPr>
  </w:style>
  <w:style w:type="character" w:customStyle="1" w:styleId="ouvrage">
    <w:name w:val="ouvrage"/>
    <w:rsid w:val="00E94CB3"/>
  </w:style>
  <w:style w:type="character" w:customStyle="1" w:styleId="Nomauteur">
    <w:name w:val="Nom auteur"/>
    <w:basedOn w:val="Policepardfaut"/>
    <w:rsid w:val="00E94CB3"/>
    <w:rPr>
      <w:bCs/>
      <w:smallCaps/>
      <w:sz w:val="24"/>
      <w:szCs w:val="20"/>
    </w:rPr>
  </w:style>
  <w:style w:type="paragraph" w:customStyle="1" w:styleId="Titrecours">
    <w:name w:val="Titre cours"/>
    <w:basedOn w:val="Normal"/>
    <w:link w:val="TitrecoursCar"/>
    <w:qFormat/>
    <w:rsid w:val="00F5293A"/>
    <w:pPr>
      <w:spacing w:before="200" w:after="0" w:line="240" w:lineRule="auto"/>
      <w:outlineLvl w:val="6"/>
    </w:pPr>
    <w:rPr>
      <w:rFonts w:ascii="Calibri" w:eastAsia="Times New Roman" w:hAnsi="Calibri" w:cs="Times New Roman"/>
      <w:smallCaps/>
      <w:color w:val="C0504D"/>
      <w:kern w:val="0"/>
      <w:sz w:val="28"/>
      <w:szCs w:val="20"/>
      <w:lang w:eastAsia="fr-FR"/>
    </w:rPr>
  </w:style>
  <w:style w:type="paragraph" w:customStyle="1" w:styleId="Enseignants">
    <w:name w:val="Enseignants"/>
    <w:basedOn w:val="Paragraphedeliste"/>
    <w:link w:val="EnseignantsCar"/>
    <w:qFormat/>
    <w:rsid w:val="00F5293A"/>
    <w:pPr>
      <w:suppressAutoHyphens w:val="0"/>
      <w:spacing w:after="0" w:line="240" w:lineRule="auto"/>
      <w:ind w:left="0"/>
      <w:contextualSpacing w:val="0"/>
    </w:pPr>
    <w:rPr>
      <w:rFonts w:ascii="Calibri" w:eastAsia="Times New Roman" w:hAnsi="Calibri" w:cs="Arial"/>
      <w:b w:val="0"/>
      <w:color w:val="auto"/>
      <w:sz w:val="22"/>
    </w:rPr>
  </w:style>
  <w:style w:type="character" w:customStyle="1" w:styleId="TitrecoursCar">
    <w:name w:val="Titre cours Car"/>
    <w:link w:val="Titrecours"/>
    <w:rsid w:val="00F5293A"/>
    <w:rPr>
      <w:rFonts w:ascii="Calibri" w:eastAsia="Times New Roman" w:hAnsi="Calibri" w:cs="Times New Roman"/>
      <w:b/>
      <w:smallCaps/>
      <w:color w:val="C0504D"/>
      <w:sz w:val="28"/>
      <w:szCs w:val="20"/>
      <w:lang w:eastAsia="fr-FR"/>
    </w:rPr>
  </w:style>
  <w:style w:type="character" w:customStyle="1" w:styleId="EnseignantsCar">
    <w:name w:val="Enseignants Car"/>
    <w:link w:val="Enseignants"/>
    <w:rsid w:val="00F5293A"/>
    <w:rPr>
      <w:rFonts w:ascii="Calibri" w:eastAsia="Times New Roman" w:hAnsi="Calibri" w:cs="Arial"/>
      <w:lang w:eastAsia="fr-FR"/>
    </w:rPr>
  </w:style>
  <w:style w:type="paragraph" w:customStyle="1" w:styleId="intertitreUFR03">
    <w:name w:val="intertitre_UFR03"/>
    <w:basedOn w:val="Titre7"/>
    <w:link w:val="intertitreUFR03Car"/>
    <w:uiPriority w:val="99"/>
    <w:rsid w:val="00F5293A"/>
    <w:pPr>
      <w:keepNext w:val="0"/>
      <w:keepLines w:val="0"/>
      <w:spacing w:before="160" w:line="240" w:lineRule="auto"/>
    </w:pPr>
    <w:rPr>
      <w:rFonts w:ascii="Pigiarniq" w:eastAsia="Times New Roman" w:hAnsi="Pigiarniq" w:cs="Times New Roman"/>
      <w:i w:val="0"/>
      <w:iCs w:val="0"/>
      <w:smallCaps/>
      <w:color w:val="auto"/>
      <w:kern w:val="0"/>
      <w:sz w:val="20"/>
      <w:szCs w:val="20"/>
      <w:lang w:eastAsia="fr-FR"/>
    </w:rPr>
  </w:style>
  <w:style w:type="character" w:customStyle="1" w:styleId="intertitreUFR03Car">
    <w:name w:val="intertitre_UFR03 Car"/>
    <w:link w:val="intertitreUFR03"/>
    <w:uiPriority w:val="99"/>
    <w:locked/>
    <w:rsid w:val="00F5293A"/>
    <w:rPr>
      <w:rFonts w:ascii="Pigiarniq" w:eastAsia="Times New Roman" w:hAnsi="Pigiarniq" w:cs="Times New Roman"/>
      <w:b/>
      <w:smallCaps/>
      <w:sz w:val="20"/>
      <w:szCs w:val="20"/>
      <w:lang w:eastAsia="fr-FR"/>
    </w:rPr>
  </w:style>
  <w:style w:type="paragraph" w:customStyle="1" w:styleId="Cours">
    <w:name w:val="Cours"/>
    <w:basedOn w:val="Normal"/>
    <w:link w:val="CoursCar"/>
    <w:uiPriority w:val="99"/>
    <w:qFormat/>
    <w:rsid w:val="00F5293A"/>
    <w:pPr>
      <w:shd w:val="clear" w:color="auto" w:fill="FFFFFF"/>
      <w:spacing w:beforeLines="100" w:after="0" w:line="240" w:lineRule="auto"/>
      <w:jc w:val="both"/>
    </w:pPr>
    <w:rPr>
      <w:rFonts w:ascii="Calibri" w:eastAsia="Times New Roman" w:hAnsi="Calibri" w:cs="Times New Roman"/>
      <w:b w:val="0"/>
      <w:kern w:val="0"/>
      <w:sz w:val="20"/>
      <w:szCs w:val="20"/>
      <w:lang w:eastAsia="fr-FR"/>
    </w:rPr>
  </w:style>
  <w:style w:type="character" w:customStyle="1" w:styleId="CoursCar">
    <w:name w:val="Cours Car"/>
    <w:link w:val="Cours"/>
    <w:uiPriority w:val="99"/>
    <w:rsid w:val="00F5293A"/>
    <w:rPr>
      <w:rFonts w:ascii="Calibri" w:eastAsia="Times New Roman" w:hAnsi="Calibri" w:cs="Times New Roman"/>
      <w:sz w:val="20"/>
      <w:szCs w:val="20"/>
      <w:shd w:val="clear" w:color="auto" w:fill="FFFFFF"/>
      <w:lang w:eastAsia="fr-FR"/>
    </w:rPr>
  </w:style>
  <w:style w:type="character" w:customStyle="1" w:styleId="Titre7Car">
    <w:name w:val="Titre 7 Car"/>
    <w:basedOn w:val="Policepardfaut"/>
    <w:link w:val="Titre7"/>
    <w:uiPriority w:val="9"/>
    <w:rsid w:val="00F5293A"/>
    <w:rPr>
      <w:rFonts w:asciiTheme="majorHAnsi" w:eastAsiaTheme="majorEastAsia" w:hAnsiTheme="majorHAnsi" w:cstheme="majorBidi"/>
      <w:b/>
      <w:i/>
      <w:iCs/>
      <w:color w:val="404040" w:themeColor="text1" w:themeTint="BF"/>
      <w:kern w:val="2"/>
      <w:sz w:val="24"/>
      <w:lang w:eastAsia="ja-JP"/>
    </w:rPr>
  </w:style>
  <w:style w:type="paragraph" w:customStyle="1" w:styleId="p1">
    <w:name w:val="p1"/>
    <w:basedOn w:val="Normal"/>
    <w:rsid w:val="00E832D8"/>
    <w:pPr>
      <w:spacing w:after="0" w:line="240" w:lineRule="auto"/>
      <w:ind w:left="540" w:hanging="540"/>
    </w:pPr>
    <w:rPr>
      <w:rFonts w:ascii="Helvetica" w:eastAsia="Calibri" w:hAnsi="Helvetica" w:cs="Times New Roman"/>
      <w:b w:val="0"/>
      <w:kern w:val="0"/>
      <w:sz w:val="18"/>
      <w:szCs w:val="18"/>
      <w:lang w:eastAsia="fr-FR"/>
    </w:rPr>
  </w:style>
  <w:style w:type="character" w:customStyle="1" w:styleId="Titre3Car">
    <w:name w:val="Titre 3 Car"/>
    <w:basedOn w:val="Policepardfaut"/>
    <w:link w:val="Titre3"/>
    <w:uiPriority w:val="9"/>
    <w:semiHidden/>
    <w:rsid w:val="004B0F31"/>
    <w:rPr>
      <w:rFonts w:asciiTheme="majorHAnsi" w:eastAsiaTheme="majorEastAsia" w:hAnsiTheme="majorHAnsi" w:cstheme="majorBidi"/>
      <w:bCs/>
      <w:color w:val="B71E42" w:themeColor="accent1"/>
      <w:kern w:val="2"/>
      <w:sz w:val="24"/>
      <w:lang w:eastAsia="ja-JP"/>
    </w:rPr>
  </w:style>
  <w:style w:type="paragraph" w:styleId="Corpsdetexte2">
    <w:name w:val="Body Text 2"/>
    <w:basedOn w:val="Normal"/>
    <w:link w:val="Corpsdetexte2Car"/>
    <w:uiPriority w:val="99"/>
    <w:semiHidden/>
    <w:unhideWhenUsed/>
    <w:rsid w:val="005C732D"/>
    <w:pPr>
      <w:spacing w:after="120" w:line="480" w:lineRule="auto"/>
    </w:pPr>
  </w:style>
  <w:style w:type="character" w:customStyle="1" w:styleId="Corpsdetexte2Car">
    <w:name w:val="Corps de texte 2 Car"/>
    <w:basedOn w:val="Policepardfaut"/>
    <w:link w:val="Corpsdetexte2"/>
    <w:uiPriority w:val="99"/>
    <w:semiHidden/>
    <w:rsid w:val="005C732D"/>
    <w:rPr>
      <w:rFonts w:ascii="Arial Narrow" w:eastAsia="MS ??" w:hAnsi="Arial Narrow" w:cs="Arial"/>
      <w:b/>
      <w:kern w:val="2"/>
      <w:sz w:val="24"/>
      <w:lang w:eastAsia="ja-JP"/>
    </w:rPr>
  </w:style>
  <w:style w:type="paragraph" w:customStyle="1" w:styleId="m6877017339534038443gmail-msonormal">
    <w:name w:val="m_6877017339534038443gmail-msonormal"/>
    <w:basedOn w:val="Normal"/>
    <w:rsid w:val="00035FB5"/>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detaillabeltext">
    <w:name w:val="detaillabeltext"/>
    <w:basedOn w:val="Policepardfaut"/>
    <w:rsid w:val="0058582D"/>
  </w:style>
  <w:style w:type="character" w:customStyle="1" w:styleId="familyname">
    <w:name w:val="familyname"/>
    <w:basedOn w:val="Policepardfaut"/>
    <w:rsid w:val="0058582D"/>
  </w:style>
  <w:style w:type="character" w:customStyle="1" w:styleId="f-productheader-subtitlelabel">
    <w:name w:val="f-productheader-subtitlelabel"/>
    <w:basedOn w:val="Policepardfaut"/>
    <w:rsid w:val="00BF7BF7"/>
  </w:style>
  <w:style w:type="paragraph" w:customStyle="1" w:styleId="Style">
    <w:name w:val="Style"/>
    <w:rsid w:val="00BF7BF7"/>
    <w:pPr>
      <w:widowControl w:val="0"/>
      <w:suppressAutoHyphens/>
      <w:autoSpaceDE w:val="0"/>
      <w:spacing w:after="0" w:line="240" w:lineRule="auto"/>
    </w:pPr>
    <w:rPr>
      <w:rFonts w:ascii="Times New Roman" w:eastAsia="Arial" w:hAnsi="Times New Roman" w:cs="Times New Roman"/>
      <w:kern w:val="1"/>
      <w:sz w:val="24"/>
      <w:szCs w:val="24"/>
      <w:lang w:eastAsia="zh-CN"/>
    </w:rPr>
  </w:style>
  <w:style w:type="paragraph" w:styleId="Retraitcorpsdetexte">
    <w:name w:val="Body Text Indent"/>
    <w:basedOn w:val="Normal"/>
    <w:link w:val="RetraitcorpsdetexteCar"/>
    <w:uiPriority w:val="99"/>
    <w:semiHidden/>
    <w:unhideWhenUsed/>
    <w:rsid w:val="00A21890"/>
    <w:pPr>
      <w:spacing w:after="120"/>
      <w:ind w:left="283"/>
    </w:pPr>
  </w:style>
  <w:style w:type="character" w:customStyle="1" w:styleId="RetraitcorpsdetexteCar">
    <w:name w:val="Retrait corps de texte Car"/>
    <w:basedOn w:val="Policepardfaut"/>
    <w:link w:val="Retraitcorpsdetexte"/>
    <w:uiPriority w:val="99"/>
    <w:semiHidden/>
    <w:rsid w:val="00A21890"/>
    <w:rPr>
      <w:rFonts w:ascii="Arial Narrow" w:eastAsia="MS ??" w:hAnsi="Arial Narrow" w:cs="Arial"/>
      <w:b/>
      <w:kern w:val="2"/>
      <w:sz w:val="24"/>
      <w:lang w:eastAsia="ja-JP"/>
    </w:rPr>
  </w:style>
  <w:style w:type="character" w:customStyle="1" w:styleId="publicationsauthor">
    <w:name w:val="publications_author"/>
    <w:rsid w:val="008E42C8"/>
  </w:style>
  <w:style w:type="character" w:customStyle="1" w:styleId="df">
    <w:name w:val="d_f"/>
    <w:basedOn w:val="Policepardfaut"/>
    <w:rsid w:val="0020431F"/>
  </w:style>
  <w:style w:type="paragraph" w:customStyle="1" w:styleId="Pardfaut">
    <w:name w:val="Par défaut"/>
    <w:rsid w:val="006D3E0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fr-FR"/>
      <w14:textOutline w14:w="0" w14:cap="flat" w14:cmpd="sng" w14:algn="ctr">
        <w14:noFill/>
        <w14:prstDash w14:val="solid"/>
        <w14:bevel/>
      </w14:textOutline>
    </w:rPr>
  </w:style>
  <w:style w:type="character" w:customStyle="1" w:styleId="Aucun">
    <w:name w:val="Aucun"/>
    <w:rsid w:val="006D3E0A"/>
    <w:rPr>
      <w:lang w:val="fr-FR"/>
    </w:rPr>
  </w:style>
  <w:style w:type="character" w:customStyle="1" w:styleId="Titre10">
    <w:name w:val="Titre1"/>
    <w:basedOn w:val="Policepardfaut"/>
    <w:rsid w:val="00D952C4"/>
  </w:style>
  <w:style w:type="paragraph" w:customStyle="1" w:styleId="WW-NormalWeb">
    <w:name w:val="WW-Normal (Web)"/>
    <w:basedOn w:val="Normal"/>
    <w:uiPriority w:val="99"/>
    <w:rsid w:val="00CB729D"/>
    <w:pPr>
      <w:suppressAutoHyphens/>
      <w:spacing w:before="100" w:after="100" w:line="240" w:lineRule="auto"/>
    </w:pPr>
    <w:rPr>
      <w:rFonts w:ascii="Times New Roman" w:eastAsia="Times New Roman" w:hAnsi="Times New Roman" w:cs="Times New Roman"/>
      <w:b w:val="0"/>
      <w:noProof/>
      <w:kern w:val="0"/>
      <w:szCs w:val="20"/>
      <w:lang w:eastAsia="fr-FR"/>
    </w:rPr>
  </w:style>
  <w:style w:type="character" w:customStyle="1" w:styleId="highlight">
    <w:name w:val="highlight"/>
    <w:basedOn w:val="Policepardfaut"/>
    <w:rsid w:val="00FA6589"/>
  </w:style>
  <w:style w:type="character" w:customStyle="1" w:styleId="documentyear">
    <w:name w:val="documentyear"/>
    <w:basedOn w:val="Policepardfaut"/>
    <w:rsid w:val="00FA6589"/>
  </w:style>
  <w:style w:type="character" w:customStyle="1" w:styleId="documentissuename">
    <w:name w:val="documentissuename"/>
    <w:basedOn w:val="Policepardfaut"/>
    <w:rsid w:val="00FA6589"/>
  </w:style>
  <w:style w:type="character" w:customStyle="1" w:styleId="documentpagerange">
    <w:name w:val="documentpagerange"/>
    <w:basedOn w:val="Policepardfaut"/>
    <w:rsid w:val="00FA6589"/>
  </w:style>
  <w:style w:type="paragraph" w:customStyle="1" w:styleId="meta">
    <w:name w:val="meta"/>
    <w:basedOn w:val="Normal"/>
    <w:rsid w:val="00FA6589"/>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auteur">
    <w:name w:val="auteur"/>
    <w:basedOn w:val="Policepardfaut"/>
    <w:rsid w:val="00FA6589"/>
  </w:style>
  <w:style w:type="character" w:customStyle="1" w:styleId="in-revue">
    <w:name w:val="in-revue"/>
    <w:basedOn w:val="Policepardfaut"/>
    <w:rsid w:val="00FA6589"/>
  </w:style>
  <w:style w:type="character" w:customStyle="1" w:styleId="titre-revue">
    <w:name w:val="titre-revue"/>
    <w:basedOn w:val="Policepardfaut"/>
    <w:rsid w:val="00FA6589"/>
  </w:style>
  <w:style w:type="character" w:customStyle="1" w:styleId="uppercase">
    <w:name w:val="uppercase"/>
    <w:basedOn w:val="Policepardfaut"/>
    <w:rsid w:val="004D7805"/>
  </w:style>
  <w:style w:type="character" w:styleId="Marquedecommentaire">
    <w:name w:val="annotation reference"/>
    <w:basedOn w:val="Policepardfaut"/>
    <w:uiPriority w:val="99"/>
    <w:semiHidden/>
    <w:unhideWhenUsed/>
    <w:rsid w:val="00A252B7"/>
    <w:rPr>
      <w:sz w:val="16"/>
      <w:szCs w:val="16"/>
    </w:rPr>
  </w:style>
  <w:style w:type="paragraph" w:styleId="Objetducommentaire">
    <w:name w:val="annotation subject"/>
    <w:basedOn w:val="Commentaire"/>
    <w:next w:val="Commentaire"/>
    <w:link w:val="ObjetducommentaireCar"/>
    <w:uiPriority w:val="99"/>
    <w:semiHidden/>
    <w:unhideWhenUsed/>
    <w:rsid w:val="00A252B7"/>
    <w:pPr>
      <w:overflowPunct/>
      <w:spacing w:line="240" w:lineRule="auto"/>
      <w:textAlignment w:val="auto"/>
    </w:pPr>
    <w:rPr>
      <w:rFonts w:ascii="Arial Narrow" w:eastAsia="MS ??" w:hAnsi="Arial Narrow" w:cs="Arial"/>
      <w:b/>
      <w:bCs/>
      <w:kern w:val="2"/>
    </w:rPr>
  </w:style>
  <w:style w:type="character" w:customStyle="1" w:styleId="ObjetducommentaireCar">
    <w:name w:val="Objet du commentaire Car"/>
    <w:basedOn w:val="CommentaireCar"/>
    <w:link w:val="Objetducommentaire"/>
    <w:uiPriority w:val="99"/>
    <w:semiHidden/>
    <w:rsid w:val="00A252B7"/>
    <w:rPr>
      <w:rFonts w:ascii="Arial Narrow" w:eastAsia="MS ??" w:hAnsi="Arial Narrow" w:cs="Arial"/>
      <w:b/>
      <w:bCs/>
      <w:kern w:val="2"/>
      <w:sz w:val="20"/>
      <w:szCs w:val="20"/>
      <w:lang w:eastAsia="ja-JP"/>
    </w:rPr>
  </w:style>
  <w:style w:type="character" w:styleId="Mentionnonrsolue">
    <w:name w:val="Unresolved Mention"/>
    <w:basedOn w:val="Policepardfaut"/>
    <w:uiPriority w:val="99"/>
    <w:semiHidden/>
    <w:unhideWhenUsed/>
    <w:rsid w:val="0090719F"/>
    <w:rPr>
      <w:color w:val="605E5C"/>
      <w:shd w:val="clear" w:color="auto" w:fill="E1DFDD"/>
    </w:rPr>
  </w:style>
  <w:style w:type="paragraph" w:customStyle="1" w:styleId="Textbody">
    <w:name w:val="Text body"/>
    <w:basedOn w:val="Standard"/>
    <w:rsid w:val="009B5D00"/>
    <w:pPr>
      <w:widowControl/>
      <w:spacing w:after="140" w:line="276" w:lineRule="auto"/>
    </w:pPr>
    <w:rPr>
      <w:rFonts w:ascii="Liberation Serif" w:eastAsia="Noto Serif CJK SC" w:hAnsi="Liberation Serif" w:cs="Lohit Devanagari"/>
    </w:rPr>
  </w:style>
  <w:style w:type="numbering" w:customStyle="1" w:styleId="WWNum29">
    <w:name w:val="WWNum29"/>
    <w:basedOn w:val="Aucuneliste"/>
    <w:rsid w:val="009B5D00"/>
    <w:pPr>
      <w:numPr>
        <w:numId w:val="12"/>
      </w:numPr>
    </w:pPr>
  </w:style>
  <w:style w:type="paragraph" w:customStyle="1" w:styleId="Listenumros1">
    <w:name w:val="Liste à numéros1"/>
    <w:basedOn w:val="Normal"/>
    <w:rsid w:val="002643A5"/>
    <w:pPr>
      <w:tabs>
        <w:tab w:val="left" w:pos="567"/>
      </w:tabs>
      <w:suppressAutoHyphens/>
      <w:spacing w:after="0" w:line="240" w:lineRule="auto"/>
      <w:ind w:left="567" w:hanging="567"/>
      <w:jc w:val="both"/>
    </w:pPr>
    <w:rPr>
      <w:rFonts w:ascii="Times New Roman" w:eastAsia="Times New Roman" w:hAnsi="Times New Roman" w:cs="Times New Roman"/>
      <w:b w:val="0"/>
      <w:kern w:val="0"/>
      <w:sz w:val="20"/>
      <w:szCs w:val="24"/>
      <w:lang w:eastAsia="ar-SA"/>
    </w:rPr>
  </w:style>
  <w:style w:type="character" w:customStyle="1" w:styleId="A2">
    <w:name w:val="A2"/>
    <w:uiPriority w:val="99"/>
    <w:rsid w:val="00A003A8"/>
    <w:rPr>
      <w:color w:val="000000"/>
      <w:sz w:val="20"/>
      <w:szCs w:val="20"/>
    </w:rPr>
  </w:style>
  <w:style w:type="paragraph" w:customStyle="1" w:styleId="ox-294474f2d8-msonormal">
    <w:name w:val="ox-294474f2d8-msonormal"/>
    <w:basedOn w:val="Normal"/>
    <w:rsid w:val="003E755A"/>
    <w:pPr>
      <w:spacing w:before="100" w:beforeAutospacing="1" w:after="100" w:afterAutospacing="1" w:line="240" w:lineRule="auto"/>
      <w:jc w:val="both"/>
    </w:pPr>
    <w:rPr>
      <w:rFonts w:ascii="Times New Roman" w:eastAsia="Times New Roman" w:hAnsi="Times New Roman" w:cs="Times New Roman"/>
      <w:kern w:val="0"/>
      <w:szCs w:val="24"/>
      <w:lang w:val="en-US" w:eastAsia="en-US"/>
    </w:rPr>
  </w:style>
  <w:style w:type="paragraph" w:customStyle="1" w:styleId="corps0">
    <w:name w:val="corps"/>
    <w:basedOn w:val="Normal"/>
    <w:rsid w:val="00EE03A3"/>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paragraph" w:styleId="Rvision">
    <w:name w:val="Revision"/>
    <w:hidden/>
    <w:uiPriority w:val="99"/>
    <w:semiHidden/>
    <w:rsid w:val="00851A79"/>
    <w:pPr>
      <w:spacing w:after="0" w:line="240" w:lineRule="auto"/>
    </w:pPr>
    <w:rPr>
      <w:rFonts w:ascii="Arial Narrow" w:eastAsia="MS ??" w:hAnsi="Arial Narrow" w:cs="Arial"/>
      <w:b/>
      <w:kern w:val="2"/>
      <w:sz w:val="24"/>
      <w:lang w:eastAsia="ja-JP"/>
    </w:rPr>
  </w:style>
  <w:style w:type="paragraph" w:customStyle="1" w:styleId="BiblioTITRE">
    <w:name w:val="Biblio TITRE"/>
    <w:basedOn w:val="Normal"/>
    <w:link w:val="BiblioTITRECar"/>
    <w:autoRedefine/>
    <w:qFormat/>
    <w:rsid w:val="00947D6A"/>
    <w:pPr>
      <w:spacing w:after="60" w:line="240" w:lineRule="auto"/>
      <w:ind w:firstLine="284"/>
      <w:jc w:val="both"/>
    </w:pPr>
    <w:rPr>
      <w:rFonts w:ascii="Garamond" w:eastAsiaTheme="minorHAnsi" w:hAnsi="Garamond" w:cstheme="minorBidi"/>
      <w:b w:val="0"/>
      <w:kern w:val="0"/>
      <w:lang w:eastAsia="en-US"/>
    </w:rPr>
  </w:style>
  <w:style w:type="character" w:customStyle="1" w:styleId="BiblioTITRECar">
    <w:name w:val="Biblio TITRE Car"/>
    <w:basedOn w:val="Policepardfaut"/>
    <w:link w:val="BiblioTITRE"/>
    <w:qFormat/>
    <w:rsid w:val="00947D6A"/>
    <w:rPr>
      <w:rFonts w:ascii="Garamond" w:hAnsi="Garamond"/>
      <w:sz w:val="24"/>
    </w:rPr>
  </w:style>
  <w:style w:type="table" w:styleId="Tableausimple4">
    <w:name w:val="Plain Table 4"/>
    <w:basedOn w:val="TableauNormal"/>
    <w:uiPriority w:val="44"/>
    <w:rsid w:val="00947D6A"/>
    <w:pPr>
      <w:spacing w:after="0" w:line="240" w:lineRule="auto"/>
    </w:pPr>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xapple-converted-space">
    <w:name w:val="x_apple-converted-space"/>
    <w:basedOn w:val="Policepardfaut"/>
    <w:rsid w:val="00B56491"/>
  </w:style>
  <w:style w:type="character" w:customStyle="1" w:styleId="xs2">
    <w:name w:val="x_s2"/>
    <w:basedOn w:val="Policepardfaut"/>
    <w:rsid w:val="00B56491"/>
  </w:style>
  <w:style w:type="paragraph" w:customStyle="1" w:styleId="para">
    <w:name w:val="para"/>
    <w:basedOn w:val="Normal"/>
    <w:rsid w:val="00713CD0"/>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fontstyle21">
    <w:name w:val="fontstyle21"/>
    <w:basedOn w:val="Policepardfaut"/>
    <w:rsid w:val="00AF75D4"/>
    <w:rPr>
      <w:rFonts w:ascii="TimesNewRomanPSMT" w:hAnsi="TimesNewRomanPSMT" w:hint="default"/>
      <w:b w:val="0"/>
      <w:bCs w:val="0"/>
      <w:i w:val="0"/>
      <w:iCs w:val="0"/>
      <w:color w:val="000000"/>
      <w:sz w:val="20"/>
      <w:szCs w:val="20"/>
    </w:rPr>
  </w:style>
  <w:style w:type="paragraph" w:customStyle="1" w:styleId="Normal1">
    <w:name w:val="Normal1"/>
    <w:rsid w:val="00B049C5"/>
    <w:pPr>
      <w:spacing w:after="0"/>
    </w:pPr>
    <w:rPr>
      <w:rFonts w:ascii="Arial" w:eastAsia="Arial" w:hAnsi="Arial" w:cs="Arial"/>
      <w:lang w:val="fr" w:eastAsia="fr-FR"/>
    </w:rPr>
  </w:style>
  <w:style w:type="character" w:customStyle="1" w:styleId="a-size-extra-large">
    <w:name w:val="a-size-extra-large"/>
    <w:basedOn w:val="Policepardfaut"/>
    <w:rsid w:val="00362B00"/>
  </w:style>
  <w:style w:type="character" w:customStyle="1" w:styleId="author">
    <w:name w:val="author"/>
    <w:basedOn w:val="Policepardfaut"/>
    <w:rsid w:val="00362B00"/>
  </w:style>
  <w:style w:type="character" w:customStyle="1" w:styleId="contribution">
    <w:name w:val="contribution"/>
    <w:basedOn w:val="Policepardfaut"/>
    <w:rsid w:val="00362B00"/>
  </w:style>
  <w:style w:type="character" w:customStyle="1" w:styleId="a-color-secondary">
    <w:name w:val="a-color-secondary"/>
    <w:basedOn w:val="Policepardfaut"/>
    <w:rsid w:val="00362B00"/>
  </w:style>
  <w:style w:type="character" w:customStyle="1" w:styleId="SansinterligneCar">
    <w:name w:val="Sans interligne Car"/>
    <w:basedOn w:val="Policepardfaut"/>
    <w:link w:val="Sansinterligne"/>
    <w:uiPriority w:val="1"/>
    <w:rsid w:val="006C10E3"/>
    <w:rPr>
      <w:rFonts w:ascii="Calibri" w:eastAsia="Calibri" w:hAnsi="Calibri" w:cs="Times New Roman"/>
    </w:rPr>
  </w:style>
  <w:style w:type="paragraph" w:customStyle="1" w:styleId="p2">
    <w:name w:val="p2"/>
    <w:basedOn w:val="Normal"/>
    <w:rsid w:val="0080769B"/>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s1">
    <w:name w:val="s1"/>
    <w:basedOn w:val="Policepardfaut"/>
    <w:rsid w:val="0080769B"/>
  </w:style>
  <w:style w:type="character" w:customStyle="1" w:styleId="apple-converted-space">
    <w:name w:val="apple-converted-space"/>
    <w:basedOn w:val="Policepardfaut"/>
    <w:rsid w:val="00114B79"/>
  </w:style>
  <w:style w:type="character" w:customStyle="1" w:styleId="romain">
    <w:name w:val="romain"/>
    <w:basedOn w:val="Policepardfaut"/>
    <w:rsid w:val="00751168"/>
  </w:style>
  <w:style w:type="character" w:styleId="Appelnotedebasdep">
    <w:name w:val="footnote reference"/>
    <w:aliases w:val="fr"/>
    <w:qFormat/>
    <w:rsid w:val="006F36FA"/>
    <w:rPr>
      <w:vertAlign w:val="superscript"/>
    </w:rPr>
  </w:style>
  <w:style w:type="character" w:customStyle="1" w:styleId="fn">
    <w:name w:val="fn"/>
    <w:basedOn w:val="Policepardfaut"/>
    <w:rsid w:val="006F36FA"/>
  </w:style>
  <w:style w:type="character" w:customStyle="1" w:styleId="Sous-titre1">
    <w:name w:val="Sous-titre1"/>
    <w:basedOn w:val="Policepardfaut"/>
    <w:rsid w:val="006F36FA"/>
  </w:style>
  <w:style w:type="paragraph" w:customStyle="1" w:styleId="gmail-enseignants">
    <w:name w:val="gmail-enseignants"/>
    <w:basedOn w:val="Normal"/>
    <w:rsid w:val="00B8032E"/>
    <w:pPr>
      <w:spacing w:before="100" w:beforeAutospacing="1" w:after="100" w:afterAutospacing="1" w:line="240" w:lineRule="auto"/>
    </w:pPr>
    <w:rPr>
      <w:rFonts w:ascii="Times New Roman" w:eastAsia="Times New Roman" w:hAnsi="Times New Roman" w:cs="Times New Roman"/>
      <w:b w:val="0"/>
      <w:kern w:val="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60043">
      <w:bodyDiv w:val="1"/>
      <w:marLeft w:val="0"/>
      <w:marRight w:val="0"/>
      <w:marTop w:val="0"/>
      <w:marBottom w:val="0"/>
      <w:divBdr>
        <w:top w:val="none" w:sz="0" w:space="0" w:color="auto"/>
        <w:left w:val="none" w:sz="0" w:space="0" w:color="auto"/>
        <w:bottom w:val="none" w:sz="0" w:space="0" w:color="auto"/>
        <w:right w:val="none" w:sz="0" w:space="0" w:color="auto"/>
      </w:divBdr>
    </w:div>
    <w:div w:id="53165175">
      <w:bodyDiv w:val="1"/>
      <w:marLeft w:val="0"/>
      <w:marRight w:val="0"/>
      <w:marTop w:val="0"/>
      <w:marBottom w:val="0"/>
      <w:divBdr>
        <w:top w:val="none" w:sz="0" w:space="0" w:color="auto"/>
        <w:left w:val="none" w:sz="0" w:space="0" w:color="auto"/>
        <w:bottom w:val="none" w:sz="0" w:space="0" w:color="auto"/>
        <w:right w:val="none" w:sz="0" w:space="0" w:color="auto"/>
      </w:divBdr>
    </w:div>
    <w:div w:id="127819774">
      <w:bodyDiv w:val="1"/>
      <w:marLeft w:val="0"/>
      <w:marRight w:val="0"/>
      <w:marTop w:val="0"/>
      <w:marBottom w:val="0"/>
      <w:divBdr>
        <w:top w:val="none" w:sz="0" w:space="0" w:color="auto"/>
        <w:left w:val="none" w:sz="0" w:space="0" w:color="auto"/>
        <w:bottom w:val="none" w:sz="0" w:space="0" w:color="auto"/>
        <w:right w:val="none" w:sz="0" w:space="0" w:color="auto"/>
      </w:divBdr>
      <w:divsChild>
        <w:div w:id="1806462906">
          <w:marLeft w:val="0"/>
          <w:marRight w:val="0"/>
          <w:marTop w:val="0"/>
          <w:marBottom w:val="0"/>
          <w:divBdr>
            <w:top w:val="none" w:sz="0" w:space="0" w:color="auto"/>
            <w:left w:val="none" w:sz="0" w:space="0" w:color="auto"/>
            <w:bottom w:val="none" w:sz="0" w:space="0" w:color="auto"/>
            <w:right w:val="none" w:sz="0" w:space="0" w:color="auto"/>
          </w:divBdr>
        </w:div>
        <w:div w:id="1659727628">
          <w:marLeft w:val="0"/>
          <w:marRight w:val="0"/>
          <w:marTop w:val="0"/>
          <w:marBottom w:val="0"/>
          <w:divBdr>
            <w:top w:val="none" w:sz="0" w:space="0" w:color="auto"/>
            <w:left w:val="none" w:sz="0" w:space="0" w:color="auto"/>
            <w:bottom w:val="none" w:sz="0" w:space="0" w:color="auto"/>
            <w:right w:val="none" w:sz="0" w:space="0" w:color="auto"/>
          </w:divBdr>
        </w:div>
        <w:div w:id="1372338170">
          <w:marLeft w:val="0"/>
          <w:marRight w:val="0"/>
          <w:marTop w:val="0"/>
          <w:marBottom w:val="0"/>
          <w:divBdr>
            <w:top w:val="none" w:sz="0" w:space="0" w:color="auto"/>
            <w:left w:val="none" w:sz="0" w:space="0" w:color="auto"/>
            <w:bottom w:val="none" w:sz="0" w:space="0" w:color="auto"/>
            <w:right w:val="none" w:sz="0" w:space="0" w:color="auto"/>
          </w:divBdr>
        </w:div>
      </w:divsChild>
    </w:div>
    <w:div w:id="174345552">
      <w:bodyDiv w:val="1"/>
      <w:marLeft w:val="0"/>
      <w:marRight w:val="0"/>
      <w:marTop w:val="0"/>
      <w:marBottom w:val="0"/>
      <w:divBdr>
        <w:top w:val="none" w:sz="0" w:space="0" w:color="auto"/>
        <w:left w:val="none" w:sz="0" w:space="0" w:color="auto"/>
        <w:bottom w:val="none" w:sz="0" w:space="0" w:color="auto"/>
        <w:right w:val="none" w:sz="0" w:space="0" w:color="auto"/>
      </w:divBdr>
    </w:div>
    <w:div w:id="174996820">
      <w:bodyDiv w:val="1"/>
      <w:marLeft w:val="0"/>
      <w:marRight w:val="0"/>
      <w:marTop w:val="0"/>
      <w:marBottom w:val="0"/>
      <w:divBdr>
        <w:top w:val="none" w:sz="0" w:space="0" w:color="auto"/>
        <w:left w:val="none" w:sz="0" w:space="0" w:color="auto"/>
        <w:bottom w:val="none" w:sz="0" w:space="0" w:color="auto"/>
        <w:right w:val="none" w:sz="0" w:space="0" w:color="auto"/>
      </w:divBdr>
    </w:div>
    <w:div w:id="229581147">
      <w:bodyDiv w:val="1"/>
      <w:marLeft w:val="0"/>
      <w:marRight w:val="0"/>
      <w:marTop w:val="0"/>
      <w:marBottom w:val="0"/>
      <w:divBdr>
        <w:top w:val="none" w:sz="0" w:space="0" w:color="auto"/>
        <w:left w:val="none" w:sz="0" w:space="0" w:color="auto"/>
        <w:bottom w:val="none" w:sz="0" w:space="0" w:color="auto"/>
        <w:right w:val="none" w:sz="0" w:space="0" w:color="auto"/>
      </w:divBdr>
    </w:div>
    <w:div w:id="253175679">
      <w:bodyDiv w:val="1"/>
      <w:marLeft w:val="0"/>
      <w:marRight w:val="0"/>
      <w:marTop w:val="0"/>
      <w:marBottom w:val="0"/>
      <w:divBdr>
        <w:top w:val="none" w:sz="0" w:space="0" w:color="auto"/>
        <w:left w:val="none" w:sz="0" w:space="0" w:color="auto"/>
        <w:bottom w:val="none" w:sz="0" w:space="0" w:color="auto"/>
        <w:right w:val="none" w:sz="0" w:space="0" w:color="auto"/>
      </w:divBdr>
    </w:div>
    <w:div w:id="255553584">
      <w:bodyDiv w:val="1"/>
      <w:marLeft w:val="0"/>
      <w:marRight w:val="0"/>
      <w:marTop w:val="0"/>
      <w:marBottom w:val="0"/>
      <w:divBdr>
        <w:top w:val="none" w:sz="0" w:space="0" w:color="auto"/>
        <w:left w:val="none" w:sz="0" w:space="0" w:color="auto"/>
        <w:bottom w:val="none" w:sz="0" w:space="0" w:color="auto"/>
        <w:right w:val="none" w:sz="0" w:space="0" w:color="auto"/>
      </w:divBdr>
      <w:divsChild>
        <w:div w:id="1983457730">
          <w:marLeft w:val="0"/>
          <w:marRight w:val="0"/>
          <w:marTop w:val="720"/>
          <w:marBottom w:val="720"/>
          <w:divBdr>
            <w:top w:val="none" w:sz="0" w:space="0" w:color="auto"/>
            <w:left w:val="none" w:sz="0" w:space="0" w:color="auto"/>
            <w:bottom w:val="none" w:sz="0" w:space="0" w:color="auto"/>
            <w:right w:val="none" w:sz="0" w:space="0" w:color="auto"/>
          </w:divBdr>
        </w:div>
      </w:divsChild>
    </w:div>
    <w:div w:id="258299453">
      <w:bodyDiv w:val="1"/>
      <w:marLeft w:val="0"/>
      <w:marRight w:val="0"/>
      <w:marTop w:val="0"/>
      <w:marBottom w:val="0"/>
      <w:divBdr>
        <w:top w:val="none" w:sz="0" w:space="0" w:color="auto"/>
        <w:left w:val="none" w:sz="0" w:space="0" w:color="auto"/>
        <w:bottom w:val="none" w:sz="0" w:space="0" w:color="auto"/>
        <w:right w:val="none" w:sz="0" w:space="0" w:color="auto"/>
      </w:divBdr>
    </w:div>
    <w:div w:id="410929924">
      <w:bodyDiv w:val="1"/>
      <w:marLeft w:val="0"/>
      <w:marRight w:val="0"/>
      <w:marTop w:val="0"/>
      <w:marBottom w:val="0"/>
      <w:divBdr>
        <w:top w:val="none" w:sz="0" w:space="0" w:color="auto"/>
        <w:left w:val="none" w:sz="0" w:space="0" w:color="auto"/>
        <w:bottom w:val="none" w:sz="0" w:space="0" w:color="auto"/>
        <w:right w:val="none" w:sz="0" w:space="0" w:color="auto"/>
      </w:divBdr>
    </w:div>
    <w:div w:id="514657403">
      <w:bodyDiv w:val="1"/>
      <w:marLeft w:val="0"/>
      <w:marRight w:val="0"/>
      <w:marTop w:val="0"/>
      <w:marBottom w:val="0"/>
      <w:divBdr>
        <w:top w:val="none" w:sz="0" w:space="0" w:color="auto"/>
        <w:left w:val="none" w:sz="0" w:space="0" w:color="auto"/>
        <w:bottom w:val="none" w:sz="0" w:space="0" w:color="auto"/>
        <w:right w:val="none" w:sz="0" w:space="0" w:color="auto"/>
      </w:divBdr>
    </w:div>
    <w:div w:id="555436301">
      <w:bodyDiv w:val="1"/>
      <w:marLeft w:val="0"/>
      <w:marRight w:val="0"/>
      <w:marTop w:val="0"/>
      <w:marBottom w:val="0"/>
      <w:divBdr>
        <w:top w:val="none" w:sz="0" w:space="0" w:color="auto"/>
        <w:left w:val="none" w:sz="0" w:space="0" w:color="auto"/>
        <w:bottom w:val="none" w:sz="0" w:space="0" w:color="auto"/>
        <w:right w:val="none" w:sz="0" w:space="0" w:color="auto"/>
      </w:divBdr>
    </w:div>
    <w:div w:id="555629585">
      <w:bodyDiv w:val="1"/>
      <w:marLeft w:val="0"/>
      <w:marRight w:val="0"/>
      <w:marTop w:val="0"/>
      <w:marBottom w:val="0"/>
      <w:divBdr>
        <w:top w:val="none" w:sz="0" w:space="0" w:color="auto"/>
        <w:left w:val="none" w:sz="0" w:space="0" w:color="auto"/>
        <w:bottom w:val="none" w:sz="0" w:space="0" w:color="auto"/>
        <w:right w:val="none" w:sz="0" w:space="0" w:color="auto"/>
      </w:divBdr>
    </w:div>
    <w:div w:id="588391648">
      <w:bodyDiv w:val="1"/>
      <w:marLeft w:val="0"/>
      <w:marRight w:val="0"/>
      <w:marTop w:val="0"/>
      <w:marBottom w:val="0"/>
      <w:divBdr>
        <w:top w:val="none" w:sz="0" w:space="0" w:color="auto"/>
        <w:left w:val="none" w:sz="0" w:space="0" w:color="auto"/>
        <w:bottom w:val="none" w:sz="0" w:space="0" w:color="auto"/>
        <w:right w:val="none" w:sz="0" w:space="0" w:color="auto"/>
      </w:divBdr>
    </w:div>
    <w:div w:id="727188541">
      <w:bodyDiv w:val="1"/>
      <w:marLeft w:val="0"/>
      <w:marRight w:val="0"/>
      <w:marTop w:val="0"/>
      <w:marBottom w:val="0"/>
      <w:divBdr>
        <w:top w:val="none" w:sz="0" w:space="0" w:color="auto"/>
        <w:left w:val="none" w:sz="0" w:space="0" w:color="auto"/>
        <w:bottom w:val="none" w:sz="0" w:space="0" w:color="auto"/>
        <w:right w:val="none" w:sz="0" w:space="0" w:color="auto"/>
      </w:divBdr>
    </w:div>
    <w:div w:id="770710886">
      <w:bodyDiv w:val="1"/>
      <w:marLeft w:val="0"/>
      <w:marRight w:val="0"/>
      <w:marTop w:val="0"/>
      <w:marBottom w:val="0"/>
      <w:divBdr>
        <w:top w:val="none" w:sz="0" w:space="0" w:color="auto"/>
        <w:left w:val="none" w:sz="0" w:space="0" w:color="auto"/>
        <w:bottom w:val="none" w:sz="0" w:space="0" w:color="auto"/>
        <w:right w:val="none" w:sz="0" w:space="0" w:color="auto"/>
      </w:divBdr>
    </w:div>
    <w:div w:id="827213216">
      <w:bodyDiv w:val="1"/>
      <w:marLeft w:val="0"/>
      <w:marRight w:val="0"/>
      <w:marTop w:val="0"/>
      <w:marBottom w:val="0"/>
      <w:divBdr>
        <w:top w:val="none" w:sz="0" w:space="0" w:color="auto"/>
        <w:left w:val="none" w:sz="0" w:space="0" w:color="auto"/>
        <w:bottom w:val="none" w:sz="0" w:space="0" w:color="auto"/>
        <w:right w:val="none" w:sz="0" w:space="0" w:color="auto"/>
      </w:divBdr>
    </w:div>
    <w:div w:id="892695441">
      <w:bodyDiv w:val="1"/>
      <w:marLeft w:val="0"/>
      <w:marRight w:val="0"/>
      <w:marTop w:val="0"/>
      <w:marBottom w:val="0"/>
      <w:divBdr>
        <w:top w:val="none" w:sz="0" w:space="0" w:color="auto"/>
        <w:left w:val="none" w:sz="0" w:space="0" w:color="auto"/>
        <w:bottom w:val="none" w:sz="0" w:space="0" w:color="auto"/>
        <w:right w:val="none" w:sz="0" w:space="0" w:color="auto"/>
      </w:divBdr>
    </w:div>
    <w:div w:id="895164125">
      <w:bodyDiv w:val="1"/>
      <w:marLeft w:val="0"/>
      <w:marRight w:val="0"/>
      <w:marTop w:val="0"/>
      <w:marBottom w:val="0"/>
      <w:divBdr>
        <w:top w:val="none" w:sz="0" w:space="0" w:color="auto"/>
        <w:left w:val="none" w:sz="0" w:space="0" w:color="auto"/>
        <w:bottom w:val="none" w:sz="0" w:space="0" w:color="auto"/>
        <w:right w:val="none" w:sz="0" w:space="0" w:color="auto"/>
      </w:divBdr>
    </w:div>
    <w:div w:id="978264863">
      <w:bodyDiv w:val="1"/>
      <w:marLeft w:val="0"/>
      <w:marRight w:val="0"/>
      <w:marTop w:val="0"/>
      <w:marBottom w:val="0"/>
      <w:divBdr>
        <w:top w:val="none" w:sz="0" w:space="0" w:color="auto"/>
        <w:left w:val="none" w:sz="0" w:space="0" w:color="auto"/>
        <w:bottom w:val="none" w:sz="0" w:space="0" w:color="auto"/>
        <w:right w:val="none" w:sz="0" w:space="0" w:color="auto"/>
      </w:divBdr>
    </w:div>
    <w:div w:id="1050497475">
      <w:bodyDiv w:val="1"/>
      <w:marLeft w:val="0"/>
      <w:marRight w:val="0"/>
      <w:marTop w:val="0"/>
      <w:marBottom w:val="0"/>
      <w:divBdr>
        <w:top w:val="none" w:sz="0" w:space="0" w:color="auto"/>
        <w:left w:val="none" w:sz="0" w:space="0" w:color="auto"/>
        <w:bottom w:val="none" w:sz="0" w:space="0" w:color="auto"/>
        <w:right w:val="none" w:sz="0" w:space="0" w:color="auto"/>
      </w:divBdr>
      <w:divsChild>
        <w:div w:id="2065786809">
          <w:marLeft w:val="0"/>
          <w:marRight w:val="0"/>
          <w:marTop w:val="0"/>
          <w:marBottom w:val="0"/>
          <w:divBdr>
            <w:top w:val="none" w:sz="0" w:space="0" w:color="auto"/>
            <w:left w:val="none" w:sz="0" w:space="0" w:color="auto"/>
            <w:bottom w:val="none" w:sz="0" w:space="0" w:color="auto"/>
            <w:right w:val="none" w:sz="0" w:space="0" w:color="auto"/>
          </w:divBdr>
          <w:divsChild>
            <w:div w:id="1652296808">
              <w:marLeft w:val="0"/>
              <w:marRight w:val="0"/>
              <w:marTop w:val="0"/>
              <w:marBottom w:val="0"/>
              <w:divBdr>
                <w:top w:val="none" w:sz="0" w:space="0" w:color="auto"/>
                <w:left w:val="none" w:sz="0" w:space="0" w:color="auto"/>
                <w:bottom w:val="none" w:sz="0" w:space="0" w:color="auto"/>
                <w:right w:val="none" w:sz="0" w:space="0" w:color="auto"/>
              </w:divBdr>
              <w:divsChild>
                <w:div w:id="1944024705">
                  <w:marLeft w:val="0"/>
                  <w:marRight w:val="0"/>
                  <w:marTop w:val="0"/>
                  <w:marBottom w:val="0"/>
                  <w:divBdr>
                    <w:top w:val="none" w:sz="0" w:space="0" w:color="auto"/>
                    <w:left w:val="none" w:sz="0" w:space="0" w:color="auto"/>
                    <w:bottom w:val="none" w:sz="0" w:space="0" w:color="auto"/>
                    <w:right w:val="none" w:sz="0" w:space="0" w:color="auto"/>
                  </w:divBdr>
                  <w:divsChild>
                    <w:div w:id="2120945668">
                      <w:marLeft w:val="0"/>
                      <w:marRight w:val="0"/>
                      <w:marTop w:val="0"/>
                      <w:marBottom w:val="0"/>
                      <w:divBdr>
                        <w:top w:val="none" w:sz="0" w:space="0" w:color="auto"/>
                        <w:left w:val="none" w:sz="0" w:space="0" w:color="auto"/>
                        <w:bottom w:val="none" w:sz="0" w:space="0" w:color="auto"/>
                        <w:right w:val="none" w:sz="0" w:space="0" w:color="auto"/>
                      </w:divBdr>
                      <w:divsChild>
                        <w:div w:id="14323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436663">
      <w:bodyDiv w:val="1"/>
      <w:marLeft w:val="0"/>
      <w:marRight w:val="0"/>
      <w:marTop w:val="0"/>
      <w:marBottom w:val="0"/>
      <w:divBdr>
        <w:top w:val="none" w:sz="0" w:space="0" w:color="auto"/>
        <w:left w:val="none" w:sz="0" w:space="0" w:color="auto"/>
        <w:bottom w:val="none" w:sz="0" w:space="0" w:color="auto"/>
        <w:right w:val="none" w:sz="0" w:space="0" w:color="auto"/>
      </w:divBdr>
    </w:div>
    <w:div w:id="1303577596">
      <w:bodyDiv w:val="1"/>
      <w:marLeft w:val="0"/>
      <w:marRight w:val="0"/>
      <w:marTop w:val="0"/>
      <w:marBottom w:val="0"/>
      <w:divBdr>
        <w:top w:val="none" w:sz="0" w:space="0" w:color="auto"/>
        <w:left w:val="none" w:sz="0" w:space="0" w:color="auto"/>
        <w:bottom w:val="none" w:sz="0" w:space="0" w:color="auto"/>
        <w:right w:val="none" w:sz="0" w:space="0" w:color="auto"/>
      </w:divBdr>
    </w:div>
    <w:div w:id="1330989247">
      <w:bodyDiv w:val="1"/>
      <w:marLeft w:val="0"/>
      <w:marRight w:val="0"/>
      <w:marTop w:val="0"/>
      <w:marBottom w:val="0"/>
      <w:divBdr>
        <w:top w:val="none" w:sz="0" w:space="0" w:color="auto"/>
        <w:left w:val="none" w:sz="0" w:space="0" w:color="auto"/>
        <w:bottom w:val="none" w:sz="0" w:space="0" w:color="auto"/>
        <w:right w:val="none" w:sz="0" w:space="0" w:color="auto"/>
      </w:divBdr>
    </w:div>
    <w:div w:id="1440488015">
      <w:bodyDiv w:val="1"/>
      <w:marLeft w:val="0"/>
      <w:marRight w:val="0"/>
      <w:marTop w:val="0"/>
      <w:marBottom w:val="0"/>
      <w:divBdr>
        <w:top w:val="none" w:sz="0" w:space="0" w:color="auto"/>
        <w:left w:val="none" w:sz="0" w:space="0" w:color="auto"/>
        <w:bottom w:val="none" w:sz="0" w:space="0" w:color="auto"/>
        <w:right w:val="none" w:sz="0" w:space="0" w:color="auto"/>
      </w:divBdr>
      <w:divsChild>
        <w:div w:id="1520197042">
          <w:marLeft w:val="0"/>
          <w:marRight w:val="0"/>
          <w:marTop w:val="0"/>
          <w:marBottom w:val="0"/>
          <w:divBdr>
            <w:top w:val="none" w:sz="0" w:space="0" w:color="auto"/>
            <w:left w:val="none" w:sz="0" w:space="0" w:color="auto"/>
            <w:bottom w:val="none" w:sz="0" w:space="0" w:color="auto"/>
            <w:right w:val="none" w:sz="0" w:space="0" w:color="auto"/>
          </w:divBdr>
        </w:div>
        <w:div w:id="470251091">
          <w:marLeft w:val="0"/>
          <w:marRight w:val="0"/>
          <w:marTop w:val="0"/>
          <w:marBottom w:val="0"/>
          <w:divBdr>
            <w:top w:val="none" w:sz="0" w:space="0" w:color="auto"/>
            <w:left w:val="none" w:sz="0" w:space="0" w:color="auto"/>
            <w:bottom w:val="none" w:sz="0" w:space="0" w:color="auto"/>
            <w:right w:val="none" w:sz="0" w:space="0" w:color="auto"/>
          </w:divBdr>
        </w:div>
        <w:div w:id="322204816">
          <w:marLeft w:val="0"/>
          <w:marRight w:val="0"/>
          <w:marTop w:val="0"/>
          <w:marBottom w:val="0"/>
          <w:divBdr>
            <w:top w:val="none" w:sz="0" w:space="0" w:color="auto"/>
            <w:left w:val="none" w:sz="0" w:space="0" w:color="auto"/>
            <w:bottom w:val="none" w:sz="0" w:space="0" w:color="auto"/>
            <w:right w:val="none" w:sz="0" w:space="0" w:color="auto"/>
          </w:divBdr>
          <w:divsChild>
            <w:div w:id="1728186366">
              <w:marLeft w:val="0"/>
              <w:marRight w:val="0"/>
              <w:marTop w:val="0"/>
              <w:marBottom w:val="0"/>
              <w:divBdr>
                <w:top w:val="none" w:sz="0" w:space="0" w:color="auto"/>
                <w:left w:val="none" w:sz="0" w:space="0" w:color="auto"/>
                <w:bottom w:val="none" w:sz="0" w:space="0" w:color="auto"/>
                <w:right w:val="none" w:sz="0" w:space="0" w:color="auto"/>
              </w:divBdr>
            </w:div>
            <w:div w:id="495458410">
              <w:marLeft w:val="0"/>
              <w:marRight w:val="0"/>
              <w:marTop w:val="0"/>
              <w:marBottom w:val="0"/>
              <w:divBdr>
                <w:top w:val="none" w:sz="0" w:space="0" w:color="auto"/>
                <w:left w:val="none" w:sz="0" w:space="0" w:color="auto"/>
                <w:bottom w:val="none" w:sz="0" w:space="0" w:color="auto"/>
                <w:right w:val="none" w:sz="0" w:space="0" w:color="auto"/>
              </w:divBdr>
            </w:div>
            <w:div w:id="1066221726">
              <w:marLeft w:val="0"/>
              <w:marRight w:val="0"/>
              <w:marTop w:val="0"/>
              <w:marBottom w:val="0"/>
              <w:divBdr>
                <w:top w:val="none" w:sz="0" w:space="0" w:color="auto"/>
                <w:left w:val="none" w:sz="0" w:space="0" w:color="auto"/>
                <w:bottom w:val="none" w:sz="0" w:space="0" w:color="auto"/>
                <w:right w:val="none" w:sz="0" w:space="0" w:color="auto"/>
              </w:divBdr>
              <w:divsChild>
                <w:div w:id="433475432">
                  <w:marLeft w:val="0"/>
                  <w:marRight w:val="0"/>
                  <w:marTop w:val="0"/>
                  <w:marBottom w:val="0"/>
                  <w:divBdr>
                    <w:top w:val="none" w:sz="0" w:space="0" w:color="auto"/>
                    <w:left w:val="none" w:sz="0" w:space="0" w:color="auto"/>
                    <w:bottom w:val="none" w:sz="0" w:space="0" w:color="auto"/>
                    <w:right w:val="none" w:sz="0" w:space="0" w:color="auto"/>
                  </w:divBdr>
                </w:div>
                <w:div w:id="152308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62607">
          <w:marLeft w:val="0"/>
          <w:marRight w:val="0"/>
          <w:marTop w:val="0"/>
          <w:marBottom w:val="0"/>
          <w:divBdr>
            <w:top w:val="none" w:sz="0" w:space="0" w:color="auto"/>
            <w:left w:val="none" w:sz="0" w:space="0" w:color="auto"/>
            <w:bottom w:val="none" w:sz="0" w:space="0" w:color="auto"/>
            <w:right w:val="none" w:sz="0" w:space="0" w:color="auto"/>
          </w:divBdr>
        </w:div>
        <w:div w:id="1133913623">
          <w:marLeft w:val="0"/>
          <w:marRight w:val="0"/>
          <w:marTop w:val="0"/>
          <w:marBottom w:val="0"/>
          <w:divBdr>
            <w:top w:val="none" w:sz="0" w:space="0" w:color="auto"/>
            <w:left w:val="none" w:sz="0" w:space="0" w:color="auto"/>
            <w:bottom w:val="none" w:sz="0" w:space="0" w:color="auto"/>
            <w:right w:val="none" w:sz="0" w:space="0" w:color="auto"/>
          </w:divBdr>
        </w:div>
      </w:divsChild>
    </w:div>
    <w:div w:id="1520388361">
      <w:bodyDiv w:val="1"/>
      <w:marLeft w:val="0"/>
      <w:marRight w:val="0"/>
      <w:marTop w:val="0"/>
      <w:marBottom w:val="0"/>
      <w:divBdr>
        <w:top w:val="none" w:sz="0" w:space="0" w:color="auto"/>
        <w:left w:val="none" w:sz="0" w:space="0" w:color="auto"/>
        <w:bottom w:val="none" w:sz="0" w:space="0" w:color="auto"/>
        <w:right w:val="none" w:sz="0" w:space="0" w:color="auto"/>
      </w:divBdr>
    </w:div>
    <w:div w:id="1561474786">
      <w:bodyDiv w:val="1"/>
      <w:marLeft w:val="0"/>
      <w:marRight w:val="0"/>
      <w:marTop w:val="0"/>
      <w:marBottom w:val="0"/>
      <w:divBdr>
        <w:top w:val="none" w:sz="0" w:space="0" w:color="auto"/>
        <w:left w:val="none" w:sz="0" w:space="0" w:color="auto"/>
        <w:bottom w:val="none" w:sz="0" w:space="0" w:color="auto"/>
        <w:right w:val="none" w:sz="0" w:space="0" w:color="auto"/>
      </w:divBdr>
    </w:div>
    <w:div w:id="1575159114">
      <w:bodyDiv w:val="1"/>
      <w:marLeft w:val="0"/>
      <w:marRight w:val="0"/>
      <w:marTop w:val="0"/>
      <w:marBottom w:val="0"/>
      <w:divBdr>
        <w:top w:val="none" w:sz="0" w:space="0" w:color="auto"/>
        <w:left w:val="none" w:sz="0" w:space="0" w:color="auto"/>
        <w:bottom w:val="none" w:sz="0" w:space="0" w:color="auto"/>
        <w:right w:val="none" w:sz="0" w:space="0" w:color="auto"/>
      </w:divBdr>
    </w:div>
    <w:div w:id="1662733531">
      <w:bodyDiv w:val="1"/>
      <w:marLeft w:val="0"/>
      <w:marRight w:val="0"/>
      <w:marTop w:val="0"/>
      <w:marBottom w:val="0"/>
      <w:divBdr>
        <w:top w:val="none" w:sz="0" w:space="0" w:color="auto"/>
        <w:left w:val="none" w:sz="0" w:space="0" w:color="auto"/>
        <w:bottom w:val="none" w:sz="0" w:space="0" w:color="auto"/>
        <w:right w:val="none" w:sz="0" w:space="0" w:color="auto"/>
      </w:divBdr>
    </w:div>
    <w:div w:id="1708067337">
      <w:bodyDiv w:val="1"/>
      <w:marLeft w:val="0"/>
      <w:marRight w:val="0"/>
      <w:marTop w:val="0"/>
      <w:marBottom w:val="0"/>
      <w:divBdr>
        <w:top w:val="none" w:sz="0" w:space="0" w:color="auto"/>
        <w:left w:val="none" w:sz="0" w:space="0" w:color="auto"/>
        <w:bottom w:val="none" w:sz="0" w:space="0" w:color="auto"/>
        <w:right w:val="none" w:sz="0" w:space="0" w:color="auto"/>
      </w:divBdr>
    </w:div>
    <w:div w:id="1732655382">
      <w:bodyDiv w:val="1"/>
      <w:marLeft w:val="0"/>
      <w:marRight w:val="0"/>
      <w:marTop w:val="0"/>
      <w:marBottom w:val="0"/>
      <w:divBdr>
        <w:top w:val="none" w:sz="0" w:space="0" w:color="auto"/>
        <w:left w:val="none" w:sz="0" w:space="0" w:color="auto"/>
        <w:bottom w:val="none" w:sz="0" w:space="0" w:color="auto"/>
        <w:right w:val="none" w:sz="0" w:space="0" w:color="auto"/>
      </w:divBdr>
      <w:divsChild>
        <w:div w:id="237712162">
          <w:marLeft w:val="0"/>
          <w:marRight w:val="0"/>
          <w:marTop w:val="0"/>
          <w:marBottom w:val="0"/>
          <w:divBdr>
            <w:top w:val="none" w:sz="0" w:space="0" w:color="auto"/>
            <w:left w:val="none" w:sz="0" w:space="0" w:color="auto"/>
            <w:bottom w:val="none" w:sz="0" w:space="0" w:color="auto"/>
            <w:right w:val="none" w:sz="0" w:space="0" w:color="auto"/>
          </w:divBdr>
        </w:div>
        <w:div w:id="844830790">
          <w:marLeft w:val="0"/>
          <w:marRight w:val="0"/>
          <w:marTop w:val="0"/>
          <w:marBottom w:val="0"/>
          <w:divBdr>
            <w:top w:val="none" w:sz="0" w:space="0" w:color="auto"/>
            <w:left w:val="none" w:sz="0" w:space="0" w:color="auto"/>
            <w:bottom w:val="none" w:sz="0" w:space="0" w:color="auto"/>
            <w:right w:val="none" w:sz="0" w:space="0" w:color="auto"/>
          </w:divBdr>
        </w:div>
        <w:div w:id="1186941721">
          <w:marLeft w:val="0"/>
          <w:marRight w:val="0"/>
          <w:marTop w:val="0"/>
          <w:marBottom w:val="0"/>
          <w:divBdr>
            <w:top w:val="none" w:sz="0" w:space="0" w:color="auto"/>
            <w:left w:val="none" w:sz="0" w:space="0" w:color="auto"/>
            <w:bottom w:val="none" w:sz="0" w:space="0" w:color="auto"/>
            <w:right w:val="none" w:sz="0" w:space="0" w:color="auto"/>
          </w:divBdr>
        </w:div>
        <w:div w:id="250355634">
          <w:marLeft w:val="0"/>
          <w:marRight w:val="0"/>
          <w:marTop w:val="0"/>
          <w:marBottom w:val="0"/>
          <w:divBdr>
            <w:top w:val="none" w:sz="0" w:space="0" w:color="auto"/>
            <w:left w:val="none" w:sz="0" w:space="0" w:color="auto"/>
            <w:bottom w:val="none" w:sz="0" w:space="0" w:color="auto"/>
            <w:right w:val="none" w:sz="0" w:space="0" w:color="auto"/>
          </w:divBdr>
        </w:div>
        <w:div w:id="85662370">
          <w:marLeft w:val="0"/>
          <w:marRight w:val="0"/>
          <w:marTop w:val="0"/>
          <w:marBottom w:val="0"/>
          <w:divBdr>
            <w:top w:val="none" w:sz="0" w:space="0" w:color="auto"/>
            <w:left w:val="none" w:sz="0" w:space="0" w:color="auto"/>
            <w:bottom w:val="none" w:sz="0" w:space="0" w:color="auto"/>
            <w:right w:val="none" w:sz="0" w:space="0" w:color="auto"/>
          </w:divBdr>
        </w:div>
        <w:div w:id="1135833456">
          <w:marLeft w:val="0"/>
          <w:marRight w:val="0"/>
          <w:marTop w:val="0"/>
          <w:marBottom w:val="0"/>
          <w:divBdr>
            <w:top w:val="none" w:sz="0" w:space="0" w:color="auto"/>
            <w:left w:val="none" w:sz="0" w:space="0" w:color="auto"/>
            <w:bottom w:val="none" w:sz="0" w:space="0" w:color="auto"/>
            <w:right w:val="none" w:sz="0" w:space="0" w:color="auto"/>
          </w:divBdr>
        </w:div>
        <w:div w:id="256014888">
          <w:marLeft w:val="0"/>
          <w:marRight w:val="0"/>
          <w:marTop w:val="0"/>
          <w:marBottom w:val="0"/>
          <w:divBdr>
            <w:top w:val="none" w:sz="0" w:space="0" w:color="auto"/>
            <w:left w:val="none" w:sz="0" w:space="0" w:color="auto"/>
            <w:bottom w:val="none" w:sz="0" w:space="0" w:color="auto"/>
            <w:right w:val="none" w:sz="0" w:space="0" w:color="auto"/>
          </w:divBdr>
        </w:div>
        <w:div w:id="8802630">
          <w:marLeft w:val="0"/>
          <w:marRight w:val="0"/>
          <w:marTop w:val="0"/>
          <w:marBottom w:val="0"/>
          <w:divBdr>
            <w:top w:val="none" w:sz="0" w:space="0" w:color="auto"/>
            <w:left w:val="none" w:sz="0" w:space="0" w:color="auto"/>
            <w:bottom w:val="none" w:sz="0" w:space="0" w:color="auto"/>
            <w:right w:val="none" w:sz="0" w:space="0" w:color="auto"/>
          </w:divBdr>
        </w:div>
        <w:div w:id="2025980288">
          <w:marLeft w:val="0"/>
          <w:marRight w:val="0"/>
          <w:marTop w:val="0"/>
          <w:marBottom w:val="0"/>
          <w:divBdr>
            <w:top w:val="none" w:sz="0" w:space="0" w:color="auto"/>
            <w:left w:val="none" w:sz="0" w:space="0" w:color="auto"/>
            <w:bottom w:val="none" w:sz="0" w:space="0" w:color="auto"/>
            <w:right w:val="none" w:sz="0" w:space="0" w:color="auto"/>
          </w:divBdr>
        </w:div>
        <w:div w:id="422268208">
          <w:marLeft w:val="0"/>
          <w:marRight w:val="0"/>
          <w:marTop w:val="0"/>
          <w:marBottom w:val="0"/>
          <w:divBdr>
            <w:top w:val="none" w:sz="0" w:space="0" w:color="auto"/>
            <w:left w:val="none" w:sz="0" w:space="0" w:color="auto"/>
            <w:bottom w:val="none" w:sz="0" w:space="0" w:color="auto"/>
            <w:right w:val="none" w:sz="0" w:space="0" w:color="auto"/>
          </w:divBdr>
        </w:div>
        <w:div w:id="1111123560">
          <w:marLeft w:val="0"/>
          <w:marRight w:val="0"/>
          <w:marTop w:val="0"/>
          <w:marBottom w:val="0"/>
          <w:divBdr>
            <w:top w:val="none" w:sz="0" w:space="0" w:color="auto"/>
            <w:left w:val="none" w:sz="0" w:space="0" w:color="auto"/>
            <w:bottom w:val="none" w:sz="0" w:space="0" w:color="auto"/>
            <w:right w:val="none" w:sz="0" w:space="0" w:color="auto"/>
          </w:divBdr>
        </w:div>
        <w:div w:id="1330213921">
          <w:marLeft w:val="0"/>
          <w:marRight w:val="0"/>
          <w:marTop w:val="0"/>
          <w:marBottom w:val="0"/>
          <w:divBdr>
            <w:top w:val="none" w:sz="0" w:space="0" w:color="auto"/>
            <w:left w:val="none" w:sz="0" w:space="0" w:color="auto"/>
            <w:bottom w:val="none" w:sz="0" w:space="0" w:color="auto"/>
            <w:right w:val="none" w:sz="0" w:space="0" w:color="auto"/>
          </w:divBdr>
        </w:div>
        <w:div w:id="1022820611">
          <w:marLeft w:val="0"/>
          <w:marRight w:val="0"/>
          <w:marTop w:val="0"/>
          <w:marBottom w:val="0"/>
          <w:divBdr>
            <w:top w:val="none" w:sz="0" w:space="0" w:color="auto"/>
            <w:left w:val="none" w:sz="0" w:space="0" w:color="auto"/>
            <w:bottom w:val="none" w:sz="0" w:space="0" w:color="auto"/>
            <w:right w:val="none" w:sz="0" w:space="0" w:color="auto"/>
          </w:divBdr>
        </w:div>
      </w:divsChild>
    </w:div>
    <w:div w:id="1734037681">
      <w:bodyDiv w:val="1"/>
      <w:marLeft w:val="0"/>
      <w:marRight w:val="0"/>
      <w:marTop w:val="0"/>
      <w:marBottom w:val="0"/>
      <w:divBdr>
        <w:top w:val="none" w:sz="0" w:space="0" w:color="auto"/>
        <w:left w:val="none" w:sz="0" w:space="0" w:color="auto"/>
        <w:bottom w:val="none" w:sz="0" w:space="0" w:color="auto"/>
        <w:right w:val="none" w:sz="0" w:space="0" w:color="auto"/>
      </w:divBdr>
      <w:divsChild>
        <w:div w:id="543758057">
          <w:marLeft w:val="0"/>
          <w:marRight w:val="0"/>
          <w:marTop w:val="0"/>
          <w:marBottom w:val="0"/>
          <w:divBdr>
            <w:top w:val="none" w:sz="0" w:space="0" w:color="auto"/>
            <w:left w:val="none" w:sz="0" w:space="0" w:color="auto"/>
            <w:bottom w:val="none" w:sz="0" w:space="0" w:color="auto"/>
            <w:right w:val="none" w:sz="0" w:space="0" w:color="auto"/>
          </w:divBdr>
        </w:div>
      </w:divsChild>
    </w:div>
    <w:div w:id="1752854395">
      <w:bodyDiv w:val="1"/>
      <w:marLeft w:val="0"/>
      <w:marRight w:val="0"/>
      <w:marTop w:val="0"/>
      <w:marBottom w:val="0"/>
      <w:divBdr>
        <w:top w:val="none" w:sz="0" w:space="0" w:color="auto"/>
        <w:left w:val="none" w:sz="0" w:space="0" w:color="auto"/>
        <w:bottom w:val="none" w:sz="0" w:space="0" w:color="auto"/>
        <w:right w:val="none" w:sz="0" w:space="0" w:color="auto"/>
      </w:divBdr>
    </w:div>
    <w:div w:id="1786194056">
      <w:bodyDiv w:val="1"/>
      <w:marLeft w:val="0"/>
      <w:marRight w:val="0"/>
      <w:marTop w:val="0"/>
      <w:marBottom w:val="0"/>
      <w:divBdr>
        <w:top w:val="none" w:sz="0" w:space="0" w:color="auto"/>
        <w:left w:val="none" w:sz="0" w:space="0" w:color="auto"/>
        <w:bottom w:val="none" w:sz="0" w:space="0" w:color="auto"/>
        <w:right w:val="none" w:sz="0" w:space="0" w:color="auto"/>
      </w:divBdr>
    </w:div>
    <w:div w:id="1833524402">
      <w:bodyDiv w:val="1"/>
      <w:marLeft w:val="0"/>
      <w:marRight w:val="0"/>
      <w:marTop w:val="0"/>
      <w:marBottom w:val="0"/>
      <w:divBdr>
        <w:top w:val="none" w:sz="0" w:space="0" w:color="auto"/>
        <w:left w:val="none" w:sz="0" w:space="0" w:color="auto"/>
        <w:bottom w:val="none" w:sz="0" w:space="0" w:color="auto"/>
        <w:right w:val="none" w:sz="0" w:space="0" w:color="auto"/>
      </w:divBdr>
      <w:divsChild>
        <w:div w:id="1988314236">
          <w:marLeft w:val="0"/>
          <w:marRight w:val="0"/>
          <w:marTop w:val="0"/>
          <w:marBottom w:val="0"/>
          <w:divBdr>
            <w:top w:val="none" w:sz="0" w:space="0" w:color="auto"/>
            <w:left w:val="none" w:sz="0" w:space="0" w:color="auto"/>
            <w:bottom w:val="none" w:sz="0" w:space="0" w:color="auto"/>
            <w:right w:val="none" w:sz="0" w:space="0" w:color="auto"/>
          </w:divBdr>
          <w:divsChild>
            <w:div w:id="19699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2419">
      <w:bodyDiv w:val="1"/>
      <w:marLeft w:val="0"/>
      <w:marRight w:val="0"/>
      <w:marTop w:val="0"/>
      <w:marBottom w:val="0"/>
      <w:divBdr>
        <w:top w:val="none" w:sz="0" w:space="0" w:color="auto"/>
        <w:left w:val="none" w:sz="0" w:space="0" w:color="auto"/>
        <w:bottom w:val="none" w:sz="0" w:space="0" w:color="auto"/>
        <w:right w:val="none" w:sz="0" w:space="0" w:color="auto"/>
      </w:divBdr>
    </w:div>
    <w:div w:id="1850675034">
      <w:bodyDiv w:val="1"/>
      <w:marLeft w:val="0"/>
      <w:marRight w:val="0"/>
      <w:marTop w:val="0"/>
      <w:marBottom w:val="0"/>
      <w:divBdr>
        <w:top w:val="none" w:sz="0" w:space="0" w:color="auto"/>
        <w:left w:val="none" w:sz="0" w:space="0" w:color="auto"/>
        <w:bottom w:val="none" w:sz="0" w:space="0" w:color="auto"/>
        <w:right w:val="none" w:sz="0" w:space="0" w:color="auto"/>
      </w:divBdr>
    </w:div>
    <w:div w:id="1939218559">
      <w:bodyDiv w:val="1"/>
      <w:marLeft w:val="0"/>
      <w:marRight w:val="0"/>
      <w:marTop w:val="0"/>
      <w:marBottom w:val="0"/>
      <w:divBdr>
        <w:top w:val="none" w:sz="0" w:space="0" w:color="auto"/>
        <w:left w:val="none" w:sz="0" w:space="0" w:color="auto"/>
        <w:bottom w:val="none" w:sz="0" w:space="0" w:color="auto"/>
        <w:right w:val="none" w:sz="0" w:space="0" w:color="auto"/>
      </w:divBdr>
    </w:div>
    <w:div w:id="1973898208">
      <w:bodyDiv w:val="1"/>
      <w:marLeft w:val="0"/>
      <w:marRight w:val="0"/>
      <w:marTop w:val="0"/>
      <w:marBottom w:val="0"/>
      <w:divBdr>
        <w:top w:val="none" w:sz="0" w:space="0" w:color="auto"/>
        <w:left w:val="none" w:sz="0" w:space="0" w:color="auto"/>
        <w:bottom w:val="none" w:sz="0" w:space="0" w:color="auto"/>
        <w:right w:val="none" w:sz="0" w:space="0" w:color="auto"/>
      </w:divBdr>
      <w:divsChild>
        <w:div w:id="1131632964">
          <w:blockQuote w:val="1"/>
          <w:marLeft w:val="30"/>
          <w:marRight w:val="720"/>
          <w:marTop w:val="100"/>
          <w:marBottom w:val="100"/>
          <w:divBdr>
            <w:top w:val="none" w:sz="0" w:space="0" w:color="auto"/>
            <w:left w:val="single" w:sz="12" w:space="9" w:color="0000FF"/>
            <w:bottom w:val="none" w:sz="0" w:space="0" w:color="auto"/>
            <w:right w:val="none" w:sz="0" w:space="0" w:color="auto"/>
          </w:divBdr>
        </w:div>
        <w:div w:id="891381283">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 w:id="2065904085">
      <w:bodyDiv w:val="1"/>
      <w:marLeft w:val="0"/>
      <w:marRight w:val="0"/>
      <w:marTop w:val="0"/>
      <w:marBottom w:val="0"/>
      <w:divBdr>
        <w:top w:val="none" w:sz="0" w:space="0" w:color="auto"/>
        <w:left w:val="none" w:sz="0" w:space="0" w:color="auto"/>
        <w:bottom w:val="none" w:sz="0" w:space="0" w:color="auto"/>
        <w:right w:val="none" w:sz="0" w:space="0" w:color="auto"/>
      </w:divBdr>
      <w:divsChild>
        <w:div w:id="820120718">
          <w:marLeft w:val="0"/>
          <w:marRight w:val="0"/>
          <w:marTop w:val="0"/>
          <w:marBottom w:val="0"/>
          <w:divBdr>
            <w:top w:val="none" w:sz="0" w:space="0" w:color="auto"/>
            <w:left w:val="none" w:sz="0" w:space="0" w:color="auto"/>
            <w:bottom w:val="none" w:sz="0" w:space="0" w:color="auto"/>
            <w:right w:val="none" w:sz="0" w:space="0" w:color="auto"/>
          </w:divBdr>
        </w:div>
        <w:div w:id="1036080351">
          <w:marLeft w:val="0"/>
          <w:marRight w:val="0"/>
          <w:marTop w:val="0"/>
          <w:marBottom w:val="0"/>
          <w:divBdr>
            <w:top w:val="none" w:sz="0" w:space="0" w:color="auto"/>
            <w:left w:val="none" w:sz="0" w:space="0" w:color="auto"/>
            <w:bottom w:val="none" w:sz="0" w:space="0" w:color="auto"/>
            <w:right w:val="none" w:sz="0" w:space="0" w:color="auto"/>
          </w:divBdr>
        </w:div>
        <w:div w:id="594366383">
          <w:marLeft w:val="0"/>
          <w:marRight w:val="0"/>
          <w:marTop w:val="0"/>
          <w:marBottom w:val="0"/>
          <w:divBdr>
            <w:top w:val="none" w:sz="0" w:space="0" w:color="auto"/>
            <w:left w:val="none" w:sz="0" w:space="0" w:color="auto"/>
            <w:bottom w:val="none" w:sz="0" w:space="0" w:color="auto"/>
            <w:right w:val="none" w:sz="0" w:space="0" w:color="auto"/>
          </w:divBdr>
        </w:div>
        <w:div w:id="320355373">
          <w:marLeft w:val="142"/>
          <w:marRight w:val="0"/>
          <w:marTop w:val="0"/>
          <w:marBottom w:val="0"/>
          <w:divBdr>
            <w:top w:val="none" w:sz="0" w:space="0" w:color="auto"/>
            <w:left w:val="none" w:sz="0" w:space="0" w:color="auto"/>
            <w:bottom w:val="none" w:sz="0" w:space="0" w:color="auto"/>
            <w:right w:val="none" w:sz="0" w:space="0" w:color="auto"/>
          </w:divBdr>
        </w:div>
        <w:div w:id="442501310">
          <w:marLeft w:val="142"/>
          <w:marRight w:val="0"/>
          <w:marTop w:val="0"/>
          <w:marBottom w:val="0"/>
          <w:divBdr>
            <w:top w:val="none" w:sz="0" w:space="0" w:color="auto"/>
            <w:left w:val="none" w:sz="0" w:space="0" w:color="auto"/>
            <w:bottom w:val="none" w:sz="0" w:space="0" w:color="auto"/>
            <w:right w:val="none" w:sz="0" w:space="0" w:color="auto"/>
          </w:divBdr>
        </w:div>
        <w:div w:id="1521815045">
          <w:marLeft w:val="142"/>
          <w:marRight w:val="0"/>
          <w:marTop w:val="0"/>
          <w:marBottom w:val="0"/>
          <w:divBdr>
            <w:top w:val="none" w:sz="0" w:space="0" w:color="auto"/>
            <w:left w:val="none" w:sz="0" w:space="0" w:color="auto"/>
            <w:bottom w:val="none" w:sz="0" w:space="0" w:color="auto"/>
            <w:right w:val="none" w:sz="0" w:space="0" w:color="auto"/>
          </w:divBdr>
        </w:div>
        <w:div w:id="1375816011">
          <w:marLeft w:val="142"/>
          <w:marRight w:val="0"/>
          <w:marTop w:val="0"/>
          <w:marBottom w:val="0"/>
          <w:divBdr>
            <w:top w:val="none" w:sz="0" w:space="0" w:color="auto"/>
            <w:left w:val="none" w:sz="0" w:space="0" w:color="auto"/>
            <w:bottom w:val="none" w:sz="0" w:space="0" w:color="auto"/>
            <w:right w:val="none" w:sz="0" w:space="0" w:color="auto"/>
          </w:divBdr>
        </w:div>
        <w:div w:id="1753696485">
          <w:marLeft w:val="142"/>
          <w:marRight w:val="0"/>
          <w:marTop w:val="0"/>
          <w:marBottom w:val="0"/>
          <w:divBdr>
            <w:top w:val="none" w:sz="0" w:space="0" w:color="auto"/>
            <w:left w:val="none" w:sz="0" w:space="0" w:color="auto"/>
            <w:bottom w:val="none" w:sz="0" w:space="0" w:color="auto"/>
            <w:right w:val="none" w:sz="0" w:space="0" w:color="auto"/>
          </w:divBdr>
        </w:div>
        <w:div w:id="66541297">
          <w:marLeft w:val="142"/>
          <w:marRight w:val="0"/>
          <w:marTop w:val="0"/>
          <w:marBottom w:val="0"/>
          <w:divBdr>
            <w:top w:val="none" w:sz="0" w:space="0" w:color="auto"/>
            <w:left w:val="none" w:sz="0" w:space="0" w:color="auto"/>
            <w:bottom w:val="none" w:sz="0" w:space="0" w:color="auto"/>
            <w:right w:val="none" w:sz="0" w:space="0" w:color="auto"/>
          </w:divBdr>
        </w:div>
        <w:div w:id="2130315334">
          <w:marLeft w:val="142"/>
          <w:marRight w:val="0"/>
          <w:marTop w:val="0"/>
          <w:marBottom w:val="0"/>
          <w:divBdr>
            <w:top w:val="none" w:sz="0" w:space="0" w:color="auto"/>
            <w:left w:val="none" w:sz="0" w:space="0" w:color="auto"/>
            <w:bottom w:val="none" w:sz="0" w:space="0" w:color="auto"/>
            <w:right w:val="none" w:sz="0" w:space="0" w:color="auto"/>
          </w:divBdr>
        </w:div>
        <w:div w:id="1850635788">
          <w:marLeft w:val="142"/>
          <w:marRight w:val="0"/>
          <w:marTop w:val="0"/>
          <w:marBottom w:val="0"/>
          <w:divBdr>
            <w:top w:val="none" w:sz="0" w:space="0" w:color="auto"/>
            <w:left w:val="none" w:sz="0" w:space="0" w:color="auto"/>
            <w:bottom w:val="none" w:sz="0" w:space="0" w:color="auto"/>
            <w:right w:val="none" w:sz="0" w:space="0" w:color="auto"/>
          </w:divBdr>
        </w:div>
        <w:div w:id="1518275264">
          <w:marLeft w:val="142"/>
          <w:marRight w:val="0"/>
          <w:marTop w:val="0"/>
          <w:marBottom w:val="0"/>
          <w:divBdr>
            <w:top w:val="none" w:sz="0" w:space="0" w:color="auto"/>
            <w:left w:val="none" w:sz="0" w:space="0" w:color="auto"/>
            <w:bottom w:val="none" w:sz="0" w:space="0" w:color="auto"/>
            <w:right w:val="none" w:sz="0" w:space="0" w:color="auto"/>
          </w:divBdr>
        </w:div>
        <w:div w:id="1731463869">
          <w:marLeft w:val="142"/>
          <w:marRight w:val="0"/>
          <w:marTop w:val="0"/>
          <w:marBottom w:val="0"/>
          <w:divBdr>
            <w:top w:val="none" w:sz="0" w:space="0" w:color="auto"/>
            <w:left w:val="none" w:sz="0" w:space="0" w:color="auto"/>
            <w:bottom w:val="none" w:sz="0" w:space="0" w:color="auto"/>
            <w:right w:val="none" w:sz="0" w:space="0" w:color="auto"/>
          </w:divBdr>
        </w:div>
        <w:div w:id="1956981015">
          <w:marLeft w:val="142"/>
          <w:marRight w:val="0"/>
          <w:marTop w:val="0"/>
          <w:marBottom w:val="0"/>
          <w:divBdr>
            <w:top w:val="none" w:sz="0" w:space="0" w:color="auto"/>
            <w:left w:val="none" w:sz="0" w:space="0" w:color="auto"/>
            <w:bottom w:val="none" w:sz="0" w:space="0" w:color="auto"/>
            <w:right w:val="none" w:sz="0" w:space="0" w:color="auto"/>
          </w:divBdr>
        </w:div>
        <w:div w:id="1755584534">
          <w:marLeft w:val="142"/>
          <w:marRight w:val="0"/>
          <w:marTop w:val="0"/>
          <w:marBottom w:val="0"/>
          <w:divBdr>
            <w:top w:val="none" w:sz="0" w:space="0" w:color="auto"/>
            <w:left w:val="none" w:sz="0" w:space="0" w:color="auto"/>
            <w:bottom w:val="none" w:sz="0" w:space="0" w:color="auto"/>
            <w:right w:val="none" w:sz="0" w:space="0" w:color="auto"/>
          </w:divBdr>
        </w:div>
        <w:div w:id="260795774">
          <w:marLeft w:val="142"/>
          <w:marRight w:val="0"/>
          <w:marTop w:val="0"/>
          <w:marBottom w:val="0"/>
          <w:divBdr>
            <w:top w:val="none" w:sz="0" w:space="0" w:color="auto"/>
            <w:left w:val="none" w:sz="0" w:space="0" w:color="auto"/>
            <w:bottom w:val="none" w:sz="0" w:space="0" w:color="auto"/>
            <w:right w:val="none" w:sz="0" w:space="0" w:color="auto"/>
          </w:divBdr>
        </w:div>
        <w:div w:id="443235815">
          <w:marLeft w:val="142"/>
          <w:marRight w:val="0"/>
          <w:marTop w:val="0"/>
          <w:marBottom w:val="0"/>
          <w:divBdr>
            <w:top w:val="none" w:sz="0" w:space="0" w:color="auto"/>
            <w:left w:val="none" w:sz="0" w:space="0" w:color="auto"/>
            <w:bottom w:val="none" w:sz="0" w:space="0" w:color="auto"/>
            <w:right w:val="none" w:sz="0" w:space="0" w:color="auto"/>
          </w:divBdr>
        </w:div>
        <w:div w:id="1671834353">
          <w:marLeft w:val="142"/>
          <w:marRight w:val="0"/>
          <w:marTop w:val="0"/>
          <w:marBottom w:val="0"/>
          <w:divBdr>
            <w:top w:val="none" w:sz="0" w:space="0" w:color="auto"/>
            <w:left w:val="none" w:sz="0" w:space="0" w:color="auto"/>
            <w:bottom w:val="none" w:sz="0" w:space="0" w:color="auto"/>
            <w:right w:val="none" w:sz="0" w:space="0" w:color="auto"/>
          </w:divBdr>
        </w:div>
      </w:divsChild>
    </w:div>
    <w:div w:id="2122920648">
      <w:bodyDiv w:val="1"/>
      <w:marLeft w:val="0"/>
      <w:marRight w:val="0"/>
      <w:marTop w:val="0"/>
      <w:marBottom w:val="0"/>
      <w:divBdr>
        <w:top w:val="none" w:sz="0" w:space="0" w:color="auto"/>
        <w:left w:val="none" w:sz="0" w:space="0" w:color="auto"/>
        <w:bottom w:val="none" w:sz="0" w:space="0" w:color="auto"/>
        <w:right w:val="none" w:sz="0" w:space="0" w:color="auto"/>
      </w:divBdr>
      <w:divsChild>
        <w:div w:id="698361922">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31868088">
              <w:blockQuote w:val="1"/>
              <w:marLeft w:val="30"/>
              <w:marRight w:val="720"/>
              <w:marTop w:val="100"/>
              <w:marBottom w:val="100"/>
              <w:divBdr>
                <w:top w:val="none" w:sz="0" w:space="0" w:color="auto"/>
                <w:left w:val="single" w:sz="12" w:space="9" w:color="0000FF"/>
                <w:bottom w:val="none" w:sz="0" w:space="0" w:color="auto"/>
                <w:right w:val="none" w:sz="0" w:space="0" w:color="auto"/>
              </w:divBdr>
            </w:div>
            <w:div w:id="415126865">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lamop.univ-paris1.fr/W3/JosephMorsel/Sportdecombat.pdf" TargetMode="External"/><Relationship Id="rId26" Type="http://schemas.openxmlformats.org/officeDocument/2006/relationships/hyperlink" Target="https://www.bulac.fr/sinscrire" TargetMode="External"/><Relationship Id="rId39" Type="http://schemas.openxmlformats.org/officeDocument/2006/relationships/hyperlink" Target="https://gallica.bnf.fr/html/und/presse-et-revues/presse-et-revues" TargetMode="External"/><Relationship Id="rId21" Type="http://schemas.openxmlformats.org/officeDocument/2006/relationships/hyperlink" Target="https://catalogue.bis-sorbonne.fr/search~S9*frf?/Xtraites+n%7bu00E9%7dgri%7bu00E8%7dres&amp;searchscope=9&amp;SORT=D/Xtraites+n%7bu00E9%7dgri%7bu00E8%7dres&amp;searchscope=9&amp;SORT=D&amp;SUBKEY=traites+n%C3%A9gri%C3%A8res/1%2C15%2C15%2CB/frameset&amp;FF=Xtraites+n%7bu00E9%7dgri%7bu00E8%7dres&amp;searchscope=9&amp;SORT=D&amp;1%2C1%2C" TargetMode="External"/><Relationship Id="rId34" Type="http://schemas.openxmlformats.org/officeDocument/2006/relationships/hyperlink" Target="http://fr.wikipedia.org/w/index.php?title=Seli_Arslan&amp;action=edit&amp;redlink=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000/mefrm.5450" TargetMode="External"/><Relationship Id="rId20" Type="http://schemas.openxmlformats.org/officeDocument/2006/relationships/hyperlink" Target="https://shs.cairn.info/revue-historique-2025-1-page-89?lang=fr" TargetMode="External"/><Relationship Id="rId29" Type="http://schemas.openxmlformats.org/officeDocument/2006/relationships/hyperlink" Target="http://theleme.enc.sorbonne.fr/" TargetMode="External"/><Relationship Id="rId41" Type="http://schemas.openxmlformats.org/officeDocument/2006/relationships/hyperlink" Target="https://master-humanites-numeriques.pantheonsorbonn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dirufr09@univ-paris1.fr" TargetMode="External"/><Relationship Id="rId24" Type="http://schemas.openxmlformats.org/officeDocument/2006/relationships/hyperlink" Target="https://www.sahistory.org.za/" TargetMode="External"/><Relationship Id="rId32" Type="http://schemas.openxmlformats.org/officeDocument/2006/relationships/hyperlink" Target="http://www.histoire.u-bordeaux3.fr/tud01" TargetMode="External"/><Relationship Id="rId37" Type="http://schemas.openxmlformats.org/officeDocument/2006/relationships/hyperlink" Target="http://www.medias19.org/" TargetMode="External"/><Relationship Id="rId40" Type="http://schemas.openxmlformats.org/officeDocument/2006/relationships/hyperlink" Target="http://www.caricaturesetcaricature.com/" TargetMode="External"/><Relationship Id="rId5" Type="http://schemas.openxmlformats.org/officeDocument/2006/relationships/webSettings" Target="webSettings.xml"/><Relationship Id="rId15" Type="http://schemas.openxmlformats.org/officeDocument/2006/relationships/hyperlink" Target="https://www.college-de-france.fr/fr/chaire/vinciane-pirenne-delforge-religion-histoire-et-societe-dans-le-monde-grec-antique-chaire-statutaire" TargetMode="External"/><Relationship Id="rId23" Type="http://schemas.openxmlformats.org/officeDocument/2006/relationships/hyperlink" Target="http://www.laviedesidees.fr/Le-fantome-de-la-frontiere-hongroise.html" TargetMode="External"/><Relationship Id="rId28" Type="http://schemas.openxmlformats.org/officeDocument/2006/relationships/hyperlink" Target="https://brill.com/display/serial/GAS" TargetMode="External"/><Relationship Id="rId36" Type="http://schemas.openxmlformats.org/officeDocument/2006/relationships/hyperlink" Target="https://hal.archives-ouvertes.fr/tel-02073436/file/TheseSofianeTaouchichet.pdf" TargetMode="External"/><Relationship Id="rId10" Type="http://schemas.openxmlformats.org/officeDocument/2006/relationships/hyperlink" Target="mailto:raufr09@univ-paris1.fr" TargetMode="External"/><Relationship Id="rId19" Type="http://schemas.openxmlformats.org/officeDocument/2006/relationships/hyperlink" Target="https://essentiels.bnf.fr/fr/societe/concevoir-les-societes/9f51c898-fef2-40d3-b180-2ab046568757-utopies" TargetMode="External"/><Relationship Id="rId31" Type="http://schemas.openxmlformats.org/officeDocument/2006/relationships/hyperlink" Target="http://fr.wikipedia.org/wiki/Groupe_Flammarion" TargetMode="External"/><Relationship Id="rId4" Type="http://schemas.openxmlformats.org/officeDocument/2006/relationships/settings" Target="settings.xml"/><Relationship Id="rId9" Type="http://schemas.openxmlformats.org/officeDocument/2006/relationships/hyperlink" Target="mailto:dirufr09@univ-paris1.fr" TargetMode="External"/><Relationship Id="rId14" Type="http://schemas.openxmlformats.org/officeDocument/2006/relationships/hyperlink" Target="https://langues.pantheonsorbonne.fr/" TargetMode="External"/><Relationship Id="rId22" Type="http://schemas.openxmlformats.org/officeDocument/2006/relationships/hyperlink" Target="https://archive.org/details/radicalenlighten0000isra" TargetMode="External"/><Relationship Id="rId27" Type="http://schemas.openxmlformats.org/officeDocument/2006/relationships/hyperlink" Target="https://referenceworks.brill.com/display/db/broo" TargetMode="External"/><Relationship Id="rId30" Type="http://schemas.openxmlformats.org/officeDocument/2006/relationships/hyperlink" Target="http://books.openedition.org/igpde/2245" TargetMode="External"/><Relationship Id="rId35" Type="http://schemas.openxmlformats.org/officeDocument/2006/relationships/hyperlink" Target="http://fr.wikipedia.org/w/index.php?title=Nouveau_Monde_%28%C3%A9diteur%29&amp;action=edit&amp;redlink=1"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scol3m1@univ-paris1.fr/" TargetMode="External"/><Relationship Id="rId17" Type="http://schemas.openxmlformats.org/officeDocument/2006/relationships/hyperlink" Target="https://journals.openedition.org/cliothemis/84" TargetMode="External"/><Relationship Id="rId25" Type="http://schemas.openxmlformats.org/officeDocument/2006/relationships/hyperlink" Target="http://web.philo.ulg.ac.be/antiquite/wp-content/uploads/sites/5/2017/04/LRobert.pdf" TargetMode="External"/><Relationship Id="rId33" Type="http://schemas.openxmlformats.org/officeDocument/2006/relationships/hyperlink" Target="http://www.caricatureetcaricature.com" TargetMode="External"/><Relationship Id="rId38" Type="http://schemas.openxmlformats.org/officeDocument/2006/relationships/hyperlink" Target="https://prelia.hypotheses.org/" TargetMode="External"/></Relationships>
</file>

<file path=word/theme/theme1.xml><?xml version="1.0" encoding="utf-8"?>
<a:theme xmlns:a="http://schemas.openxmlformats.org/drawingml/2006/main" name="Galerie">
  <a:themeElements>
    <a:clrScheme name="Galerie">
      <a:dk1>
        <a:sysClr val="windowText" lastClr="000000"/>
      </a:dk1>
      <a:lt1>
        <a:sysClr val="window" lastClr="FFFFFF"/>
      </a:lt1>
      <a:dk2>
        <a:srgbClr val="454545"/>
      </a:dk2>
      <a:lt2>
        <a:srgbClr val="DFDBD5"/>
      </a:lt2>
      <a:accent1>
        <a:srgbClr val="B71E42"/>
      </a:accent1>
      <a:accent2>
        <a:srgbClr val="DE478E"/>
      </a:accent2>
      <a:accent3>
        <a:srgbClr val="BC72F0"/>
      </a:accent3>
      <a:accent4>
        <a:srgbClr val="795FAF"/>
      </a:accent4>
      <a:accent5>
        <a:srgbClr val="586EA6"/>
      </a:accent5>
      <a:accent6>
        <a:srgbClr val="6892A0"/>
      </a:accent6>
      <a:hlink>
        <a:srgbClr val="FA2B5C"/>
      </a:hlink>
      <a:folHlink>
        <a:srgbClr val="BC658E"/>
      </a:folHlink>
    </a:clrScheme>
    <a:fontScheme name="Galerie">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erie">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C86C-DA72-4F11-8B8B-2FEC3FE1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56856</Words>
  <Characters>312712</Characters>
  <Application>Microsoft Office Word</Application>
  <DocSecurity>0</DocSecurity>
  <Lines>2605</Lines>
  <Paragraphs>737</Paragraphs>
  <ScaleCrop>false</ScaleCrop>
  <HeadingPairs>
    <vt:vector size="2" baseType="variant">
      <vt:variant>
        <vt:lpstr>Titre</vt:lpstr>
      </vt:variant>
      <vt:variant>
        <vt:i4>1</vt:i4>
      </vt:variant>
    </vt:vector>
  </HeadingPairs>
  <TitlesOfParts>
    <vt:vector size="1" baseType="lpstr">
      <vt:lpstr/>
    </vt:vector>
  </TitlesOfParts>
  <Company>Université Paris 1</Company>
  <LinksUpToDate>false</LinksUpToDate>
  <CharactersWithSpaces>368831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Stephanie Gasnot</cp:lastModifiedBy>
  <cp:revision>2</cp:revision>
  <cp:lastPrinted>2026-06-04T08:32:00Z</cp:lastPrinted>
  <dcterms:created xsi:type="dcterms:W3CDTF">2026-08-24T09:32:00Z</dcterms:created>
  <dcterms:modified xsi:type="dcterms:W3CDTF">2026-08-24T09:32:00Z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2024-06-04T08:27:47Z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bbefe0f2-2565-456f-a79f-bc1ebf142a57</vt:lpwstr>
  </property>
  <property fmtid="{D5CDD505-2E9C-101B-9397-08002B2CF9AE}" pid="8" name="MSIP_Label_d5c20be7-c3a5-46e3-9158-fa8a02ce2395_ContentBits">
    <vt:lpwstr>0</vt:lpwstr>
  </property>
</Properties>
</file>